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7333"/>
          <w:sz w:val="40"/>
        </w:rPr>
        <w:t>LME Copper Risk Premia</w:t>
      </w:r>
    </w:p>
    <w:p>
      <w:pPr>
        <w:jc w:val="center"/>
      </w:pPr>
      <w:r>
        <w:rPr>
          <w:color w:val="1A1A1A"/>
          <w:sz w:val="24"/>
        </w:rPr>
        <w:t>Research Appendix - Strategies &amp; Methods Explored (Not Production Defaults)</w:t>
      </w:r>
    </w:p>
    <w:p>
      <w:pPr>
        <w:jc w:val="center"/>
      </w:pPr>
      <w:r>
        <w:rPr>
          <w:color w:val="787878"/>
          <w:sz w:val="19"/>
        </w:rPr>
        <w:t>Kartavya Joshi  |  Companion to the Project Overview &amp; live dashboard</w:t>
      </w:r>
    </w:p>
    <w:p>
      <w:pPr>
        <w:spacing w:after="160"/>
      </w:pP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1. PURPOSE &amp; SCOPE</w:t>
      </w:r>
    </w:p>
    <w:p>
      <w:pPr>
        <w:spacing w:after="80"/>
      </w:pPr>
      <w:r>
        <w:rPr>
          <w:i w:val="0"/>
          <w:sz w:val="19"/>
        </w:rPr>
        <w:t>The live dashboard presents only the surviving, default configuration of each signal family. This appendix records the full exploration behind those choices: every variant tested, every method considered, and the sensitivity/robustness studies run - including dead-ends and configurations that were demoted or kept research-only. It is the 'search' behind the dashboard.</w:t>
      </w:r>
    </w:p>
    <w:p>
      <w:pPr>
        <w:spacing w:after="80"/>
      </w:pPr>
      <w:r>
        <w:rPr>
          <w:i/>
          <w:color w:val="555555"/>
          <w:sz w:val="19"/>
        </w:rPr>
        <w:t>Convention: all Sharpe figures are active-day annualised (mean/std x sqrt(252) over days with a non-zero position), full sample 2006-2025, computed with the dashboard's exact signal and metric logic. Signal from F1_raw (or curve contracts); P&amp;L always on F1_continuous. 'Same-Day' = shift 1 (trade at signal close, no look-ahead); 'Lag-1' = shift 2 (one further day of execution delay).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2. MOMENTUM - VARIANTS EXPLORED</w:t>
      </w:r>
    </w:p>
    <w:p>
      <w:pPr>
        <w:spacing w:after="80"/>
      </w:pPr>
      <w:r>
        <w:rPr>
          <w:i w:val="0"/>
          <w:sz w:val="19"/>
        </w:rPr>
        <w:t>A broad MA-crossover pair scan (5 &lt;= m &lt; n &lt;= 200) and the Baz-Granger CTA family were tested. MA(35,43) was the max-IS-Sharpe pair and is the portfolio momentum leg; the CTA variants are exposed in the dashboard dropdown but are not the default.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74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1296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Same-Day</w:t>
            </w:r>
          </w:p>
        </w:tc>
        <w:tc>
          <w:tcPr>
            <w:tcW w:type="dxa" w:w="1152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Lag-1</w:t>
            </w:r>
          </w:p>
        </w:tc>
        <w:tc>
          <w:tcPr>
            <w:tcW w:type="dxa" w:w="302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MA(35,43) crossover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+0.72</w:t>
            </w:r>
          </w:p>
        </w:tc>
        <w:tc>
          <w:tcPr>
            <w:tcW w:type="dxa" w:w="115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+0.63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DEFAULT (portfolio leg)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MA pair scan 5&lt;=m&lt;n&lt;=200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MA(35,43) = scan winner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CTA Paper 3-timescale (8/16/32 vs 24/48/96)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+0.11</w:t>
            </w:r>
          </w:p>
        </w:tc>
        <w:tc>
          <w:tcPr>
            <w:tcW w:type="dxa" w:w="115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+0.08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Faithful to Baz-Granger; weak for copper - reference only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CTA single (9,21)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+0.45</w:t>
            </w:r>
          </w:p>
        </w:tc>
        <w:tc>
          <w:tcPr>
            <w:tcW w:type="dxa" w:w="115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+0.33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Explored (dropdown)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CTA single (8,21)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+0.43</w:t>
            </w:r>
          </w:p>
        </w:tc>
        <w:tc>
          <w:tcPr>
            <w:tcW w:type="dxa" w:w="115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Explored (dropdown)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CTA single (10,19)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+0.34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Explored (dropdown)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CTA single (14,15)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+0.35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Explored (dropdown)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Anchors EW + IS-opt weights (walk-forward)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115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Explored; optimiser concentrates on MA(35,43)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/>
          <w:sz w:val="19"/>
        </w:rPr>
        <w:t>Takeaway: the literature-faithful CTA-paper signal underperforms a simple MA(35,43) crossover for copper (0.11 vs 0.72). The medium-frequency MA crossover is the production momentum signal; the CTA machinery is retained for completeness and auditing of the paper methodology.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3. CARRY - VARIANTS EXPLORED</w:t>
      </w:r>
    </w:p>
    <w:p>
      <w:pPr>
        <w:spacing w:after="80"/>
      </w:pPr>
      <w:r>
        <w:rPr>
          <w:i w:val="0"/>
          <w:sz w:val="19"/>
        </w:rPr>
        <w:t>Five carry families were tested. The 20-day change in the (F1-F2)/F1 roll yield (curve momentum) is the production leg; level, z-score, long-slope and alternative horizons were explored and demoted.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872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Sharpe (Same-Day)</w:t>
            </w:r>
          </w:p>
        </w:tc>
        <w:tc>
          <w:tcPr>
            <w:tcW w:type="dxa" w:w="302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Carry-Momentum 20d  (delta-20d of (F1-F2)/F1)</w:t>
            </w:r>
          </w:p>
        </w:tc>
        <w:tc>
          <w:tcPr>
            <w:tcW w:type="dxa" w:w="187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+0.52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DEFAULT (portfolio leg)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Carry-Momentum 60d</w:t>
            </w:r>
          </w:p>
        </w:tc>
        <w:tc>
          <w:tcPr>
            <w:tcW w:type="dxa" w:w="187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+0.39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Too slow - demoted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Carry-Momentum 1-day</w:t>
            </w:r>
          </w:p>
        </w:tc>
        <w:tc>
          <w:tcPr>
            <w:tcW w:type="dxa" w:w="187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(high, fragile)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Microstructure artifact - collapses at higher TC and under shift-2; REJECTED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(F1-F2)/F1 roll-yield level</w:t>
            </w:r>
          </w:p>
        </w:tc>
        <w:tc>
          <w:tcPr>
            <w:tcW w:type="dxa" w:w="187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+0.10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Honest baseline - weak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(F1-F3)/F1 / (Cash-3M)/Cash levels</w:t>
            </w:r>
          </w:p>
        </w:tc>
        <w:tc>
          <w:tcPr>
            <w:tcW w:type="dxa" w:w="187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~+0.1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Explored - similar to F1-F2 level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Z-score 252d of roll yield</w:t>
            </w:r>
          </w:p>
        </w:tc>
        <w:tc>
          <w:tcPr>
            <w:tcW w:type="dxa" w:w="187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+0.26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Explored (dropdown)</w:t>
            </w:r>
          </w:p>
        </w:tc>
      </w:tr>
      <w:tr>
        <w:tc>
          <w:tcPr>
            <w:tcW w:type="dxa" w:w="432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Long-slope (Fj-Fk)/Fk, F3-F15..F12-F24</w:t>
            </w:r>
          </w:p>
        </w:tc>
        <w:tc>
          <w:tcPr>
            <w:tcW w:type="dxa" w:w="1872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+0.14 (best pair)</w:t>
            </w:r>
          </w:p>
        </w:tc>
        <w:tc>
          <w:tcPr>
            <w:tcW w:type="dxa" w:w="30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Explored - weak</w:t>
            </w:r>
          </w:p>
        </w:tc>
      </w:tr>
      <w:tr>
        <w:tc>
          <w:tcPr>
            <w:tcW w:type="dxa" w:w="432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Legacy shift-0 'same-day' level carry</w:t>
            </w:r>
          </w:p>
        </w:tc>
        <w:tc>
          <w:tcPr>
            <w:tcW w:type="dxa" w:w="1872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~+0.62</w:t>
            </w:r>
          </w:p>
        </w:tc>
        <w:tc>
          <w:tcPr>
            <w:tcW w:type="dxa" w:w="30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LOOK-AHEAD - removed (booked an already-realised move)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/>
          <w:sz w:val="19"/>
        </w:rPr>
        <w:t>Takeaway: the headline ~0.62 'same-day' carry was a look-ahead artifact (shift 0). The honest level carry is only ~0.10; the 20-day roll-yield momentum (+0.52) is the genuine, TC- and lag-robust survivor and is the portfolio carry leg.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4. VALUE - VARIANTS EXPLORED</w:t>
      </w:r>
    </w:p>
    <w:p>
      <w:pPr>
        <w:spacing w:after="80"/>
      </w:pPr>
      <w:r>
        <w:rPr>
          <w:i w:val="0"/>
          <w:sz w:val="19"/>
        </w:rPr>
        <w:t>A full contract scan (F1-F15) x lookback grid was run for V1 MA-reversion, plus the V2 Baz-Granger reversal across lookbacks. F8 at a 5yr lookback is the copper-optimal V1 contract; the NGL energy paper's F12 reference is sub-optimal for copper. V2 is event-driven and was demoted.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176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16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288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176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V1 F8, 5yr, +/-10%</w:t>
            </w:r>
          </w:p>
        </w:tc>
        <w:tc>
          <w:tcPr>
            <w:tcW w:type="dxa" w:w="216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+0.28 SD / +0.33 L1</w:t>
            </w:r>
          </w:p>
        </w:tc>
        <w:tc>
          <w:tcPr>
            <w:tcW w:type="dxa" w:w="288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DEFAULT (portfolio leg); robust OOS (+0.43)</w:t>
            </w:r>
          </w:p>
        </w:tc>
      </w:tr>
      <w:tr>
        <w:tc>
          <w:tcPr>
            <w:tcW w:type="dxa" w:w="4176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V1 F12, 5yr (NGL energy reference)</w:t>
            </w:r>
          </w:p>
        </w:tc>
        <w:tc>
          <w:tcPr>
            <w:tcW w:type="dxa" w:w="216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+0.235 L1</w:t>
            </w:r>
          </w:p>
        </w:tc>
        <w:tc>
          <w:tcPr>
            <w:tcW w:type="dxa" w:w="288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NGL paper tenor - sub-optimal for copper</w:t>
            </w:r>
          </w:p>
        </w:tc>
      </w:tr>
      <w:tr>
        <w:tc>
          <w:tcPr>
            <w:tcW w:type="dxa" w:w="4176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V1 contract scan F1-F15</w:t>
            </w:r>
          </w:p>
        </w:tc>
        <w:tc>
          <w:tcPr>
            <w:tcW w:type="dxa" w:w="216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88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F8 = copper-optimal contract</w:t>
            </w:r>
          </w:p>
        </w:tc>
      </w:tr>
      <w:tr>
        <w:tc>
          <w:tcPr>
            <w:tcW w:type="dxa" w:w="4176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V1 F14, 7yr / 10yr</w:t>
            </w:r>
          </w:p>
        </w:tc>
        <w:tc>
          <w:tcPr>
            <w:tcW w:type="dxa" w:w="216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-0.06 / +0.03</w:t>
            </w:r>
          </w:p>
        </w:tc>
        <w:tc>
          <w:tcPr>
            <w:tcW w:type="dxa" w:w="288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Weak - demoted</w:t>
            </w:r>
          </w:p>
        </w:tc>
      </w:tr>
      <w:tr>
        <w:tc>
          <w:tcPr>
            <w:tcW w:type="dxa" w:w="4176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V2 BG reversal, 3yr</w:t>
            </w:r>
          </w:p>
        </w:tc>
        <w:tc>
          <w:tcPr>
            <w:tcW w:type="dxa" w:w="216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+0.26</w:t>
            </w:r>
          </w:p>
        </w:tc>
        <w:tc>
          <w:tcPr>
            <w:tcW w:type="dxa" w:w="288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Explored</w:t>
            </w:r>
          </w:p>
        </w:tc>
      </w:tr>
      <w:tr>
        <w:tc>
          <w:tcPr>
            <w:tcW w:type="dxa" w:w="4176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V2 BG reversal, 10yr</w:t>
            </w:r>
          </w:p>
        </w:tc>
        <w:tc>
          <w:tcPr>
            <w:tcW w:type="dxa" w:w="216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+0.37 (best IS)</w:t>
            </w:r>
          </w:p>
        </w:tc>
        <w:tc>
          <w:tcPr>
            <w:tcW w:type="dxa" w:w="288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Highest IS but fragile - OOS collapses to +0.07 (COVID-concentrated); optional only</w:t>
            </w:r>
          </w:p>
        </w:tc>
      </w:tr>
      <w:tr>
        <w:tc>
          <w:tcPr>
            <w:tcW w:type="dxa" w:w="4176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V2 BG reversal, 1/5/7yr</w:t>
            </w:r>
          </w:p>
        </w:tc>
        <w:tc>
          <w:tcPr>
            <w:tcW w:type="dxa" w:w="216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neg / trap / ~0.16</w:t>
            </w:r>
          </w:p>
        </w:tc>
        <w:tc>
          <w:tcPr>
            <w:tcW w:type="dxa" w:w="2880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Non-monotonic by lookback; 5yr is a trap</w:t>
            </w:r>
          </w:p>
        </w:tc>
      </w:tr>
      <w:tr>
        <w:tc>
          <w:tcPr>
            <w:tcW w:type="dxa" w:w="4176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Threshold +/-10% vs +/-15-20%</w:t>
            </w:r>
          </w:p>
        </w:tc>
        <w:tc>
          <w:tcPr>
            <w:tcW w:type="dxa" w:w="216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type="dxa" w:w="2880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+/-10% from NGL energy calibration; wider band suggested for lower-vol copper - untested toggle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/>
          <w:sz w:val="19"/>
        </w:rPr>
        <w:t>Takeaway: copper's value edge lives at F8/5yr, not the NGL energy paper's F12. V2 BG 10yr posts the highest in-sample Sharpe but its edge is concentrated in the 2020-2021 dislocation and does not persist out-of-sample, so V1 F8 (robust OOS) is the production value sleeve.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5. PORTFOLIO WEIGHTING RESEARCH</w:t>
      </w:r>
    </w:p>
    <w:p>
      <w:pPr>
        <w:spacing w:after="80"/>
      </w:pPr>
      <w:r>
        <w:rPr>
          <w:i w:val="0"/>
          <w:sz w:val="19"/>
        </w:rPr>
        <w:t>Equal-weight (1/3 each) is the production default. Inverse-volatility weighting was studied as an alternative; we swept the trailing return-vol estimation window. A 63-day window is Sharpe-optimal, but equal-weight still dominates on net Sharpe and drawdown - so the trailing-window sweep is research-only and not surfaced on the dashboard (which keeps a single fixed 63d inverse-vol toggle).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880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Weighting</w:t>
            </w:r>
          </w:p>
        </w:tc>
        <w:tc>
          <w:tcPr>
            <w:tcW w:type="dxa" w:w="122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Gross Sh</w:t>
            </w:r>
          </w:p>
        </w:tc>
        <w:tc>
          <w:tcPr>
            <w:tcW w:type="dxa" w:w="122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 5bps</w:t>
            </w:r>
          </w:p>
        </w:tc>
        <w:tc>
          <w:tcPr>
            <w:tcW w:type="dxa" w:w="1296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 10bps</w:t>
            </w:r>
          </w:p>
        </w:tc>
        <w:tc>
          <w:tcPr>
            <w:tcW w:type="dxa" w:w="1008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Ann %</w:t>
            </w:r>
          </w:p>
        </w:tc>
        <w:tc>
          <w:tcPr>
            <w:tcW w:type="dxa" w:w="158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 DD ($/MT)</w:t>
            </w:r>
          </w:p>
        </w:tc>
      </w:tr>
      <w:tr>
        <w:tc>
          <w:tcPr>
            <w:tcW w:type="dxa" w:w="288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Equal-Weight (1/3 each)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1.045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0.959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0.899</w:t>
            </w:r>
          </w:p>
        </w:tc>
        <w:tc>
          <w:tcPr>
            <w:tcW w:type="dxa" w:w="100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11.9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-2,020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Inverse-Vol - 10d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0.858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0.800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0.743</w:t>
            </w:r>
          </w:p>
        </w:tc>
        <w:tc>
          <w:tcPr>
            <w:tcW w:type="dxa" w:w="100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-3,064</w:t>
            </w:r>
          </w:p>
        </w:tc>
      </w:tr>
      <w:tr>
        <w:tc>
          <w:tcPr>
            <w:tcW w:type="dxa" w:w="288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Inverse-Vol - 21d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0.908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0.852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0.797</w:t>
            </w:r>
          </w:p>
        </w:tc>
        <w:tc>
          <w:tcPr>
            <w:tcW w:type="dxa" w:w="100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13.7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-3,040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Inverse-Vol - 42d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0.903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0.848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0.794</w:t>
            </w:r>
          </w:p>
        </w:tc>
        <w:tc>
          <w:tcPr>
            <w:tcW w:type="dxa" w:w="100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-3,054</w:t>
            </w:r>
          </w:p>
        </w:tc>
      </w:tr>
      <w:tr>
        <w:tc>
          <w:tcPr>
            <w:tcW w:type="dxa" w:w="288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Inverse-Vol - 63d (selected)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0.941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0.887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0.833</w:t>
            </w:r>
          </w:p>
        </w:tc>
        <w:tc>
          <w:tcPr>
            <w:tcW w:type="dxa" w:w="100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13.5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-3,031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Inverse-Vol - 126d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0.906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0.852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0.800</w:t>
            </w:r>
          </w:p>
        </w:tc>
        <w:tc>
          <w:tcPr>
            <w:tcW w:type="dxa" w:w="100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12.4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-3,038</w:t>
            </w:r>
          </w:p>
        </w:tc>
      </w:tr>
      <w:tr>
        <w:tc>
          <w:tcPr>
            <w:tcW w:type="dxa" w:w="2880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Inverse-Vol - 189d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0.910</w:t>
            </w:r>
          </w:p>
        </w:tc>
        <w:tc>
          <w:tcPr>
            <w:tcW w:type="dxa" w:w="122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0.858</w:t>
            </w:r>
          </w:p>
        </w:tc>
        <w:tc>
          <w:tcPr>
            <w:tcW w:type="dxa" w:w="129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0.807</w:t>
            </w:r>
          </w:p>
        </w:tc>
        <w:tc>
          <w:tcPr>
            <w:tcW w:type="dxa" w:w="1008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12.2</w:t>
            </w:r>
          </w:p>
        </w:tc>
        <w:tc>
          <w:tcPr>
            <w:tcW w:type="dxa" w:w="158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-3,031</w:t>
            </w:r>
          </w:p>
        </w:tc>
      </w:tr>
      <w:tr>
        <w:tc>
          <w:tcPr>
            <w:tcW w:type="dxa" w:w="288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Inverse-Vol - 252d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0.884</w:t>
            </w:r>
          </w:p>
        </w:tc>
        <w:tc>
          <w:tcPr>
            <w:tcW w:type="dxa" w:w="122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0.832</w:t>
            </w:r>
          </w:p>
        </w:tc>
        <w:tc>
          <w:tcPr>
            <w:tcW w:type="dxa" w:w="129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0.782</w:t>
            </w:r>
          </w:p>
        </w:tc>
        <w:tc>
          <w:tcPr>
            <w:tcW w:type="dxa" w:w="1008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11.7</w:t>
            </w:r>
          </w:p>
        </w:tc>
        <w:tc>
          <w:tcPr>
            <w:tcW w:type="dxa" w:w="158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-3,029</w:t>
            </w:r>
          </w:p>
        </w:tc>
      </w:tr>
    </w:tbl>
    <w:p>
      <w:pPr>
        <w:spacing w:after="120"/>
      </w:pPr>
    </w:p>
    <w:p>
      <w:pPr>
        <w:pStyle w:val="ListBullet"/>
        <w:spacing w:after="40"/>
        <w:ind w:left="288"/>
      </w:pPr>
      <w:r>
        <w:rPr>
          <w:b/>
          <w:sz w:val="19"/>
        </w:rPr>
        <w:t xml:space="preserve">Regime-conditional weighting: </w:t>
      </w:r>
      <w:r>
        <w:rPr>
          <w:b w:val="0"/>
          <w:sz w:val="19"/>
        </w:rPr>
        <w:t>proposed - downweight carry in contango regimes, upweight value in dislocations (high VIX + low positioning z-score). NOT yet built.</w:t>
      </w:r>
    </w:p>
    <w:p>
      <w:pPr>
        <w:pStyle w:val="ListBullet"/>
        <w:spacing w:after="40"/>
        <w:ind w:left="288"/>
      </w:pPr>
      <w:r>
        <w:rPr>
          <w:b/>
          <w:sz w:val="19"/>
        </w:rPr>
        <w:t xml:space="preserve">Walk-forward design: </w:t>
      </w:r>
      <w:r>
        <w:rPr>
          <w:b w:val="0"/>
          <w:sz w:val="19"/>
        </w:rPr>
        <w:t>IS = 5yr (1,260d) rolling, OOS = 1yr (252d), non-overlapping; used for all OOS Sharpe estimates.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6. METHODOLOGY &amp; ROBUSTNESS STUDIES</w:t>
      </w:r>
    </w:p>
    <w:p>
      <w:pPr>
        <w:spacing w:before="160" w:after="40"/>
      </w:pPr>
      <w:r>
        <w:rPr>
          <w:b/>
          <w:color w:val="1A1A1A"/>
          <w:sz w:val="20"/>
        </w:rPr>
        <w:t>6.1  Execution timing &amp; look-ahead removal</w:t>
      </w:r>
    </w:p>
    <w:p>
      <w:pPr>
        <w:spacing w:after="80"/>
      </w:pPr>
      <w:r>
        <w:rPr>
          <w:i w:val="0"/>
          <w:sz w:val="19"/>
        </w:rPr>
        <w:t>Three conventions were compared. Shift 0 ('legacy same-day') books the t-1-&gt;t move that had already happened when the signal became known - pure look-ahead - and was removed. It had inflated the level carry Sharpe from ~0.10 (honest) to ~0.62. Production uses shift 1 (Same-Day, trade at signal close, first return t-&gt;t+1) or shift 2 (Lag-1, one further day of delay).</w:t>
      </w:r>
    </w:p>
    <w:p>
      <w:pPr>
        <w:spacing w:before="160" w:after="40"/>
      </w:pPr>
      <w:r>
        <w:rPr>
          <w:b/>
          <w:color w:val="1A1A1A"/>
          <w:sz w:val="20"/>
        </w:rPr>
        <w:t>6.2  Warmup handling sensitivity</w:t>
      </w:r>
    </w:p>
    <w:p>
      <w:pPr>
        <w:spacing w:after="80"/>
      </w:pPr>
      <w:r>
        <w:rPr>
          <w:i w:val="0"/>
          <w:sz w:val="19"/>
        </w:rPr>
        <w:t>Rolling/EWMA warmup must require full windows (warmup days flat, excluded from active-day Sharpe). A naive min_periods=1 warmup lets the signal trade during initialisation on under-estimated vol; this INFLATES the CTA strategies by roughly +0.05 to +0.10 Sharpe (their warmup is ~314d: 63 for sigma-63 then 252 for sigma-252 of y). The dashboard uses the correct full-window logic; the inflated figures are what a mishandled warmup would have shown. (MA strategies are warmup-invariant - 43d warmup.)</w:t>
      </w:r>
    </w:p>
    <w:p>
      <w:pPr>
        <w:spacing w:before="160" w:after="40"/>
      </w:pPr>
      <w:r>
        <w:rPr>
          <w:b/>
          <w:color w:val="1A1A1A"/>
          <w:sz w:val="20"/>
        </w:rPr>
        <w:t>6.3  Transaction-cost treatment</w:t>
      </w:r>
    </w:p>
    <w:p>
      <w:pPr>
        <w:spacing w:after="80"/>
      </w:pPr>
      <w:r>
        <w:rPr>
          <w:i w:val="0"/>
          <w:sz w:val="19"/>
        </w:rPr>
        <w:t>TC_Cost(t) = |Position(t) - Position(t-1)| x (tc_bps / 10,000 / 2) x F1_Continuous(t). The /2 is the half-spread per side (tc_bps is round-trip). F1_continuous (not F1_raw) is used for unit-consistency: the entire P&amp;L, return and drawdown stack is denominated in F1_continuous, so the cost subtracted from it must be on the same price scale (the two series diverge historically under ratio back-adjustment). Base case 5bps; sensitivity run at 5 / 10 / 20 bps - slow signals (carry, value) are cheap, while higher-turnover and daily-reweighted (inverse-vol) variants degrade faster with TC.</w:t>
      </w:r>
    </w:p>
    <w:p>
      <w:pPr>
        <w:spacing w:before="280" w:after="80"/>
        <w:pBdr>
          <w:bottom w:val="single" w:sz="4" w:space="1" w:color="B87333"/>
        </w:pBdr>
      </w:pPr>
      <w:r>
        <w:rPr>
          <w:b/>
          <w:color w:val="B87333"/>
          <w:sz w:val="22"/>
        </w:rPr>
        <w:t>7. DECISION LOG - PRODUCTION VS RESEARCH-ONLY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74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 live dashboard?</w:t>
            </w:r>
          </w:p>
        </w:tc>
        <w:tc>
          <w:tcPr>
            <w:tcW w:type="dxa" w:w="3456"/>
            <w:shd w:val="clear" w:color="auto" w:fill="B8733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MA(35,43) momentum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Yes (default)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Portfolio momentum leg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CTA paper / CTA single variants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Yes (dropdown)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Not default - weaker for copper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Carry-Momentum 20d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Yes (default)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Portfolio carry leg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Carry level / z-score / long-slope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Yes (dropdown)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Not default - demoted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Carry-Mom 1d / 60d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Rejected (artifact / too slow)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Value V1 F8 5yr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Yes (default)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Portfolio value leg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Value V1 F12 (NGL ref) &amp; F1-F15 scan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Yes (dropdown/chart)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Context - F8 wins for copper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Value V2 BG reversal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Yes (optional)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Demoted - fragile OOS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EW portfolio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Yes (default)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Best net Sharpe + drawdown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Inverse-vol 63d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Yes (toggle)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Single fixed window only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Inverse-vol trailing-window sweep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Research-only (this doc + Project Overview 6.1)</w:t>
            </w:r>
          </w:p>
        </w:tc>
      </w:tr>
      <w:tr>
        <w:tc>
          <w:tcPr>
            <w:tcW w:type="dxa" w:w="3744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Regime-conditional weighting</w:t>
            </w:r>
          </w:p>
        </w:tc>
        <w:tc>
          <w:tcPr>
            <w:tcW w:type="dxa" w:w="2304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FAFAFA"/>
          </w:tcPr>
          <w:p>
            <w:pPr>
              <w:jc w:val="center"/>
            </w:pPr>
            <w:r>
              <w:rPr>
                <w:sz w:val="18"/>
              </w:rPr>
              <w:t>Proposed, not built</w:t>
            </w:r>
          </w:p>
        </w:tc>
      </w:tr>
      <w:tr>
        <w:tc>
          <w:tcPr>
            <w:tcW w:type="dxa" w:w="3744"/>
            <w:shd w:val="clear" w:color="auto" w:fill="F5EFE8"/>
          </w:tcPr>
          <w:p>
            <w:pPr>
              <w:jc w:val="left"/>
            </w:pPr>
            <w:r>
              <w:rPr>
                <w:b/>
                <w:sz w:val="18"/>
              </w:rPr>
              <w:t>Warmup-sensitivity / look-ahead studies</w:t>
            </w:r>
          </w:p>
        </w:tc>
        <w:tc>
          <w:tcPr>
            <w:tcW w:type="dxa" w:w="2304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3456"/>
            <w:shd w:val="clear" w:color="auto" w:fill="F5EFE8"/>
          </w:tcPr>
          <w:p>
            <w:pPr>
              <w:jc w:val="center"/>
            </w:pPr>
            <w:r>
              <w:rPr>
                <w:sz w:val="18"/>
              </w:rPr>
              <w:t>Methodology - this doc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i/>
          <w:color w:val="787878"/>
          <w:sz w:val="19"/>
        </w:rPr>
        <w:t>This appendix is a living research log; numbers correspond to the run dated in the file header and should be re-derived from the standalone scripts when the data is refreshed.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