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b/>
          <w:sz w:val="28"/>
        </w:rPr>
        <w:t>1. Introduction</w:t>
      </w:r>
    </w:p>
    <w:p>
      <w:pPr>
        <w:spacing w:after="160" w:line="276" w:lineRule="auto"/>
        <w:jc w:val="both"/>
      </w:pPr>
      <w:r>
        <w:rPr>
          <w:b w:val="0"/>
        </w:rPr>
        <w:t>The theory of storage of Kaldor (1939), Working (1949) and Brennan (1958) links the shape of a commodity futures curve to physical market conditions. A downward-sloping curve (backwardation) signals scarce inventories and a high value of immediate supply, and futures prices are then expected to rise toward the spot price. An upward-sloping curve (contango) signals ample inventories, and prices are expected to fall.[1] The hedging pressure hypothesis of Cootner (1960) and Hirshleifer (1988, 1990) offers a second, related channel. Producers and consumers use futures to shed price risk, and speculators who absorb that risk must be paid a premium for doing so. Both theories imply that returns to commodity futures can be predicted from characteristics of the curve and of recent prices, which a long-short strategy can harvest without taking a view on the direction of the commodity market as a whole (Gorton and Rouwenhorst, 2006; Erb and Harvey, 2006; Miffre and Rallis, 2007; Gorton, Hayashi and Rouwenhorst, 2013; Asness, Moskowitz and Pedersen, 2013; Koijen, Moskowitz, Pedersen and Vrugt, 2018).</w:t>
      </w:r>
    </w:p>
    <w:p>
      <w:pPr>
        <w:spacing w:after="160" w:line="276" w:lineRule="auto"/>
        <w:jc w:val="both"/>
      </w:pPr>
      <w:r>
        <w:rPr>
          <w:b w:val="0"/>
        </w:rPr>
        <w:t>Most of this evidence comes from a single sector or from a broad index of commodities. In their study of ten energy futures contracts, Fernandez-Perez, Fuertes and Miffre (2021) find sizeable premia from term structure, hedging pressure and momentum, and show that a simple equal-weight combination of signals is hard to beat. It is less clear whether such premia are a general feature of commodity futures or are specific to the sectors where the economics of storage and hedging are strongest. This paper tests that directly. We apply the same four rule-based signals to 23 futures products in five asset classes (Metals, Energy, Precious Metals, natural gas liquids (NGL) and Agriculture), over the same period and with the same cost assumptions, and ask where the premium is actually found.</w:t>
      </w:r>
    </w:p>
    <w:p>
      <w:pPr>
        <w:spacing w:after="160" w:line="276" w:lineRule="auto"/>
        <w:jc w:val="both"/>
      </w:pPr>
      <w:r>
        <w:rPr>
          <w:b w:val="0"/>
        </w:rPr>
        <w:t>The four signals are Momentum, Carry, Carry-Momentum and Value. Momentum is a majority vote of three moving-average crossovers on the front contract. Carry is the sign of the standardised slope of the futures curve (near minus far, relative to near). Carry-Momentum is the sign of the change in that slope over 20 observations. Value compares the third generic contract with its own five-year average. Each signal takes a position of +1, 0 or -1 in each product, with no leverage and no volatility targeting. Positions are traded two days after the signal date on a roll-adjusted continuous series, and returns are net of costs of 5 basis points round trip, which also covers the charge for rolling. We report the annualised return, the annualised volatility and the information ratio (IR, return divided by volatility, with no risk-free rate) for each signal in each asset class. We combine the four signals into an asset-class portfolio by equal weights (Equal Weight) and by inverse trailing volatility (Inverse Vol), and then combine the asset classes in the same way. The sample runs from 1 January 2012 to 23 September 2026, and we split it into three subperiods (2012 to 2016, 2017 to 2021, 2022 to 2026) to check whether results persist.</w:t>
      </w:r>
    </w:p>
    <w:p>
      <w:pPr>
        <w:spacing w:after="160" w:line="276" w:lineRule="auto"/>
        <w:jc w:val="both"/>
      </w:pPr>
      <w:r>
        <w:rPr>
          <w:b w:val="0"/>
        </w:rPr>
        <w:t>The results are concentrated. The premium is found in NGL and in Energy, and essentially nowhere else. NGL is the strongest asset class by a wide margin, with IRs of +1.21 (Equal Weight) and +1.14 (Inverse Vol), and its Momentum, Carry and Carry-Momentum signals are positive in every subperiod. Energy follows, with IRs of +0.54 and +0.53 (+0.62 and +0.64 when natural gas is excluded), and its Momentum, Carry and Carry-Momentum signals are also positive in every subperiod. In Precious Metals and Agriculture, none of the four signals earns a positive IR over the full sample, and neither portfolio construction does either (Precious Metals -0.34 and -0.38; Agriculture -0.18 and -0.17). In Metals the portfolios are close to zero (-0.06 and +0.09), and the only signal with a clear edge is Value (+0.38).</w:t>
      </w:r>
    </w:p>
    <w:p>
      <w:pPr>
        <w:spacing w:after="160" w:line="276" w:lineRule="auto"/>
        <w:jc w:val="both"/>
      </w:pPr>
      <w:r>
        <w:rPr>
          <w:b w:val="0"/>
        </w:rPr>
        <w:t>This concentration has a direct consequence for portfolio construction. Diversifying across all five asset classes lowers volatility sharply, to 5.5% a year against about 13.7% for Energy and 13.8% for NGL on their own, and it is negatively correlated with equities (-0.17), with a 60/40 portfolio (-0.17) and with a passive commodity index (-0.05). But the diversification does not improve risk-adjusted returns. The five-class portfolio earns IRs of +0.69 (Equal Weight) and +0.75 (Inverse Vol), below NGL alone (+1.21 and +1.14) and below a portfolio of only Energy and NGL (+1.07 and +1.05; +1.10 and +1.13 without natural gas). The lower volatility is paid for with exposure to asset classes where the signals earn nothing. Every one of the three pairs built only from Metals, Precious Metals and Agriculture has a negative IR under at least one construction. Correlation and performance turn out to be separate questions: Energy and NGL are the most correlated pair of asset classes (0.33 for Equal Weight) and also the best-performing pair.</w:t>
      </w:r>
    </w:p>
    <w:p>
      <w:pPr>
        <w:spacing w:after="160" w:line="276" w:lineRule="auto"/>
        <w:jc w:val="both"/>
      </w:pPr>
      <w:r>
        <w:rPr>
          <w:b w:val="0"/>
        </w:rPr>
        <w:t>The paper contributes in three ways. First, it provides a like-for-like comparison of the same trend, carry and value signals across five commodity asset classes, using one set of rules, costs and sample dates, so that differences in results reflect the asset class and not the method. The usual single-sector or index-level studies cannot separate the two. Second, it shows that the risk premium is not a property of commodities in general. It appears where physical constraints are strongest and shape the futures curve in a persistent way, such as storage and pipeline capacity in NGL and Energy, and it is weak or absent in Metals, Precious Metals and Agriculture, whose prices are driven more by macroeconomic variables, financial demand and weather shocks.[2] Third, it gives a practical portfolio lesson: adding asset classes to a risk premia book to reduce volatility has a cost in IR when most of the added sleeves have no edge, and a smaller portfolio concentrated in NGL and Energy performs better.</w:t>
      </w:r>
    </w:p>
    <w:p>
      <w:pPr>
        <w:spacing w:after="160" w:line="276" w:lineRule="auto"/>
        <w:jc w:val="both"/>
      </w:pPr>
      <w:r>
        <w:rPr>
          <w:b w:val="0"/>
        </w:rPr>
        <w:t>Two limits should be stated. The evidence is in-sample, parameters were fixed by research decisions and not estimated, and we apply no significance tests, out-of-sample tests or correction for multiple testing. We also do not test the hedging pressure hypothesis directly, because that needs positioning data (the weekly Commitments of Traders report) that we do not use. The links we draw to the theory of storage and to hedging pressure are therefore interpretations that are consistent with the results, not tests of those theories.</w:t>
      </w:r>
    </w:p>
    <w:p>
      <w:pPr>
        <w:spacing w:after="160" w:line="276" w:lineRule="auto"/>
        <w:jc w:val="both"/>
      </w:pPr>
      <w:r>
        <w:rPr>
          <w:b w:val="0"/>
        </w:rPr>
        <w:t>The rest of the paper is organised as follows. Section 2 describes the data, the construction of the continuous price series and the signals. Section 3 explains the portfolio construction, transaction costs and performance measures. Section 4 reports the results for each asset class, and Section 5 for the correlations and the cross-commodity portfolio. Section 6 concludes.</w:t>
      </w:r>
    </w:p>
    <w:p>
      <w:pPr>
        <w:spacing w:after="80" w:line="276" w:lineRule="auto"/>
      </w:pPr>
      <w:r>
        <w:rPr>
          <w:b/>
          <w:sz w:val="24"/>
        </w:rPr>
        <w:t>Notes</w:t>
      </w:r>
    </w:p>
    <w:p>
      <w:pPr>
        <w:spacing w:after="160" w:line="276" w:lineRule="auto"/>
        <w:jc w:val="both"/>
      </w:pPr>
      <w:r>
        <w:rPr>
          <w:b w:val="0"/>
          <w:sz w:val="21"/>
        </w:rPr>
        <w:t>[1] Backwardation is the state in which a futures curve slopes downward, so the nearby contract is priced above deferred contracts. Contango is the opposite. The roll yield, the gain or loss from rolling a futures position from the nearby contract to the next one, is positive in backwardation and negative in contango.</w:t>
      </w:r>
    </w:p>
    <w:p>
      <w:pPr>
        <w:spacing w:after="160" w:line="276" w:lineRule="auto"/>
        <w:jc w:val="both"/>
      </w:pPr>
      <w:r>
        <w:rPr>
          <w:b w:val="0"/>
          <w:sz w:val="21"/>
        </w:rPr>
        <w:t>[2] To be confirmed before it stays in: the v3_2012 text supports the macro and real-yield explanation for Precious Metals and the weather and spike-reversal explanation for Agriculture, but not a general statement covering all three classes.</w:t>
      </w:r>
    </w:p>
    <w:p>
      <w:r>
        <w:br w:type="page"/>
      </w:r>
    </w:p>
    <w:p>
      <w:pPr>
        <w:spacing w:after="80" w:line="276" w:lineRule="auto"/>
      </w:pPr>
      <w:r>
        <w:rPr>
          <w:b/>
          <w:sz w:val="24"/>
        </w:rPr>
        <w:t>Drafting notes (delete before submission)</w:t>
      </w:r>
    </w:p>
    <w:p>
      <w:pPr>
        <w:pStyle w:val="ListBullet"/>
        <w:spacing w:after="60"/>
      </w:pPr>
      <w:r>
        <w:t>All figures are from Risk Premia Analysis v3_2012 (1 Jan 2012 to 23 Sep 2026, 5 bp round-trip costs, subperiods 2012-16, 2017-21, 2022-26).</w:t>
      </w:r>
    </w:p>
    <w:p>
      <w:pPr>
        <w:pStyle w:val="ListBullet"/>
        <w:spacing w:after="60"/>
      </w:pPr>
      <w:r>
        <w:t>Metals Value (IR +0.38, positive in every period) is an exception to 'the premium exists only in NGL and Energy'. Paragraph 4 names it. Decide whether to keep it or soften it.</w:t>
      </w:r>
    </w:p>
    <w:p>
      <w:pPr>
        <w:pStyle w:val="ListBullet"/>
        <w:spacing w:after="60"/>
      </w:pPr>
      <w:r>
        <w:t>The Energy-NGL pair volatility is not in v3_2012, so it is not quoted. It is needed to show how much volatility the pair gives up against the five-class book (5.5%).</w:t>
      </w:r>
    </w:p>
    <w:p>
      <w:pPr>
        <w:pStyle w:val="ListBullet"/>
        <w:spacing w:after="60"/>
      </w:pPr>
      <w:r>
        <w:t>Metals-Precious Metals, Metals-Agriculture and Precious Metals-Agriculture are negative under both Equal Weight and Inverse Vol, so 'at least one construction' can be strengthened to 'both'.</w:t>
      </w:r>
    </w:p>
    <w:p>
      <w:pPr>
        <w:pStyle w:val="ListBullet"/>
        <w:spacing w:after="60"/>
      </w:pPr>
      <w:r>
        <w:t>'Like-for-like' needs a caveat in Methodology: tenor pairs differ by asset class, and NGL uses a shifted front contract.</w:t>
      </w:r>
    </w:p>
    <w:p>
      <w:pPr>
        <w:pStyle w:val="ListBullet"/>
        <w:spacing w:after="60"/>
      </w:pPr>
      <w:r>
        <w:t>Research_Methodology_v4 still reports from 2011 with regimes R1 to R3. Update it to 2012 and P1 to P3 for the new paper.</w:t>
      </w:r>
    </w:p>
    <w:p>
      <w:pPr>
        <w:pStyle w:val="ListBullet"/>
        <w:spacing w:after="60"/>
      </w:pPr>
      <w:r>
        <w:t>Our Inverse Vol (1/sigma, 63 daily observations, lagged one day) is not the 1/sigma^2 volatility timing of Fernandez-Perez et al. (2021). Describe it as following the volatility-timing idea of Kirby and Ostdiek (2012) and check that paper before citing.</w:t>
      </w:r>
    </w:p>
    <w:p>
      <w:pPr>
        <w:pStyle w:val="ListBullet"/>
        <w:spacing w:after="60"/>
      </w:pPr>
      <w:r>
        <w:t>Reference list is not built yet. Cited so far: Kaldor (1939); Working (1949); Brennan (1958); Cootner (1960); Hirshleifer (1988, 1990); Gorton and Rouwenhorst (2006); Erb and Harvey (2006); Miffre and Rallis (2007); Gorton, Hayashi and Rouwenhorst (2013); Asness, Moskowitz and Pedersen (2013); Koijen, Moskowitz, Pedersen and Vrugt (2018); Fernandez-Perez, Fuertes and Miffre (2021).</w:t>
      </w:r>
    </w:p>
    <w:p>
      <w:pPr>
        <w:pStyle w:val="ListBullet"/>
        <w:spacing w:after="60"/>
      </w:pPr>
      <w:r>
        <w:t>Roadmap in the last paragraph is provisional.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