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1B43D" w14:textId="77777777" w:rsidR="00576CDE" w:rsidRDefault="00000000">
      <w:r>
        <w:rPr>
          <w:b/>
          <w:sz w:val="28"/>
        </w:rPr>
        <w:t>1. Introduction</w:t>
      </w:r>
    </w:p>
    <w:p w14:paraId="483C4E5E" w14:textId="77777777" w:rsidR="00576CDE" w:rsidRDefault="00000000">
      <w:pPr>
        <w:spacing w:after="160"/>
        <w:jc w:val="both"/>
      </w:pPr>
      <w:r>
        <w:t>The theory of storage of Kaldor (1939), Working (1949) and Brennan (1958) links the shape of a commodity futures curve to physical market conditions. A downward-sloping curve (backwardation) signals scarce inventories and a high value of immediate supply, and futures prices are then expected to rise toward the spot price. An upward-sloping curve (contango) signals ample inventories, and prices are expected to fall.[1] The hedging pressure hypothesis of Cootner (1960) and Hirshleifer (1988, 1990) offers a second, related channel. Producers and consumers use futures to shed price risk, and speculators who absorb that risk must be paid a premium for doing so. Both theories imply that returns to commodity futures can be predicted from characteristics of the curve and of recent prices, which a long-short strategy can harvest without taking a view on the direction of the commodity market as a whole (Gorton and Rouwenhorst, 2006; Erb and Harvey, 2006; Miffre and Rallis, 2007; Gorton, Hayashi and Rouwenhorst, 2013; Asness, Moskowitz and Pedersen, 2013; Koijen, Moskowitz, Pedersen and Vrugt, 2018).</w:t>
      </w:r>
    </w:p>
    <w:p w14:paraId="4C974D8E" w14:textId="77777777" w:rsidR="00576CDE" w:rsidRDefault="00000000">
      <w:pPr>
        <w:spacing w:after="160"/>
        <w:jc w:val="both"/>
      </w:pPr>
      <w:r>
        <w:t>Most of this evidence comes from a single sector or from a broad index of commodities. In their study of energy futures, Fernandez-Perez, Fuertes and Miffre (2021) find sizeable premia from term structure, hedging pressure and momentum, and show that a simple equal-weight combination of signals is hard to beat. It is less clear whether such premia are a general feature of commodity futures or are specific to the sectors where the economics of storage and hedging are strongest. This paper tests that directly. We apply a common set of rule-based signals to futures products in five asset classes (Metals, Energy, Precious Metals, natural gas liquids (NGL) and Agriculture), over one sample period and with the same transaction cost assumptions, and ask where the premium is actually found.</w:t>
      </w:r>
    </w:p>
    <w:p w14:paraId="63871F85" w14:textId="77777777" w:rsidR="00576CDE" w:rsidRDefault="00000000">
      <w:pPr>
        <w:spacing w:after="160"/>
        <w:jc w:val="both"/>
      </w:pPr>
      <w:r>
        <w:t>The signals are Momentum, Carry, Carry-Momentum and Value, which capture trend, the slope of the futures curve, changes in that slope, and the deviation of price from its long-run level, together with Skewness, which we treat as a fifth risk premium. Each signal is implemented as a simple long, short or flat position in every product and is traded net of transaction costs. We evaluate each signal within each asset class, combine the signals into an asset-class portfolio, and then combine the asset classes into a cross-commodity portfolio. We also examine whether the results persist across subperiods. The construction of the signals and portfolios is set out in Section 2.</w:t>
      </w:r>
    </w:p>
    <w:p w14:paraId="51D11079" w14:textId="77777777" w:rsidR="00576CDE" w:rsidRDefault="00000000">
      <w:pPr>
        <w:spacing w:after="160"/>
        <w:jc w:val="both"/>
      </w:pPr>
      <w:r>
        <w:t>The results are concentrated. For the four core signals, the premium is found in NGL and in Energy and essentially nowhere else. Both earn positive risk-adjusted returns from Momentum, Carry and Carry-Momentum in every subperiod, and NGL is the strongest asset class by a wide margin. In Precious Metals and Agriculture the core signals earn no positive risk-adjusted return, and in Metals only Value shows a clear edge. Skewness behaves differently: its performance does not follow the pattern of the core signals, and it earns a positive return in some asset classes where the core signals do not.</w:t>
      </w:r>
    </w:p>
    <w:p w14:paraId="5C71E605" w14:textId="77777777" w:rsidR="00576CDE" w:rsidRDefault="00000000">
      <w:pPr>
        <w:spacing w:after="160"/>
        <w:jc w:val="both"/>
      </w:pPr>
      <w:r>
        <w:t>This concentration has a direct consequence for portfolio construction. Diversifying across all five asset classes lowers volatility substantially, and the resulting portfolio is negatively correlated with equities, with a traditional 60/40 portfolio and with a passive commodity index. But the diversification does not improve risk-adjusted returns. The cross-commodity portfolio performs worse than NGL alone and worse than a portfolio of only Energy and NGL, because the lower volatility is paid for with exposure to asset classes where the core signals earn nothing. Correlation and performance turn out to be separate questions: Energy and NGL are the most correlated pair of asset classes and also the best-performing pair.</w:t>
      </w:r>
    </w:p>
    <w:p w14:paraId="18923585" w14:textId="77777777" w:rsidR="00576CDE" w:rsidRDefault="00000000">
      <w:pPr>
        <w:spacing w:after="160"/>
        <w:jc w:val="both"/>
      </w:pPr>
      <w:r>
        <w:t>The paper contributes in three ways. First, it provides a like-for-like comparison of the same trend, carry, value and skewness signals across five commodity asset classes, using one set of rules, costs and sample dates, so that differences in results reflect the asset class and not the method. The usual single-sector or index-level studies cannot separate the two. Second, it shows that the risk premium is not a property of commodities in general. It appears where physical constraints are strongest and shape the futures curve in a persistent way, such as storage and pipeline capacity in NGL and Energy, and it is weak or absent in Metals, Precious Metals and Agriculture, whose prices are driven more by macroeconomic variables, financial demand and weather shocks.[2] Third, it gives a practical portfolio lesson: adding asset classes to a risk premia book to reduce volatility has a cost in IR when most of the added sleeves have no edge, and a smaller portfolio concentrated in NGL and Energy performs better.</w:t>
      </w:r>
    </w:p>
    <w:p w14:paraId="3C1BF1C7" w14:textId="18B4828C" w:rsidR="00576CDE" w:rsidRDefault="000635C3">
      <w:pPr>
        <w:spacing w:after="160"/>
        <w:jc w:val="both"/>
      </w:pPr>
      <w:r>
        <w:t xml:space="preserve">The </w:t>
      </w:r>
      <w:r w:rsidR="00000000">
        <w:t xml:space="preserve">results are a historical </w:t>
      </w:r>
      <w:proofErr w:type="spellStart"/>
      <w:r w:rsidR="00000000">
        <w:t>backtest</w:t>
      </w:r>
      <w:proofErr w:type="spellEnd"/>
      <w:r w:rsidR="00000000">
        <w:t xml:space="preserve"> of fixed rules. No parameter was estimated or optimized on the data, so the subperiods are a check on stability, not an out-of-sample test. </w:t>
      </w:r>
    </w:p>
    <w:p w14:paraId="17173D8E" w14:textId="77777777" w:rsidR="00576CDE" w:rsidRDefault="00000000">
      <w:pPr>
        <w:spacing w:after="160"/>
        <w:jc w:val="both"/>
      </w:pPr>
      <w:r>
        <w:t>The rest of the paper is organised as follows. Section 2 describes the data, the construction of the continuous price series and the signals. Section 3 explains the portfolio construction, transaction costs and performance measures. Section 4 reports the results for each asset class, and Section 5 for the correlations and the cross-commodity portfolio. Section 6 concludes.</w:t>
      </w:r>
    </w:p>
    <w:p w14:paraId="71A13764" w14:textId="77777777" w:rsidR="00576CDE" w:rsidRDefault="00000000">
      <w:pPr>
        <w:spacing w:after="80"/>
      </w:pPr>
      <w:r>
        <w:rPr>
          <w:b/>
        </w:rPr>
        <w:lastRenderedPageBreak/>
        <w:t>Notes</w:t>
      </w:r>
    </w:p>
    <w:p w14:paraId="50D6EA1E" w14:textId="77777777" w:rsidR="00576CDE" w:rsidRDefault="00000000">
      <w:pPr>
        <w:spacing w:after="160"/>
        <w:jc w:val="both"/>
      </w:pPr>
      <w:r>
        <w:rPr>
          <w:sz w:val="21"/>
        </w:rPr>
        <w:t>[1] Backwardation is the state in which a futures curve slopes downward, so the nearby contract is priced above deferred contracts. Contango is the opposite. The roll yield, the gain or loss from rolling a futures position from the nearby contract to the next one, is positive in backwardation and negative in contango.</w:t>
      </w:r>
    </w:p>
    <w:p w14:paraId="5FE0653A" w14:textId="77777777" w:rsidR="00576CDE" w:rsidRDefault="00000000">
      <w:pPr>
        <w:spacing w:after="160"/>
        <w:jc w:val="both"/>
      </w:pPr>
      <w:r>
        <w:rPr>
          <w:sz w:val="21"/>
        </w:rPr>
        <w:t>[2] To be confirmed before it stays in: the v3_2012 text supports the macro and real-yield explanation for Precious Metals and the weather and spike-reversal explanation for Agriculture, but not a general statement covering all three classes.</w:t>
      </w:r>
    </w:p>
    <w:p w14:paraId="3E98443A" w14:textId="77777777" w:rsidR="00576CDE" w:rsidRDefault="00000000">
      <w:r>
        <w:br w:type="page"/>
      </w:r>
    </w:p>
    <w:p w14:paraId="727E3CF5" w14:textId="77777777" w:rsidR="00576CDE" w:rsidRDefault="00000000">
      <w:pPr>
        <w:spacing w:after="80"/>
      </w:pPr>
      <w:r>
        <w:rPr>
          <w:b/>
        </w:rPr>
        <w:lastRenderedPageBreak/>
        <w:t>Drafting notes (delete before submission)</w:t>
      </w:r>
    </w:p>
    <w:p w14:paraId="6FF585AD" w14:textId="77777777" w:rsidR="00576CDE" w:rsidRDefault="00000000">
      <w:pPr>
        <w:pStyle w:val="ListBullet"/>
        <w:spacing w:after="60"/>
      </w:pPr>
      <w:r>
        <w:t>This version has no result numbers. All claims are qualitative and rest on Risk Premia Analysis v3_2012 (four core signals) and on Skewness_Research.html (pulled from the repository on 12 Oct 2026).</w:t>
      </w:r>
    </w:p>
    <w:p w14:paraId="391635A9" w14:textId="77777777" w:rsidR="00576CDE" w:rsidRDefault="00000000">
      <w:pPr>
        <w:pStyle w:val="ListBullet"/>
        <w:spacing w:after="60"/>
      </w:pPr>
      <w:r>
        <w:t>Paragraph 4 now says the NGL and Energy concentration holds for the four core signals only, because Skewness is positive in some asset classes where the core signals fail (for example Agriculture and Energy ex-NatGas). Check the wording against how you want Skewness to enter the paper.</w:t>
      </w:r>
    </w:p>
    <w:p w14:paraId="241558F5" w14:textId="77777777" w:rsidR="00576CDE" w:rsidRDefault="00000000">
      <w:pPr>
        <w:pStyle w:val="ListBullet"/>
        <w:spacing w:after="60"/>
      </w:pPr>
      <w:r>
        <w:t>Skewness is described as a fifth risk premium. Decide whether it is also added to the asset-class and cross-commodity portfolios (Dimil's page tests this) or stays a standalone premium. Paragraph 3 and the roadmap depend on that.</w:t>
      </w:r>
    </w:p>
    <w:p w14:paraId="62026A32" w14:textId="77777777" w:rsidR="00576CDE" w:rsidRDefault="00000000">
      <w:pPr>
        <w:pStyle w:val="ListBullet"/>
        <w:spacing w:after="60"/>
      </w:pPr>
      <w:r>
        <w:t>The limits paragraph (paragraph 7) is your wording and is unchanged. The absence of significance tests, and the fact that the NGL and Energy concentration was identified in the same sample, still need a place (Methodology limitations or Conclusion).</w:t>
      </w:r>
    </w:p>
    <w:p w14:paraId="11B0ED0A" w14:textId="77777777" w:rsidR="00576CDE" w:rsidRDefault="00000000">
      <w:pPr>
        <w:pStyle w:val="ListBullet"/>
        <w:spacing w:after="60"/>
      </w:pPr>
      <w:r>
        <w:t>Metals Value is the one exception inside the core signals. Paragraph 4 names it without a number. Keep or soften.</w:t>
      </w:r>
    </w:p>
    <w:p w14:paraId="4B824930" w14:textId="77777777" w:rsidR="00576CDE" w:rsidRDefault="00000000">
      <w:pPr>
        <w:pStyle w:val="ListBullet"/>
        <w:spacing w:after="60"/>
      </w:pPr>
      <w:r>
        <w:t>'Like-for-like' needs a caveat in Methodology: tenor pairs differ by asset class and NGL uses a shifted front contract. The reason for each design choice (NGL second contract, V2 Carry, two tenor pairs, six Agriculture products, roll rule, Value warm-up) goes in Methodology, one line each.</w:t>
      </w:r>
    </w:p>
    <w:p w14:paraId="603E84E3" w14:textId="77777777" w:rsidR="00576CDE" w:rsidRDefault="00000000">
      <w:pPr>
        <w:pStyle w:val="ListBullet"/>
        <w:spacing w:after="60"/>
      </w:pPr>
      <w:r>
        <w:t>Research_Methodology_v4 now carries a 2012 variant paragraph (Value warm-up of 504 observations). Make sure the new paper's Methodology uses the 2012 window and P1 to P3.</w:t>
      </w:r>
    </w:p>
    <w:p w14:paraId="597CD91F" w14:textId="77777777" w:rsidR="00576CDE" w:rsidRDefault="00000000">
      <w:pPr>
        <w:pStyle w:val="ListBullet"/>
        <w:spacing w:after="60"/>
      </w:pPr>
      <w:r>
        <w:t>Reference list is not built yet. Cited so far: Kaldor (1939); Working (1949); Brennan (1958); Cootner (1960); Hirshleifer (1988, 1990); Gorton and Rouwenhorst (2006); Erb and Harvey (2006); Miffre and Rallis (2007); Gorton, Hayashi and Rouwenhorst (2013); Asness, Moskowitz and Pedersen (2013); Koijen, Moskowitz, Pedersen and Vrugt (2018); Fernandez-Perez, Fuertes and Miffre (2021).</w:t>
      </w:r>
    </w:p>
    <w:p w14:paraId="25A2603E" w14:textId="77777777" w:rsidR="00576CDE" w:rsidRDefault="00000000">
      <w:pPr>
        <w:pStyle w:val="ListBullet"/>
        <w:spacing w:after="60"/>
      </w:pPr>
      <w:r>
        <w:t>The roadmap (paragraph 8) is your version and unchanged. It does not yet mention where Skewness is covered.</w:t>
      </w:r>
    </w:p>
    <w:sectPr w:rsidR="00576CD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108324">
    <w:abstractNumId w:val="8"/>
  </w:num>
  <w:num w:numId="2" w16cid:durableId="2025326275">
    <w:abstractNumId w:val="6"/>
  </w:num>
  <w:num w:numId="3" w16cid:durableId="249048890">
    <w:abstractNumId w:val="5"/>
  </w:num>
  <w:num w:numId="4" w16cid:durableId="1076787129">
    <w:abstractNumId w:val="4"/>
  </w:num>
  <w:num w:numId="5" w16cid:durableId="14696139">
    <w:abstractNumId w:val="7"/>
  </w:num>
  <w:num w:numId="6" w16cid:durableId="1777599301">
    <w:abstractNumId w:val="3"/>
  </w:num>
  <w:num w:numId="7" w16cid:durableId="669019858">
    <w:abstractNumId w:val="2"/>
  </w:num>
  <w:num w:numId="8" w16cid:durableId="1302467264">
    <w:abstractNumId w:val="1"/>
  </w:num>
  <w:num w:numId="9" w16cid:durableId="1715689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5C3"/>
    <w:rsid w:val="0015074B"/>
    <w:rsid w:val="0029639D"/>
    <w:rsid w:val="00326F90"/>
    <w:rsid w:val="00472258"/>
    <w:rsid w:val="00576CD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208728"/>
  <w14:defaultImageDpi w14:val="300"/>
  <w15:docId w15:val="{710F288F-3C38-4584-929E-690DD5709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1369</Words>
  <Characters>7809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kartavya joshi</cp:lastModifiedBy>
  <cp:revision>2</cp:revision>
  <dcterms:created xsi:type="dcterms:W3CDTF">2013-12-23T23:15:00Z</dcterms:created>
  <dcterms:modified xsi:type="dcterms:W3CDTF">2026-10-12T18:52:00Z</dcterms:modified>
  <cp:category/>
</cp:coreProperties>
</file>