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67BE2" w14:textId="77777777" w:rsidR="00CE450F" w:rsidRDefault="00000000">
      <w:pPr>
        <w:pStyle w:val="Heading1"/>
      </w:pPr>
      <w:r>
        <w:t>Research Methodology</w:t>
      </w:r>
    </w:p>
    <w:p w14:paraId="42ED4393" w14:textId="77777777" w:rsidR="00CE450F" w:rsidRDefault="00000000">
      <w:pPr>
        <w:pStyle w:val="Heading2"/>
      </w:pPr>
      <w:r>
        <w:t>1. Asset Universe</w:t>
      </w:r>
    </w:p>
    <w:p w14:paraId="32C83F02" w14:textId="77777777" w:rsidR="00F92987" w:rsidRPr="00F92987" w:rsidRDefault="00F92987" w:rsidP="00F929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6"/>
        <w:gridCol w:w="2556"/>
        <w:gridCol w:w="2556"/>
      </w:tblGrid>
      <w:tr w:rsidR="00F92987" w14:paraId="490091E8" w14:textId="77777777">
        <w:tc>
          <w:tcPr>
            <w:tcW w:w="2556" w:type="dxa"/>
          </w:tcPr>
          <w:p w14:paraId="23464894" w14:textId="77777777" w:rsidR="00F92987" w:rsidRDefault="00F92987">
            <w:r>
              <w:rPr>
                <w:b/>
              </w:rPr>
              <w:t>Asset Class</w:t>
            </w:r>
          </w:p>
        </w:tc>
        <w:tc>
          <w:tcPr>
            <w:tcW w:w="2556" w:type="dxa"/>
          </w:tcPr>
          <w:p w14:paraId="5A5B1800" w14:textId="77777777" w:rsidR="00F92987" w:rsidRDefault="00F92987">
            <w:r>
              <w:rPr>
                <w:b/>
              </w:rPr>
              <w:t>Products</w:t>
            </w:r>
          </w:p>
        </w:tc>
        <w:tc>
          <w:tcPr>
            <w:tcW w:w="2556" w:type="dxa"/>
          </w:tcPr>
          <w:p w14:paraId="73B4A7B7" w14:textId="77777777" w:rsidR="00F92987" w:rsidRDefault="00F92987">
            <w:r>
              <w:rPr>
                <w:b/>
              </w:rPr>
              <w:t>Exchange / Source</w:t>
            </w:r>
          </w:p>
        </w:tc>
      </w:tr>
      <w:tr w:rsidR="00F92987" w14:paraId="2092F7A5" w14:textId="77777777">
        <w:tc>
          <w:tcPr>
            <w:tcW w:w="2556" w:type="dxa"/>
          </w:tcPr>
          <w:p w14:paraId="35EA47D3" w14:textId="77777777" w:rsidR="00F92987" w:rsidRDefault="00F92987">
            <w:r>
              <w:t>Metals</w:t>
            </w:r>
          </w:p>
        </w:tc>
        <w:tc>
          <w:tcPr>
            <w:tcW w:w="2556" w:type="dxa"/>
          </w:tcPr>
          <w:p w14:paraId="77D23B9F" w14:textId="77777777" w:rsidR="00F92987" w:rsidRDefault="00F92987">
            <w:r>
              <w:t>Copper, Aluminium, Lead, Zinc</w:t>
            </w:r>
          </w:p>
        </w:tc>
        <w:tc>
          <w:tcPr>
            <w:tcW w:w="2556" w:type="dxa"/>
          </w:tcPr>
          <w:p w14:paraId="57463806" w14:textId="77777777" w:rsidR="00F92987" w:rsidRDefault="00F92987">
            <w:r>
              <w:t>LME</w:t>
            </w:r>
          </w:p>
        </w:tc>
      </w:tr>
      <w:tr w:rsidR="00F92987" w14:paraId="6802060C" w14:textId="77777777">
        <w:tc>
          <w:tcPr>
            <w:tcW w:w="2556" w:type="dxa"/>
          </w:tcPr>
          <w:p w14:paraId="41332EB6" w14:textId="77777777" w:rsidR="00F92987" w:rsidRDefault="00F92987">
            <w:r>
              <w:t>Oil / Energy</w:t>
            </w:r>
          </w:p>
        </w:tc>
        <w:tc>
          <w:tcPr>
            <w:tcW w:w="2556" w:type="dxa"/>
          </w:tcPr>
          <w:p w14:paraId="6393D7AD" w14:textId="77777777" w:rsidR="00F92987" w:rsidRDefault="00F92987">
            <w:r>
              <w:t>WTI, Brent, RBOB, Heating Oil, Nat Gas</w:t>
            </w:r>
          </w:p>
        </w:tc>
        <w:tc>
          <w:tcPr>
            <w:tcW w:w="2556" w:type="dxa"/>
          </w:tcPr>
          <w:p w14:paraId="39C606B4" w14:textId="77777777" w:rsidR="00F92987" w:rsidRDefault="00F92987">
            <w:r>
              <w:t>NYMEX / ICE</w:t>
            </w:r>
          </w:p>
        </w:tc>
      </w:tr>
      <w:tr w:rsidR="00F92987" w14:paraId="0EB1883B" w14:textId="77777777">
        <w:tc>
          <w:tcPr>
            <w:tcW w:w="2556" w:type="dxa"/>
          </w:tcPr>
          <w:p w14:paraId="30AEE848" w14:textId="77777777" w:rsidR="00F92987" w:rsidRDefault="00F92987">
            <w:r>
              <w:t>Precious Metals</w:t>
            </w:r>
          </w:p>
        </w:tc>
        <w:tc>
          <w:tcPr>
            <w:tcW w:w="2556" w:type="dxa"/>
          </w:tcPr>
          <w:p w14:paraId="4111D78A" w14:textId="78AC3D60" w:rsidR="00F92987" w:rsidRDefault="00F92987">
            <w:r>
              <w:t>Gold, Silver, Platinum, Palladium</w:t>
            </w:r>
          </w:p>
        </w:tc>
        <w:tc>
          <w:tcPr>
            <w:tcW w:w="2556" w:type="dxa"/>
          </w:tcPr>
          <w:p w14:paraId="6486AA9D" w14:textId="77777777" w:rsidR="00F92987" w:rsidRDefault="00F92987">
            <w:r>
              <w:t>COMEX / NYMEX</w:t>
            </w:r>
          </w:p>
        </w:tc>
      </w:tr>
      <w:tr w:rsidR="00F92987" w14:paraId="6B0548FC" w14:textId="77777777">
        <w:tc>
          <w:tcPr>
            <w:tcW w:w="2556" w:type="dxa"/>
          </w:tcPr>
          <w:p w14:paraId="4BC3E725" w14:textId="77777777" w:rsidR="00F92987" w:rsidRDefault="00F92987">
            <w:r>
              <w:t>NGL</w:t>
            </w:r>
          </w:p>
        </w:tc>
        <w:tc>
          <w:tcPr>
            <w:tcW w:w="2556" w:type="dxa"/>
          </w:tcPr>
          <w:p w14:paraId="35875A9F" w14:textId="77777777" w:rsidR="00F92987" w:rsidRDefault="00F92987">
            <w:r>
              <w:t>Ethane, Propane, Butane, Isobutane</w:t>
            </w:r>
          </w:p>
        </w:tc>
        <w:tc>
          <w:tcPr>
            <w:tcW w:w="2556" w:type="dxa"/>
          </w:tcPr>
          <w:p w14:paraId="24AC59FC" w14:textId="77777777" w:rsidR="00F92987" w:rsidRDefault="00F92987">
            <w:r>
              <w:t>Argus OTC</w:t>
            </w:r>
          </w:p>
        </w:tc>
      </w:tr>
    </w:tbl>
    <w:p w14:paraId="44CDEA67" w14:textId="77777777" w:rsidR="00CE450F" w:rsidRDefault="00CE450F"/>
    <w:p w14:paraId="2AA64FC1" w14:textId="77777777" w:rsidR="00CE450F" w:rsidRDefault="00000000">
      <w:pPr>
        <w:pStyle w:val="Heading2"/>
      </w:pPr>
      <w:r>
        <w:t>2. Data</w:t>
      </w:r>
    </w:p>
    <w:p w14:paraId="494E6CE3" w14:textId="540D6D92" w:rsidR="00CE450F" w:rsidRDefault="00000000">
      <w:r>
        <w:t xml:space="preserve">Daily futures curve prices (F1…Fn, near to far contract) per product, sourced from </w:t>
      </w:r>
      <w:r w:rsidR="00F92987">
        <w:t>Bloomberg</w:t>
      </w:r>
      <w:r>
        <w:t xml:space="preserve"> covering 2006-01 through 2026-06. All reported results use a standardized 2011-01-01 to 2026-06-30 window; the pre-2011 history is retained only to warm up long-lookback signals (notably Value's 1,260-day moving average) before the reporting window begins. Four locked regime sub-periods are used throughout: R1 Supercycle Unwind (2011–2015), R2 Recovery/Stabilization (2016–2019), R3 COVID Shock (2020–2021), R4 Post-COVID / Russia-Ukraine (2022–2026)</w:t>
      </w:r>
      <w:r w:rsidR="00F92987">
        <w:t>,</w:t>
      </w:r>
      <w:r>
        <w:t xml:space="preserve"> plus a partial 2026 year-to-date column, a slice of R4 shown separately for reference, not a fifth locked regime.</w:t>
      </w:r>
    </w:p>
    <w:p w14:paraId="60B42F22" w14:textId="77777777" w:rsidR="00CE450F" w:rsidRDefault="00000000">
      <w:pPr>
        <w:pStyle w:val="Heading2"/>
      </w:pPr>
      <w:r>
        <w:t>3. Continuous Price Construction (Contract Roll)</w:t>
      </w:r>
    </w:p>
    <w:p w14:paraId="7B81100D" w14:textId="028DCD27" w:rsidR="00CE450F" w:rsidRDefault="00000000">
      <w:r>
        <w:t>A single continuous price series is built per product by splicing the front (F1) contract into the next (F2) contract as expiry approaches, using ratio (multiplicative) back-adjustment</w:t>
      </w:r>
      <w:r w:rsidR="00F92987">
        <w:t>,</w:t>
      </w:r>
      <w:r>
        <w:t xml:space="preserve"> each day's continuous price is the prior continuous price scaled by the day-over-day percentage change of the active contract, which </w:t>
      </w:r>
      <w:r w:rsidR="00F92987">
        <w:t xml:space="preserve">is </w:t>
      </w:r>
      <w:r>
        <w:t>required for</w:t>
      </w:r>
      <w:r w:rsidR="00F92987">
        <w:t xml:space="preserve"> calculating</w:t>
      </w:r>
      <w:r>
        <w:t xml:space="preserve"> log returns. The roll occurs 5 trading days before each contract's last tradeable date. NGL uses F2 as the front leg (not F1), since NGL swaps are monthly-averaging instruments where the nearest contract can be a stale, partial-month price.</w:t>
      </w:r>
    </w:p>
    <w:p w14:paraId="2151C7B9" w14:textId="57BA5339" w:rsidR="00CE450F" w:rsidRDefault="00000000">
      <w:r>
        <w:t xml:space="preserve">WTI's front-month contract settled at a negative price on 2020-04-20 (−$37.63), so it is replaced with a value imputed from Brent's own price and the average WTI-Brent spread on the two adjacent trading days, before </w:t>
      </w:r>
      <w:r w:rsidR="00F92987">
        <w:t>any</w:t>
      </w:r>
      <w:r>
        <w:t xml:space="preserve"> strategy's signal is computed.</w:t>
      </w:r>
    </w:p>
    <w:p w14:paraId="5967C791" w14:textId="77777777" w:rsidR="00CE450F" w:rsidRDefault="00000000">
      <w:pPr>
        <w:pStyle w:val="Heading2"/>
      </w:pPr>
      <w:r>
        <w:t>4. Execution Timing and Rolling Windows</w:t>
      </w:r>
    </w:p>
    <w:p w14:paraId="7D5FEAD3" w14:textId="6BE1C7A9" w:rsidR="00CE450F" w:rsidRDefault="00000000">
      <w:r>
        <w:t>Every signal is converted to a tradeable position with a minimum one-day execution lag</w:t>
      </w:r>
      <w:r w:rsidR="006E6596">
        <w:t xml:space="preserve">, </w:t>
      </w:r>
      <w:r w:rsidR="00502DC3">
        <w:t>to</w:t>
      </w:r>
      <w:r w:rsidR="006E6596">
        <w:t xml:space="preserve"> </w:t>
      </w:r>
      <w:r w:rsidR="00502DC3">
        <w:t>match</w:t>
      </w:r>
      <w:r w:rsidR="006E6596">
        <w:t xml:space="preserve"> closing price of next trading day.</w:t>
      </w:r>
      <w:r w:rsidR="00502DC3">
        <w:t xml:space="preserve"> </w:t>
      </w:r>
      <w:r w:rsidR="006E6596">
        <w:t>E</w:t>
      </w:r>
      <w:r>
        <w:t>very strategy's effective lag from signal to position is 2 trading days.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E450F" w14:paraId="782D5812" w14:textId="77777777">
        <w:tc>
          <w:tcPr>
            <w:tcW w:w="3408" w:type="dxa"/>
          </w:tcPr>
          <w:p w14:paraId="63C0A918" w14:textId="77777777" w:rsidR="00CE450F" w:rsidRDefault="00000000">
            <w:r>
              <w:rPr>
                <w:b/>
              </w:rPr>
              <w:t>Component</w:t>
            </w:r>
          </w:p>
        </w:tc>
        <w:tc>
          <w:tcPr>
            <w:tcW w:w="3408" w:type="dxa"/>
          </w:tcPr>
          <w:p w14:paraId="7123F514" w14:textId="77777777" w:rsidR="00CE450F" w:rsidRDefault="00000000">
            <w:r>
              <w:rPr>
                <w:b/>
              </w:rPr>
              <w:t>Window / Lag</w:t>
            </w:r>
          </w:p>
        </w:tc>
        <w:tc>
          <w:tcPr>
            <w:tcW w:w="3408" w:type="dxa"/>
          </w:tcPr>
          <w:p w14:paraId="0B7DE7AC" w14:textId="77777777" w:rsidR="00CE450F" w:rsidRDefault="00000000">
            <w:r>
              <w:rPr>
                <w:b/>
              </w:rPr>
              <w:t>Notes</w:t>
            </w:r>
          </w:p>
        </w:tc>
      </w:tr>
      <w:tr w:rsidR="00CE450F" w14:paraId="1341B5B9" w14:textId="77777777">
        <w:tc>
          <w:tcPr>
            <w:tcW w:w="3408" w:type="dxa"/>
          </w:tcPr>
          <w:p w14:paraId="7E989948" w14:textId="77777777" w:rsidR="00CE450F" w:rsidRDefault="00000000">
            <w:r>
              <w:t>Momentum (3 crossovers)</w:t>
            </w:r>
          </w:p>
        </w:tc>
        <w:tc>
          <w:tcPr>
            <w:tcW w:w="3408" w:type="dxa"/>
          </w:tcPr>
          <w:p w14:paraId="3F3D4AFA" w14:textId="77777777" w:rsidR="00CE450F" w:rsidRDefault="00000000">
            <w:r>
              <w:t>(1,20), (5,60), (20,250) trading days</w:t>
            </w:r>
          </w:p>
        </w:tc>
        <w:tc>
          <w:tcPr>
            <w:tcW w:w="3408" w:type="dxa"/>
          </w:tcPr>
          <w:p w14:paraId="2D724159" w14:textId="77777777" w:rsidR="00CE450F" w:rsidRDefault="00000000">
            <w:r>
              <w:t>Fixed moving-average pairs</w:t>
            </w:r>
          </w:p>
        </w:tc>
      </w:tr>
      <w:tr w:rsidR="00CE450F" w14:paraId="13723121" w14:textId="77777777">
        <w:tc>
          <w:tcPr>
            <w:tcW w:w="3408" w:type="dxa"/>
          </w:tcPr>
          <w:p w14:paraId="5AE52B22" w14:textId="6D8FE5BF" w:rsidR="00CE450F" w:rsidRDefault="00000000">
            <w:r>
              <w:t xml:space="preserve">Carry </w:t>
            </w:r>
            <w:r w:rsidR="00F92987">
              <w:t xml:space="preserve">(EW Normal(V1) and </w:t>
            </w:r>
            <w:r>
              <w:t>Z-score (V2)</w:t>
            </w:r>
            <w:r w:rsidR="00F92987">
              <w:t>)</w:t>
            </w:r>
          </w:p>
        </w:tc>
        <w:tc>
          <w:tcPr>
            <w:tcW w:w="3408" w:type="dxa"/>
          </w:tcPr>
          <w:p w14:paraId="24B4A8A5" w14:textId="560390AE" w:rsidR="00CE450F" w:rsidRDefault="00F92987">
            <w:r>
              <w:t>For Normal F1-F3 and F1-F13              For Z-score 252 days</w:t>
            </w:r>
          </w:p>
        </w:tc>
        <w:tc>
          <w:tcPr>
            <w:tcW w:w="3408" w:type="dxa"/>
          </w:tcPr>
          <w:p w14:paraId="41B68DFE" w14:textId="77777777" w:rsidR="00CE450F" w:rsidRDefault="00000000">
            <w:r>
              <w:t>Rolling mean/std of the curve slope</w:t>
            </w:r>
          </w:p>
        </w:tc>
      </w:tr>
      <w:tr w:rsidR="00CE450F" w14:paraId="6E40F660" w14:textId="77777777">
        <w:tc>
          <w:tcPr>
            <w:tcW w:w="3408" w:type="dxa"/>
          </w:tcPr>
          <w:p w14:paraId="1ED36907" w14:textId="77777777" w:rsidR="00CE450F" w:rsidRDefault="00000000">
            <w:r>
              <w:t>Carry-Momentum</w:t>
            </w:r>
          </w:p>
        </w:tc>
        <w:tc>
          <w:tcPr>
            <w:tcW w:w="3408" w:type="dxa"/>
          </w:tcPr>
          <w:p w14:paraId="2F70E133" w14:textId="234338C3" w:rsidR="00CE450F" w:rsidRDefault="00F92987">
            <w:r>
              <w:t xml:space="preserve">F1-F3 </w:t>
            </w:r>
            <w:r w:rsidR="006E6596">
              <w:t xml:space="preserve">20 trading days </w:t>
            </w:r>
            <w:r>
              <w:t>and F1-F13 20 trading days</w:t>
            </w:r>
          </w:p>
        </w:tc>
        <w:tc>
          <w:tcPr>
            <w:tcW w:w="3408" w:type="dxa"/>
          </w:tcPr>
          <w:p w14:paraId="187C2916" w14:textId="77777777" w:rsidR="00CE450F" w:rsidRDefault="00000000">
            <w:r>
              <w:t>Fixed-lag rate of change, not a rolling window</w:t>
            </w:r>
          </w:p>
        </w:tc>
      </w:tr>
      <w:tr w:rsidR="00CE450F" w14:paraId="68AA97BF" w14:textId="77777777">
        <w:tc>
          <w:tcPr>
            <w:tcW w:w="3408" w:type="dxa"/>
          </w:tcPr>
          <w:p w14:paraId="4D38A25B" w14:textId="77777777" w:rsidR="00CE450F" w:rsidRDefault="00000000">
            <w:r>
              <w:t>Value</w:t>
            </w:r>
          </w:p>
        </w:tc>
        <w:tc>
          <w:tcPr>
            <w:tcW w:w="3408" w:type="dxa"/>
          </w:tcPr>
          <w:p w14:paraId="10B9630A" w14:textId="77777777" w:rsidR="00CE450F" w:rsidRDefault="00000000">
            <w:r>
              <w:t>1,260 trading days (~5 years)</w:t>
            </w:r>
          </w:p>
        </w:tc>
        <w:tc>
          <w:tcPr>
            <w:tcW w:w="3408" w:type="dxa"/>
          </w:tcPr>
          <w:p w14:paraId="33193247" w14:textId="77777777" w:rsidR="00CE450F" w:rsidRDefault="00000000">
            <w:r>
              <w:t>Min. 630 days required before the signal activates</w:t>
            </w:r>
          </w:p>
        </w:tc>
      </w:tr>
      <w:tr w:rsidR="00CE450F" w14:paraId="3529DDAD" w14:textId="77777777">
        <w:tc>
          <w:tcPr>
            <w:tcW w:w="3408" w:type="dxa"/>
          </w:tcPr>
          <w:p w14:paraId="738C5EF0" w14:textId="77777777" w:rsidR="00CE450F" w:rsidRDefault="00000000">
            <w:r>
              <w:t>Risk Parity (ERC)</w:t>
            </w:r>
          </w:p>
        </w:tc>
        <w:tc>
          <w:tcPr>
            <w:tcW w:w="3408" w:type="dxa"/>
          </w:tcPr>
          <w:p w14:paraId="6B23143F" w14:textId="77777777" w:rsidR="00CE450F" w:rsidRDefault="00000000">
            <w:r>
              <w:t>252-day covariance, rebalanced every ~21 days</w:t>
            </w:r>
          </w:p>
        </w:tc>
        <w:tc>
          <w:tcPr>
            <w:tcW w:w="3408" w:type="dxa"/>
          </w:tcPr>
          <w:p w14:paraId="3BCCA6DA" w14:textId="77777777" w:rsidR="00CE450F" w:rsidRDefault="00000000">
            <w:r>
              <w:t>Falls back to equal weight before the first full window</w:t>
            </w:r>
          </w:p>
        </w:tc>
      </w:tr>
      <w:tr w:rsidR="00CE450F" w14:paraId="4639AE71" w14:textId="77777777">
        <w:tc>
          <w:tcPr>
            <w:tcW w:w="3408" w:type="dxa"/>
          </w:tcPr>
          <w:p w14:paraId="2229FF94" w14:textId="77777777" w:rsidR="00CE450F" w:rsidRDefault="00000000">
            <w:r>
              <w:t>Dynamic Risk Parity (DRP)</w:t>
            </w:r>
          </w:p>
        </w:tc>
        <w:tc>
          <w:tcPr>
            <w:tcW w:w="3408" w:type="dxa"/>
          </w:tcPr>
          <w:p w14:paraId="403EA06A" w14:textId="77777777" w:rsidR="00CE450F" w:rsidRDefault="00000000">
            <w:r>
              <w:t>20-day vol / 60-day covariance EWMA half-lives, rebalanced every ~21 days</w:t>
            </w:r>
          </w:p>
        </w:tc>
        <w:tc>
          <w:tcPr>
            <w:tcW w:w="3408" w:type="dxa"/>
          </w:tcPr>
          <w:p w14:paraId="3D9CDF92" w14:textId="77777777" w:rsidR="00CE450F" w:rsidRDefault="00000000">
            <w:r>
              <w:t xml:space="preserve">Correlations shrunk 50% toward diagonal; rescaled to match Equal </w:t>
            </w:r>
            <w:r>
              <w:lastRenderedPageBreak/>
              <w:t>Weight's own full-sample volatility; falls back to equal weight before enough history has accumulated</w:t>
            </w:r>
          </w:p>
        </w:tc>
      </w:tr>
    </w:tbl>
    <w:p w14:paraId="2DE60D0D" w14:textId="77777777" w:rsidR="00CE450F" w:rsidRDefault="00CE450F"/>
    <w:p w14:paraId="6D8F8A0E" w14:textId="77777777" w:rsidR="00CE450F" w:rsidRDefault="00000000">
      <w:pPr>
        <w:pStyle w:val="Heading2"/>
      </w:pPr>
      <w:r>
        <w:t>5. Transaction Costs</w:t>
      </w:r>
    </w:p>
    <w:p w14:paraId="36B02F3A" w14:textId="77777777" w:rsidR="00CE450F" w:rsidRDefault="00000000">
      <w:r>
        <w:t>A flat 5 basis points round-trip cost is applied on every position change: cost[t] = |position[t] − position[t−1]| × (5bp / 2). An additional roll-day charge of the same magnitude is applied when a position is held through a contract roll with unchanged sign, since rolling is a real trade even when the strategy's directional stance does not change. All reported returns are net of these costs.</w:t>
      </w:r>
    </w:p>
    <w:p w14:paraId="20108C87" w14:textId="77777777" w:rsidR="00CE450F" w:rsidRDefault="00000000">
      <w:pPr>
        <w:pStyle w:val="Heading2"/>
      </w:pPr>
      <w:r>
        <w:t>6. Return Calculation</w:t>
      </w:r>
    </w:p>
    <w:p w14:paraId="35EBE352" w14:textId="77777777" w:rsidR="00CE450F" w:rsidRDefault="00000000">
      <w:r>
        <w:t>Returns are computed in log-return space: daily gross return = position[t] × (log(price[t]) − log(price[t−1])), daily net return = gross − transaction cost. Reported figures convert this to true, investor-experienced terms rather than leaving them in log units.</w:t>
      </w:r>
    </w:p>
    <w:p w14:paraId="357C972F" w14:textId="3347BDFF" w:rsidR="00CE450F" w:rsidRDefault="00000000">
      <w:pPr>
        <w:pStyle w:val="ListBullet"/>
      </w:pPr>
      <w:r>
        <w:t>Annualized return = (e^(mean(daily net log return) × 252) − 1) × 100%</w:t>
      </w:r>
      <w:r w:rsidR="00502DC3">
        <w:t>,</w:t>
      </w:r>
      <w:r>
        <w:t xml:space="preserve"> the true compounded annual growth rate implied by the log-return series, not the log-return mean itself.</w:t>
      </w:r>
    </w:p>
    <w:p w14:paraId="07C0AA1D" w14:textId="4E278C25" w:rsidR="00CE450F" w:rsidRDefault="00000000">
      <w:pPr>
        <w:pStyle w:val="ListBullet"/>
      </w:pPr>
      <w:r>
        <w:t>Annualized volatility is computed empirically, not from the log-return series' own standard deviation: each day's log return is converted to its realized simple return (e^r − 1), and the standard deviation of those simple returns is annualized by √252.</w:t>
      </w:r>
    </w:p>
    <w:p w14:paraId="054ACB51" w14:textId="6BE338CA" w:rsidR="00CE450F" w:rsidRDefault="00000000">
      <w:pPr>
        <w:pStyle w:val="ListBullet"/>
      </w:pPr>
      <w:r>
        <w:t>Information Ratio = annualized return ÷ annualized volatility, using this</w:t>
      </w:r>
      <w:r w:rsidR="00502DC3">
        <w:t xml:space="preserve"> </w:t>
      </w:r>
      <w:r>
        <w:t>return /volatility pair, so both figures are in matching units and the ratio reproduces the two displayed numbers exactly.</w:t>
      </w:r>
    </w:p>
    <w:p w14:paraId="21669F6B" w14:textId="5CB57B3A" w:rsidR="00CE450F" w:rsidRDefault="00000000">
      <w:pPr>
        <w:pStyle w:val="ListBullet"/>
      </w:pPr>
      <w:r>
        <w:t>Maximum drawdown is computed on the  value curve and independently within each reporting window rather than sliced from one continuous equity curve, so a regime's drawdown reflects only that regime's own path.</w:t>
      </w:r>
    </w:p>
    <w:p w14:paraId="78FEA02A" w14:textId="77777777" w:rsidR="00CE450F" w:rsidRDefault="00000000">
      <w:r>
        <w:t>Positions are bounded to +1, −1, or 0 (fully long, fully short, or flat, one unit of notional); no leverage or volatility-targeting overlay is applied at the individual-strategy level. Portfolio-level combination methods (Section 8) may reweight or rescale exposure across strategies, but never within a single strategy's own signal.</w:t>
      </w:r>
    </w:p>
    <w:p w14:paraId="5B53525C" w14:textId="77777777" w:rsidR="00CE450F" w:rsidRDefault="00000000">
      <w:pPr>
        <w:pStyle w:val="Heading2"/>
      </w:pPr>
      <w:r>
        <w:t>7. Strategy Construction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CE450F" w14:paraId="142790FB" w14:textId="77777777">
        <w:tc>
          <w:tcPr>
            <w:tcW w:w="5112" w:type="dxa"/>
          </w:tcPr>
          <w:p w14:paraId="268B6ADD" w14:textId="77777777" w:rsidR="00CE450F" w:rsidRDefault="00000000">
            <w:r>
              <w:rPr>
                <w:b/>
              </w:rPr>
              <w:t>Strategy</w:t>
            </w:r>
          </w:p>
        </w:tc>
        <w:tc>
          <w:tcPr>
            <w:tcW w:w="5112" w:type="dxa"/>
          </w:tcPr>
          <w:p w14:paraId="4D8F7926" w14:textId="77777777" w:rsidR="00CE450F" w:rsidRDefault="00000000">
            <w:r>
              <w:rPr>
                <w:b/>
              </w:rPr>
              <w:t>Formula</w:t>
            </w:r>
          </w:p>
        </w:tc>
      </w:tr>
      <w:tr w:rsidR="00CE450F" w14:paraId="2A6EF307" w14:textId="77777777">
        <w:tc>
          <w:tcPr>
            <w:tcW w:w="5112" w:type="dxa"/>
          </w:tcPr>
          <w:p w14:paraId="4CF1AF6B" w14:textId="77777777" w:rsidR="00CE450F" w:rsidRDefault="00000000">
            <w:r>
              <w:t>Momentum</w:t>
            </w:r>
          </w:p>
        </w:tc>
        <w:tc>
          <w:tcPr>
            <w:tcW w:w="5112" w:type="dxa"/>
          </w:tcPr>
          <w:p w14:paraId="6EE38B96" w14:textId="77777777" w:rsidR="00CE450F" w:rsidRDefault="00000000">
            <w:r>
              <w:t>Sign of MA(fast) − MA(slow) for each of 3 pairs; composite = sign(average of the 3 signs).</w:t>
            </w:r>
          </w:p>
        </w:tc>
      </w:tr>
      <w:tr w:rsidR="00CE450F" w14:paraId="3A261DF6" w14:textId="77777777">
        <w:tc>
          <w:tcPr>
            <w:tcW w:w="5112" w:type="dxa"/>
          </w:tcPr>
          <w:p w14:paraId="7D6E1EFE" w14:textId="77777777" w:rsidR="00CE450F" w:rsidRDefault="00000000">
            <w:r>
              <w:t>Carry</w:t>
            </w:r>
          </w:p>
        </w:tc>
        <w:tc>
          <w:tcPr>
            <w:tcW w:w="5112" w:type="dxa"/>
          </w:tcPr>
          <w:p w14:paraId="04A7F31C" w14:textId="61D24DE8" w:rsidR="00CE450F" w:rsidRDefault="00000000">
            <w:r>
              <w:t>V1 = sign of (near − far). V2 = sign of that slope's 252-day z-score. Carry = sign(average(V1, V2)). Where an asset class trades two tenor pairs</w:t>
            </w:r>
            <w:r w:rsidR="00502DC3">
              <w:t>*</w:t>
            </w:r>
            <w:r>
              <w:t>, the composite is built separately per pair, then the two composites are equal-weighted into one final signal.</w:t>
            </w:r>
          </w:p>
        </w:tc>
      </w:tr>
      <w:tr w:rsidR="00CE450F" w14:paraId="5A326319" w14:textId="77777777">
        <w:tc>
          <w:tcPr>
            <w:tcW w:w="5112" w:type="dxa"/>
          </w:tcPr>
          <w:p w14:paraId="63584753" w14:textId="77777777" w:rsidR="00CE450F" w:rsidRDefault="00000000">
            <w:r>
              <w:t>Carry-Momentum</w:t>
            </w:r>
          </w:p>
        </w:tc>
        <w:tc>
          <w:tcPr>
            <w:tcW w:w="5112" w:type="dxa"/>
          </w:tcPr>
          <w:p w14:paraId="4CB516A4" w14:textId="77777777" w:rsidR="00CE450F" w:rsidRDefault="00000000">
            <w:r>
              <w:t>Sign of (today's slope − slope 20 trading days ago). Same cross-tenor equal-weighting as Carry where two tenor pairs exist.</w:t>
            </w:r>
          </w:p>
        </w:tc>
      </w:tr>
      <w:tr w:rsidR="00CE450F" w14:paraId="1C2F262F" w14:textId="77777777">
        <w:tc>
          <w:tcPr>
            <w:tcW w:w="5112" w:type="dxa"/>
          </w:tcPr>
          <w:p w14:paraId="5A10A7E6" w14:textId="77777777" w:rsidR="00CE450F" w:rsidRDefault="00000000">
            <w:r>
              <w:t>Value</w:t>
            </w:r>
          </w:p>
        </w:tc>
        <w:tc>
          <w:tcPr>
            <w:tcW w:w="5112" w:type="dxa"/>
          </w:tcPr>
          <w:p w14:paraId="4C05F906" w14:textId="77777777" w:rsidR="00CE450F" w:rsidRDefault="00000000">
            <w:r>
              <w:t>Position = +1 if price is more than 10% below its 1,260-day moving average, −1 if more than 10% above, 0 otherwise. Uses the F3 contract uniformly across all asset classes.</w:t>
            </w:r>
          </w:p>
        </w:tc>
      </w:tr>
    </w:tbl>
    <w:p w14:paraId="57D8AC18" w14:textId="77777777" w:rsidR="00CE450F" w:rsidRDefault="00CE450F"/>
    <w:p w14:paraId="2E4EF873" w14:textId="5C03B04B" w:rsidR="00CE450F" w:rsidRDefault="00502DC3">
      <w:r>
        <w:t>*Carry tenor pairs by asset class: Metals and Oil/Energy use F1-F3 and F1-F13; NGL uses F2-F4 and F2-F14; Precious Metals uses F1-F3 only (limited liquidity beyond that tenor for Platinum and Palladium).</w:t>
      </w:r>
    </w:p>
    <w:p w14:paraId="269E248D" w14:textId="12202CCA" w:rsidR="00CE450F" w:rsidRDefault="00000000">
      <w:r>
        <w:t>Where two tenor pairs are combined (Carry and Carry-Momentum), the equal-weighting across tenors is applied to the raw signal, and the execution shift is applied once to the combined result</w:t>
      </w:r>
      <w:r w:rsidR="00502DC3">
        <w:t>,</w:t>
      </w:r>
      <w:r>
        <w:t xml:space="preserve"> not separately per tenor before combining. The two </w:t>
      </w:r>
      <w:r>
        <w:lastRenderedPageBreak/>
        <w:t>orderings coincide whenever both tenors have a valid signal on a given day, and diverge only when one tenor's signal is unavailable (for example, during its own rolling-window warm-up) while the other's is not.</w:t>
      </w:r>
    </w:p>
    <w:p w14:paraId="1BED07B9" w14:textId="77777777" w:rsidR="00CE450F" w:rsidRDefault="00000000">
      <w:pPr>
        <w:pStyle w:val="Heading2"/>
      </w:pPr>
      <w:r>
        <w:t>8. Portfolio Construction (Within an Asset Class)</w:t>
      </w:r>
    </w:p>
    <w:p w14:paraId="6F4DF728" w14:textId="68D85FCC" w:rsidR="00CE450F" w:rsidRDefault="00506314">
      <w:r>
        <w:t>Each strategy's signal is computed on that product's own full available price history, not pre-truncated to the window shared across the asset class's products; only the resulting return series is aligned to the common window afterward, once any warm-up period has already been absorbed.</w:t>
      </w:r>
    </w:p>
    <w:p w14:paraId="1D0FA727" w14:textId="77777777" w:rsidR="00CE450F" w:rsidRDefault="00000000">
      <w:r>
        <w:t>Each asset class combines its four strategy series into three portfolios:</w:t>
      </w:r>
    </w:p>
    <w:p w14:paraId="7C8C531D" w14:textId="77777777" w:rsidR="00CE450F" w:rsidRDefault="00000000">
      <w:pPr>
        <w:pStyle w:val="ListBullet"/>
      </w:pPr>
      <w:r>
        <w:t>Equal Weight — simple average of the four strategies' daily net returns.</w:t>
      </w:r>
    </w:p>
    <w:p w14:paraId="2E5D7879" w14:textId="22FD1064" w:rsidR="00CE450F" w:rsidRDefault="00000000">
      <w:pPr>
        <w:pStyle w:val="ListBullet"/>
      </w:pPr>
      <w:r>
        <w:t>Risk Parity (ERC, rolling) — weights solved from the trailing 252-day covariance matrix of the four strategies' returns so each contributes equal risk, rebalanced every ~21 trading days using only data strictly before the rebalance date. No return-tilt is applied.</w:t>
      </w:r>
    </w:p>
    <w:p w14:paraId="52E37407" w14:textId="0A1EA00B" w:rsidR="00CE450F" w:rsidRDefault="00000000">
      <w:pPr>
        <w:pStyle w:val="ListBullet"/>
      </w:pPr>
      <w:r>
        <w:t>Dynamic Risk Parity (DRP, rolling) — each strategy is weighted by the inverse of its EWMA volatility (20-day half-life), with EWMA covariance (60-day half-life) shrunk 50% toward its own diagonal; the resulting portfolio is rescaled to match Equal Weight's own full-sample volatility. Rebalanced every ~21 trading days with no look-ahead. A simpler recipe than Risk Parity</w:t>
      </w:r>
      <w:r w:rsidR="0054416C">
        <w:t xml:space="preserve">, </w:t>
      </w:r>
      <w:r>
        <w:t>inverse-volatility weighting rather than a full equal-risk-contribution solve</w:t>
      </w:r>
      <w:r w:rsidR="0054416C">
        <w:t>,</w:t>
      </w:r>
      <w:r>
        <w:t xml:space="preserve"> with an explicit volatility-target rescaling step Risk Parity does not have.</w:t>
      </w:r>
    </w:p>
    <w:p w14:paraId="7AE7019D" w14:textId="63BD1B97" w:rsidR="00CE450F" w:rsidRDefault="00000000">
      <w:r>
        <w:t>Within each strategy, product-level return series are combined on the intersection of trading dates across the asset class's products: a date is included only if every product traded on it. Each product's return series is first converted to a cumulative level so that a dropped date's move is not lost</w:t>
      </w:r>
      <w:r w:rsidR="0054416C">
        <w:t xml:space="preserve">, </w:t>
      </w:r>
      <w:r>
        <w:t>it is absorbed into the next surviving date for that product independently</w:t>
      </w:r>
      <w:r w:rsidR="0054416C">
        <w:t>,</w:t>
      </w:r>
      <w:r>
        <w:t xml:space="preserve"> then the intersected, re-differenced series are equal-weighted.</w:t>
      </w:r>
    </w:p>
    <w:p w14:paraId="0B35D268" w14:textId="77777777" w:rsidR="00CE450F" w:rsidRDefault="00000000">
      <w:pPr>
        <w:pStyle w:val="Heading2"/>
      </w:pPr>
      <w:r>
        <w:t>9. Cross-Asset Portfolio Construction</w:t>
      </w:r>
    </w:p>
    <w:p w14:paraId="2AD5A8B0" w14:textId="77777777" w:rsidR="00CE450F" w:rsidRDefault="00000000">
      <w:r>
        <w:t>Cross-Commodity Portfolio (two-stage): first, each of the four strategies is equal-weighted across all four asset classes, producing one cross-commodity series per strategy (e.g., cross-commodity Momentum = average of Metals, Energy, Precious Metals, and NGL Momentum). Second, those four cross-commodity series are combined into an Equal Weight portfolio, a Risk Parity portfolio, and a Dynamic Risk Parity portfolio, using the same three constructions as Section 8. This is hierarchical, not a single flat optimization over all sixteen underlying legs.</w:t>
      </w:r>
    </w:p>
    <w:p w14:paraId="61B537A9" w14:textId="77777777" w:rsidR="00CE450F" w:rsidRDefault="00000000">
      <w:r>
        <w:t>Cross-Pair Portfolios: a combination of two asset classes' own Equal Weight portfolios, for four selected pairs (Metals-Energy, Metals-NGL, Precious-Energy, Precious-NGL) — either a fixed 50/50 Equal Weight blend, or a Dynamic Risk Parity blend (inverse-EWMA-vol weighted between the two, rescaled to the pair's own Equal Weight volatility).</w:t>
      </w:r>
    </w:p>
    <w:p w14:paraId="0025326E" w14:textId="012E3BA2" w:rsidR="00CE450F" w:rsidRDefault="00000000">
      <w:r>
        <w:t>Any combination across asset classes</w:t>
      </w:r>
      <w:r w:rsidR="00C8662C">
        <w:t>,</w:t>
      </w:r>
      <w:r>
        <w:t xml:space="preserve"> within a strategy's four-asset-class average, and across the two asset classes in a Cross-Pair</w:t>
      </w:r>
      <w:r w:rsidR="00C8662C">
        <w:t>,</w:t>
      </w:r>
      <w:r>
        <w:t xml:space="preserve"> is computed on the intersection of trading dates, using the same cumulative-level bridging described in Section 8: a date counts only if every asset class in the combination traded, and a dropped date's move rolls into the next surviving date for each series independently, so no real return is silently lost. </w:t>
      </w:r>
    </w:p>
    <w:sectPr w:rsidR="00CE450F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D3E424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2749112">
    <w:abstractNumId w:val="8"/>
  </w:num>
  <w:num w:numId="2" w16cid:durableId="1507402179">
    <w:abstractNumId w:val="6"/>
  </w:num>
  <w:num w:numId="3" w16cid:durableId="1615750821">
    <w:abstractNumId w:val="5"/>
  </w:num>
  <w:num w:numId="4" w16cid:durableId="1005396069">
    <w:abstractNumId w:val="4"/>
  </w:num>
  <w:num w:numId="5" w16cid:durableId="1068265006">
    <w:abstractNumId w:val="7"/>
  </w:num>
  <w:num w:numId="6" w16cid:durableId="618684220">
    <w:abstractNumId w:val="3"/>
  </w:num>
  <w:num w:numId="7" w16cid:durableId="129443088">
    <w:abstractNumId w:val="2"/>
  </w:num>
  <w:num w:numId="8" w16cid:durableId="1505631009">
    <w:abstractNumId w:val="1"/>
  </w:num>
  <w:num w:numId="9" w16cid:durableId="771515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7FA2"/>
    <w:rsid w:val="00326F90"/>
    <w:rsid w:val="004318C8"/>
    <w:rsid w:val="00502DC3"/>
    <w:rsid w:val="00506314"/>
    <w:rsid w:val="00523383"/>
    <w:rsid w:val="0054416C"/>
    <w:rsid w:val="006E6596"/>
    <w:rsid w:val="00AA1D8D"/>
    <w:rsid w:val="00B47730"/>
    <w:rsid w:val="00C80E17"/>
    <w:rsid w:val="00C8662C"/>
    <w:rsid w:val="00CB0664"/>
    <w:rsid w:val="00CE450F"/>
    <w:rsid w:val="00D11DF5"/>
    <w:rsid w:val="00F929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49D08"/>
  <w14:defaultImageDpi w14:val="300"/>
  <w15:docId w15:val="{982CB48D-3485-49D8-9B16-2C1EDE916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1390</Words>
  <Characters>7924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Dimil Patel</cp:lastModifiedBy>
  <cp:revision>5</cp:revision>
  <dcterms:created xsi:type="dcterms:W3CDTF">2013-12-23T23:15:00Z</dcterms:created>
  <dcterms:modified xsi:type="dcterms:W3CDTF">2026-08-05T04:25:00Z</dcterms:modified>
  <cp:category/>
</cp:coreProperties>
</file>