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9FD8" w14:textId="77777777" w:rsidR="002329B1" w:rsidRDefault="00000000">
      <w:pPr>
        <w:pStyle w:val="Heading1"/>
      </w:pPr>
      <w:r>
        <w:t>Streamlit App User Manual</w:t>
      </w:r>
    </w:p>
    <w:p w14:paraId="701BFC81" w14:textId="30A5D7B1" w:rsidR="002329B1" w:rsidRDefault="00000000">
      <w:r>
        <w:rPr>
          <w:i/>
          <w:color w:val="2E74B5"/>
        </w:rPr>
        <w:t>Risk Premia Dashboard</w:t>
      </w:r>
    </w:p>
    <w:p w14:paraId="7CB2D54C" w14:textId="77777777" w:rsidR="002329B1" w:rsidRDefault="00000000">
      <w:pPr>
        <w:pStyle w:val="Heading2"/>
      </w:pPr>
      <w:r>
        <w:t>1. App Structure</w:t>
      </w:r>
    </w:p>
    <w:p w14:paraId="73ADCF4C" w14:textId="77777777" w:rsidR="002329B1" w:rsidRDefault="00000000">
      <w:r>
        <w:t>Five separate Streamlit apps, each its own deployment (own URL): one Hub (landing page) and four asset-class dashboards -- Metals, Oil/Energy, Precious Metals, NGL. The Hub's Overview tab links out to each dashboard ("Open [Asset Class] →" buttons); the dashboards do not link back to the Hub or to each other.</w:t>
      </w:r>
    </w:p>
    <w:p w14:paraId="6DF69F34" w14:textId="77777777" w:rsidR="002329B1" w:rsidRDefault="00000000">
      <w:r>
        <w:t>The four asset-class dashboards are structurally identical (same tabs, same controls) -- Section 2 below describes them once. Asset-class-specific differences (product lists, tenor conventions, exclusions) are called out inline.</w:t>
      </w:r>
    </w:p>
    <w:p w14:paraId="29466CD4" w14:textId="77777777" w:rsidR="002329B1" w:rsidRDefault="00000000">
      <w:pPr>
        <w:pStyle w:val="Heading2"/>
      </w:pPr>
      <w:r>
        <w:t>2. Asset-Class Dashboards (Metals / Oil-Energy / Precious Metals / NGL)</w:t>
      </w:r>
    </w:p>
    <w:p w14:paraId="0DC9B9E4" w14:textId="77777777" w:rsidR="002329B1" w:rsidRDefault="00000000">
      <w:r>
        <w:t>Each dashboard has a sidebar (Product selector + Rolling Configuration) and five tabs: Momentum, Carry, Value, Comparison, Portfolio.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329B1" w14:paraId="059BEE23" w14:textId="77777777" w:rsidTr="00232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EED0E23" w14:textId="77777777" w:rsidR="002329B1" w:rsidRDefault="00000000">
            <w:r>
              <w:t>Dashboard</w:t>
            </w:r>
          </w:p>
        </w:tc>
        <w:tc>
          <w:tcPr>
            <w:tcW w:w="3408" w:type="dxa"/>
          </w:tcPr>
          <w:p w14:paraId="374411EF" w14:textId="77777777" w:rsidR="00232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Products</w:t>
            </w:r>
          </w:p>
        </w:tc>
        <w:tc>
          <w:tcPr>
            <w:tcW w:w="3408" w:type="dxa"/>
          </w:tcPr>
          <w:p w14:paraId="4970C0A9" w14:textId="77777777" w:rsidR="00232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2329B1" w14:paraId="261E391D" w14:textId="77777777" w:rsidTr="0023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A0B66EB" w14:textId="77777777" w:rsidR="002329B1" w:rsidRDefault="00000000">
            <w:r>
              <w:t>Metals</w:t>
            </w:r>
          </w:p>
        </w:tc>
        <w:tc>
          <w:tcPr>
            <w:tcW w:w="3408" w:type="dxa"/>
          </w:tcPr>
          <w:p w14:paraId="327813AC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Copper, Aluminium, Lead, Zinc (LME)</w:t>
            </w:r>
          </w:p>
        </w:tc>
        <w:tc>
          <w:tcPr>
            <w:tcW w:w="3408" w:type="dxa"/>
          </w:tcPr>
          <w:p w14:paraId="43978035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2329B1" w14:paraId="677F3C9A" w14:textId="77777777" w:rsidTr="00232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081C86D" w14:textId="77777777" w:rsidR="002329B1" w:rsidRDefault="00000000">
            <w:r>
              <w:t>Oil / Energy</w:t>
            </w:r>
          </w:p>
        </w:tc>
        <w:tc>
          <w:tcPr>
            <w:tcW w:w="3408" w:type="dxa"/>
          </w:tcPr>
          <w:p w14:paraId="3DF2F4F5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WTI, Brent, RBOB, Heating Oil, Nat Gas</w:t>
            </w:r>
          </w:p>
        </w:tc>
        <w:tc>
          <w:tcPr>
            <w:tcW w:w="3408" w:type="dxa"/>
          </w:tcPr>
          <w:p w14:paraId="2CAC427B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Singapore Gasoil and Fuel Oil excluded</w:t>
            </w:r>
          </w:p>
        </w:tc>
      </w:tr>
      <w:tr w:rsidR="002329B1" w14:paraId="6B1B11F1" w14:textId="77777777" w:rsidTr="0023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744CA92" w14:textId="77777777" w:rsidR="002329B1" w:rsidRDefault="00000000">
            <w:r>
              <w:t>Precious Metals</w:t>
            </w:r>
          </w:p>
        </w:tc>
        <w:tc>
          <w:tcPr>
            <w:tcW w:w="3408" w:type="dxa"/>
          </w:tcPr>
          <w:p w14:paraId="451C08B9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Gold, Silver, Platinum, Palladium</w:t>
            </w:r>
          </w:p>
        </w:tc>
        <w:tc>
          <w:tcPr>
            <w:tcW w:w="3408" w:type="dxa"/>
          </w:tcPr>
          <w:p w14:paraId="5F877832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Copper (COMEX) excluded -- covered under Metals (LME) instead</w:t>
            </w:r>
          </w:p>
        </w:tc>
      </w:tr>
      <w:tr w:rsidR="002329B1" w14:paraId="29662A90" w14:textId="77777777" w:rsidTr="00232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88C4D74" w14:textId="77777777" w:rsidR="002329B1" w:rsidRDefault="00000000">
            <w:r>
              <w:t>NGL</w:t>
            </w:r>
          </w:p>
        </w:tc>
        <w:tc>
          <w:tcPr>
            <w:tcW w:w="3408" w:type="dxa"/>
          </w:tcPr>
          <w:p w14:paraId="09841B35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Ethane, Propane, Butane, Isobutane</w:t>
            </w:r>
          </w:p>
        </w:tc>
        <w:tc>
          <w:tcPr>
            <w:tcW w:w="3408" w:type="dxa"/>
          </w:tcPr>
          <w:p w14:paraId="2C147F58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Ethylene and Propylene excluded; front contract is F2, not F1 (see sidebar note)</w:t>
            </w:r>
          </w:p>
        </w:tc>
      </w:tr>
    </w:tbl>
    <w:p w14:paraId="4F7B96C0" w14:textId="77777777" w:rsidR="002329B1" w:rsidRDefault="002329B1"/>
    <w:p w14:paraId="535325AE" w14:textId="77777777" w:rsidR="002329B1" w:rsidRDefault="00000000">
      <w:pPr>
        <w:pStyle w:val="Heading3"/>
      </w:pPr>
      <w:r>
        <w:t>2.1 Sidebar</w:t>
      </w:r>
    </w:p>
    <w:p w14:paraId="37D96D90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Product: pick one product -- drives the Momentum/Carry/Value/Comparison tabs (not the Portfolio tab, which always uses every product in the asset class).</w:t>
      </w:r>
    </w:p>
    <w:p w14:paraId="2B4CEFA0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Rolling Configuration: choose the contract-roll rule ("N days before last trading day" or "Nth trading day of the month") and N.</w:t>
      </w:r>
    </w:p>
    <w:p w14:paraId="41919D73" w14:textId="77777777" w:rsidR="002329B1" w:rsidRDefault="00000000">
      <w:pPr>
        <w:pStyle w:val="Heading3"/>
      </w:pPr>
      <w:r>
        <w:t>2.2 Momentum Tab</w:t>
      </w:r>
    </w:p>
    <w:p w14:paraId="0A5213D5" w14:textId="77777777" w:rsidR="002329B1" w:rsidRDefault="00000000">
      <w:r>
        <w:t>Moving-average crossover: long when the fast MA is above the slow MA, short when below.</w:t>
      </w:r>
    </w:p>
    <w:p w14:paraId="09CF77B2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Set Transaction Cost and Execution Timing (Same Day / Lag-1 / Lag-2) at the top.</w:t>
      </w:r>
    </w:p>
    <w:p w14:paraId="772FACAC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Under "Strategies to Compare": three default MA pairs -- (1,20), (5,60), (20,250) -- are pre-loaded. Enter a Custom Fast/Slow pair and click "Add Custom MA" to add another; "Reset to Defaults" clears custom additions.</w:t>
      </w:r>
    </w:p>
    <w:p w14:paraId="7B00277C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Use the multiselect to choose which of the added strategies are “active” (drives every chart/metric below).</w:t>
      </w:r>
    </w:p>
    <w:p w14:paraId="4FF7BA8E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The year-range slider scopes both the Performance Metrics card and the Sharpe Heatmap.</w:t>
      </w:r>
    </w:p>
    <w:p w14:paraId="6DBCB2D3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Performance Metrics: pick one active strategy to “feature” -- shows Gross/Net Sharpe, Annualized PnL, Max Drawdown, % Flat.</w:t>
      </w:r>
    </w:p>
    <w:p w14:paraId="7B252F4D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Sharpe Heatmap: every (fast, slow) pair up to 250×250 at once -- scroll/drag to zoom, double-click to reset.</w:t>
      </w:r>
    </w:p>
    <w:p w14:paraId="5C94977B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Below the heatmap: Cumulative PnL, Rolling Sharpe, and Signal &amp; Position charts overlay every active strategy simultaneously.</w:t>
      </w:r>
    </w:p>
    <w:p w14:paraId="4B8422EC" w14:textId="77777777" w:rsidR="002329B1" w:rsidRDefault="00000000">
      <w:pPr>
        <w:pStyle w:val="Heading3"/>
      </w:pPr>
      <w:r>
        <w:lastRenderedPageBreak/>
        <w:t>2.3 Carry Tab</w:t>
      </w:r>
    </w:p>
    <w:p w14:paraId="273C9E63" w14:textId="77777777" w:rsidR="002329B1" w:rsidRDefault="00000000">
      <w:r>
        <w:t>Term-structure carry: long in backwardation, short in contango. Three signal variants: V1 Level (any near/far contract pair), V2 Z-score, V3 Carry-Momentum.</w:t>
      </w:r>
    </w:p>
    <w:p w14:paraId="5B950FF5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Set Transaction Cost and Execution Timing at the top.</w:t>
      </w:r>
    </w:p>
    <w:p w14:paraId="00921B99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Under “Add a Carry Variant”: pick a Variant (V1/V2/V3), its Near/Far contracts (V1) or Window/Horizon (V2/V3), then click “Add.”</w:t>
      </w:r>
    </w:p>
    <w:p w14:paraId="00397E26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The multiselect controls which added variants are active.</w:t>
      </w:r>
    </w:p>
    <w:p w14:paraId="38A928CF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Performance Metrics has its own year-range slider and a “Strategy to feature” picker.</w:t>
      </w:r>
    </w:p>
    <w:p w14:paraId="4C8F6A98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The Sharpe Heatmap has an independent year-range slider and covers every valid contract pair; type a day-count into “Horizon (days)” (or leave “N/A” for V1 Level) and choose “Interpret as” V2 or V3 to reuse the same grid for all three signal types.</w:t>
      </w:r>
    </w:p>
    <w:p w14:paraId="34F9320B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Equity curve and Rolling Sharpe each have their own independent strategy selector below the heatmap, plus a Signal &amp; Position chart.</w:t>
      </w:r>
    </w:p>
    <w:p w14:paraId="5701AE41" w14:textId="77777777" w:rsidR="002329B1" w:rsidRDefault="00000000">
      <w:pPr>
        <w:pStyle w:val="Heading3"/>
      </w:pPr>
      <w:r>
        <w:t>2.4 Value Tab</w:t>
      </w:r>
    </w:p>
    <w:p w14:paraId="7686E0C8" w14:textId="77777777" w:rsidR="002329B1" w:rsidRDefault="00000000">
      <w:r>
        <w:t>Mean reversion to a moving average: long when price is more than the threshold below its own MA, short when more than the threshold above, flat otherwise.</w:t>
      </w:r>
    </w:p>
    <w:p w14:paraId="2F6A4B73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Set Transaction Cost and Execution Timing at the top.</w:t>
      </w:r>
    </w:p>
    <w:p w14:paraId="1BDD38BF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Under “Add a Value Variant”: pick a Contract, a Lookback (preset from 1mo to 10yr, or “Custom” for a specific day count), and a Threshold (preset ±5%–±20%, or “Custom”), then click “Add.”</w:t>
      </w:r>
    </w:p>
    <w:p w14:paraId="10D6B32F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The multiselect controls which added variants are active.</w:t>
      </w:r>
    </w:p>
    <w:p w14:paraId="17A4C39B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Performance Metrics has its own year-range slider and “Strategy to feature” picker.</w:t>
      </w:r>
    </w:p>
    <w:p w14:paraId="26F0C742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The Sharpe Heatmap covers every (contract × lookback) combination at the chosen threshold, with its own year-range slider.</w:t>
      </w:r>
    </w:p>
    <w:p w14:paraId="7E19006C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Equity curve, Rolling Sharpe, and Signal &amp; Position chart follow below, same pattern as Momentum/Carry.</w:t>
      </w:r>
    </w:p>
    <w:p w14:paraId="20321A16" w14:textId="77777777" w:rsidR="002329B1" w:rsidRDefault="00000000">
      <w:pPr>
        <w:pStyle w:val="Heading3"/>
      </w:pPr>
      <w:r>
        <w:t>2.5 Comparison Tab</w:t>
      </w:r>
    </w:p>
    <w:p w14:paraId="3D1F725E" w14:textId="77777777" w:rsidR="002329B1" w:rsidRDefault="00000000">
      <w:r>
        <w:t>Overlays whichever strategies are currently active in the Momentum, Carry, and Value tabs above -- there is no separate strategy picker here. Add or remove a strategy in one of those tabs, then return here to see it reflected.</w:t>
      </w:r>
    </w:p>
    <w:p w14:paraId="7A7358B6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Underlying Volatility chart at the top (EWMA vol of the raw product price) is independent of any strategy selection and always renders.</w:t>
      </w:r>
    </w:p>
    <w:p w14:paraId="361F32C8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Below the divider: pick Transaction Cost, then use “Strategies to Compare” to choose which active strategies (labeled e.g. “Carry: V1 (F1-F3)”) appear.</w:t>
      </w:r>
    </w:p>
    <w:p w14:paraId="65EBF573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One multiselect drives both the equity curve and the rolling-Sharpe chart together (unlike the per-tab selectors elsewhere, which are independent of each other).</w:t>
      </w:r>
    </w:p>
    <w:p w14:paraId="283431F8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Equity curve can optionally overlay the Underlying Volatility series (checkbox). Rolling Sharpe has a Gross / Net of TC toggle.</w:t>
      </w:r>
    </w:p>
    <w:p w14:paraId="756DADDD" w14:textId="77777777" w:rsidR="002329B1" w:rsidRDefault="00000000">
      <w:pPr>
        <w:pStyle w:val="Heading3"/>
      </w:pPr>
      <w:r>
        <w:lastRenderedPageBreak/>
        <w:t>2.6 Portfolio Tab — Building and Editing a Portfolio</w:t>
      </w:r>
    </w:p>
    <w:p w14:paraId="0BB3EF06" w14:textId="77777777" w:rsidR="002329B1" w:rsidRDefault="00000000">
      <w:r>
        <w:t>Uses the log-return methodology (research/engine.py), not the dollar-PnL convention the other four tabs use -- figures here will not reconcile exactly with those tabs. This is the tab that combines strategies, products, and (via the Hub) asset classes into one portfolio.</w:t>
      </w:r>
    </w:p>
    <w:p w14:paraId="10E576D9" w14:textId="77777777" w:rsidR="002329B1" w:rsidRDefault="00000000">
      <w:pPr>
        <w:pStyle w:val="Heading3"/>
      </w:pPr>
      <w:r>
        <w:t>Combine method</w:t>
      </w:r>
    </w:p>
    <w:p w14:paraId="4E0D291D" w14:textId="77777777" w:rsidR="002329B1" w:rsidRDefault="00000000">
      <w:r>
        <w:t>Set once, near the top of the tab -- applies to both the read-only Reference Strategies aggregate and every portfolio you build below.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329B1" w14:paraId="761077CF" w14:textId="77777777" w:rsidTr="00232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9EF25E8" w14:textId="77777777" w:rsidR="002329B1" w:rsidRDefault="00000000">
            <w:r>
              <w:t>Method</w:t>
            </w:r>
          </w:p>
        </w:tc>
        <w:tc>
          <w:tcPr>
            <w:tcW w:w="3408" w:type="dxa"/>
          </w:tcPr>
          <w:p w14:paraId="168E3676" w14:textId="77777777" w:rsidR="00232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3408" w:type="dxa"/>
          </w:tcPr>
          <w:p w14:paraId="68CC0609" w14:textId="77777777" w:rsidR="00232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Extra control</w:t>
            </w:r>
          </w:p>
        </w:tc>
      </w:tr>
      <w:tr w:rsidR="002329B1" w14:paraId="32EE0D20" w14:textId="77777777" w:rsidTr="0023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0D139A8" w14:textId="77777777" w:rsidR="002329B1" w:rsidRDefault="00000000">
            <w:r>
              <w:t>Equal Weight</w:t>
            </w:r>
          </w:p>
        </w:tc>
        <w:tc>
          <w:tcPr>
            <w:tcW w:w="3408" w:type="dxa"/>
          </w:tcPr>
          <w:p w14:paraId="259DCCCE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Fixed equal split across whichever strategies are combined.</w:t>
            </w:r>
          </w:p>
        </w:tc>
        <w:tc>
          <w:tcPr>
            <w:tcW w:w="3408" w:type="dxa"/>
          </w:tcPr>
          <w:p w14:paraId="31C6CE88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2329B1" w14:paraId="407836A7" w14:textId="77777777" w:rsidTr="00232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17A56AB" w14:textId="77777777" w:rsidR="002329B1" w:rsidRDefault="00000000">
            <w:r>
              <w:t>Inverse Vol</w:t>
            </w:r>
          </w:p>
        </w:tc>
        <w:tc>
          <w:tcPr>
            <w:tcW w:w="3408" w:type="dxa"/>
          </w:tcPr>
          <w:p w14:paraId="7D5BDA59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Reweights daily by each strategy's own trailing realized volatility (lower-vol gets more weight); ignores correlation.</w:t>
            </w:r>
          </w:p>
        </w:tc>
        <w:tc>
          <w:tcPr>
            <w:tcW w:w="3408" w:type="dxa"/>
          </w:tcPr>
          <w:p w14:paraId="47D48ED4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Inverse-vol lookback (days)</w:t>
            </w:r>
          </w:p>
        </w:tc>
      </w:tr>
      <w:tr w:rsidR="002329B1" w14:paraId="4FAFC359" w14:textId="77777777" w:rsidTr="0023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ED58420" w14:textId="77777777" w:rsidR="002329B1" w:rsidRDefault="00000000">
            <w:r>
              <w:t>Risk Parity (ERC, rolling)</w:t>
            </w:r>
          </w:p>
        </w:tc>
        <w:tc>
          <w:tcPr>
            <w:tcW w:w="3408" w:type="dxa"/>
          </w:tcPr>
          <w:p w14:paraId="403AA933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strategy contributes equal risk, solved from the trailing 252-day covariance matrix, rebalanced ~21 trading days.</w:t>
            </w:r>
          </w:p>
        </w:tc>
        <w:tc>
          <w:tcPr>
            <w:tcW w:w="3408" w:type="dxa"/>
          </w:tcPr>
          <w:p w14:paraId="2579E0BF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 tilt slider (0 = pure ERC; sliding up blends in a trailing-Sharpe-proportional risk budget)</w:t>
            </w:r>
          </w:p>
        </w:tc>
      </w:tr>
      <w:tr w:rsidR="002329B1" w14:paraId="1415554E" w14:textId="77777777" w:rsidTr="00232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4E5FD82" w14:textId="77777777" w:rsidR="002329B1" w:rsidRDefault="00000000">
            <w:r>
              <w:t>Dynamic Risk Parity (DRP, rolling)</w:t>
            </w:r>
          </w:p>
        </w:tc>
        <w:tc>
          <w:tcPr>
            <w:tcW w:w="3408" w:type="dxa"/>
          </w:tcPr>
          <w:p w14:paraId="263B2557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Inverse-EWMA-vol weighting (20-day vol / 60-day covariance half-lives, correlations shrunk 50% toward zero), rescaled to Equal Weight's own full-sample volatility.</w:t>
            </w:r>
          </w:p>
        </w:tc>
        <w:tc>
          <w:tcPr>
            <w:tcW w:w="3408" w:type="dxa"/>
          </w:tcPr>
          <w:p w14:paraId="46144E86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</w:tr>
    </w:tbl>
    <w:p w14:paraId="11765706" w14:textId="77777777" w:rsidR="002329B1" w:rsidRDefault="002329B1"/>
    <w:p w14:paraId="03F531D0" w14:textId="77777777" w:rsidR="002329B1" w:rsidRDefault="00000000">
      <w:pPr>
        <w:pStyle w:val="Heading3"/>
      </w:pPr>
      <w:r>
        <w:t>Reference Strategies (read-only baseline)</w:t>
      </w:r>
    </w:p>
    <w:p w14:paraId="7084A79D" w14:textId="77777777" w:rsidR="002329B1" w:rsidRDefault="00000000">
      <w:r>
        <w:t>Shows the officially reported parameter set for this asset class -- read-only. If the asset class has two Carry tenor pairs, check “Treat Carry / Carry-Momentum tenor pairs as separate strategies” to see all six rows individually instead of the default combined four (Momentum, Combined Carry, Combined CarryMom, Value).</w:t>
      </w:r>
    </w:p>
    <w:p w14:paraId="2C1F34F0" w14:textId="77777777" w:rsidR="002329B1" w:rsidRDefault="00000000">
      <w:pPr>
        <w:pStyle w:val="Heading3"/>
      </w:pPr>
      <w:r>
        <w:t>Portfolio Construction — step by step</w:t>
      </w:r>
    </w:p>
    <w:p w14:paraId="443E9B40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Under “Portfolio construction,” check “Include [Family]” for each of Momentum / Carry / CarryMom / Value you want in this portfolio. Each one pre-fills with its reference parameters.</w:t>
      </w:r>
    </w:p>
    <w:p w14:paraId="30D6CBB4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Leave a family as-is to use the reference strategy directly, or edit its legs: Momentum (Fast/Slow MA), Carry (Type, Near/Far or Window, depending on V1/V2/V3), CarryMom (Near/Far, Horizon), Value (Contract, Lookback, Threshold).</w:t>
      </w:r>
    </w:p>
    <w:p w14:paraId="3B518FFB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Click “Add leg” to add another leg to a family (averaged into that family's composite signal); click “Remove” next to any leg to drop it. For Carry/CarryMom, toggle “Shared tenor pair across legs” to set one Near/Far for the whole family instead of per leg.</w:t>
      </w:r>
    </w:p>
    <w:p w14:paraId="430D76FC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Set each enabled family's “Execution lag (shift_n).”</w:t>
      </w:r>
    </w:p>
    <w:p w14:paraId="769A837A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Click “Add Portfolio.” This saves the current draft (whichever families are enabled, combined via the Combine method set above) as a new entry and clears the draft for the next one.</w:t>
      </w:r>
    </w:p>
    <w:p w14:paraId="20B2C8AC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Saved portfolios appear under “Your portfolios,” each showing its sleeves and combine method. Click “Remove” next to any portfolio to delete it.</w:t>
      </w:r>
    </w:p>
    <w:p w14:paraId="05C930F3" w14:textId="77777777" w:rsidR="002329B1" w:rsidRDefault="00000000">
      <w:r>
        <w:t>To edit an existing portfolio: there is no in-place edit -- remove it and rebuild the draft the way you want it, then Add Portfolio again.</w:t>
      </w:r>
    </w:p>
    <w:p w14:paraId="1267922D" w14:textId="77777777" w:rsidR="002329B1" w:rsidRDefault="00000000">
      <w:pPr>
        <w:pStyle w:val="Heading3"/>
      </w:pPr>
      <w:r>
        <w:lastRenderedPageBreak/>
        <w:t>Results</w:t>
      </w:r>
    </w:p>
    <w:p w14:paraId="2A5F8F28" w14:textId="77777777" w:rsidR="002329B1" w:rsidRDefault="00000000">
      <w:r>
        <w:t>Below “Year range, performance metrics, and cumulative equity” is a form: adjust the Year range slider, the “Strategy (for the metric cards)” picker, and the “Strategies shown” multiselect, then click “Refresh Results.” Nothing recomputes until you click it -- this is deliberate, so adjusting one control doesn't repeatedly rerun everything.</w:t>
      </w:r>
    </w:p>
    <w:p w14:paraId="2F03BDF6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Performance metrics: Gross/Net Sharpe, Annualized Return, Annualized Volatility, Max Drawdown for whichever strategy is picked.</w:t>
      </w:r>
    </w:p>
    <w:p w14:paraId="3D9B4455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Cumulative equity chart and a per-strategy Return/Vol/IR table for every strategy in “Strategies shown” (reference strategies, the reference-strategy aggregate, and every saved portfolio all appear here as selectable lines).</w:t>
      </w:r>
    </w:p>
    <w:p w14:paraId="0899530A" w14:textId="77777777" w:rsidR="002329B1" w:rsidRDefault="00000000">
      <w:pPr>
        <w:pStyle w:val="Heading2"/>
      </w:pPr>
      <w:r>
        <w:t>3. Hub App</w:t>
      </w:r>
    </w:p>
    <w:p w14:paraId="7D135828" w14:textId="77777777" w:rsidR="002329B1" w:rsidRDefault="00000000">
      <w:r>
        <w:t>Three tabs: Overview, Fundamental Analysis, Cross-Asset Portfolio.</w:t>
      </w:r>
    </w:p>
    <w:p w14:paraId="6A29F934" w14:textId="77777777" w:rsidR="002329B1" w:rsidRDefault="00000000">
      <w:pPr>
        <w:pStyle w:val="Heading3"/>
      </w:pPr>
      <w:r>
        <w:t>3.1 Overview Tab</w:t>
      </w:r>
    </w:p>
    <w:p w14:paraId="674A37B3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Project summary and methodology cards (PnL basis, Sharpe convention, transaction costs, execution timing) -- informational only, no controls.</w:t>
      </w:r>
    </w:p>
    <w:p w14:paraId="2547B8E1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“Explore the Dashboards” at the bottom: one “Open [Asset Class] →” button per asset-class dashboard, opening it in a new deployment/URL.</w:t>
      </w:r>
    </w:p>
    <w:p w14:paraId="4B8C43F7" w14:textId="77777777" w:rsidR="002329B1" w:rsidRDefault="00000000">
      <w:pPr>
        <w:pStyle w:val="Heading3"/>
      </w:pPr>
      <w:r>
        <w:t>3.2 Fundamental Analysis Tab</w:t>
      </w:r>
    </w:p>
    <w:p w14:paraId="5F18255C" w14:textId="77777777" w:rsidR="002329B1" w:rsidRDefault="00000000">
      <w:r>
        <w:t>Replicates Gorton, Hayashi &amp; Rouwenhorst (2013): futures basis fit on normalized inventory via a cubic spline.</w:t>
      </w:r>
    </w:p>
    <w:p w14:paraId="3C5E10F7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Pick a Commodity (Copper (LME) or WTI Crude (NYMEX)).</w:t>
      </w:r>
    </w:p>
    <w:p w14:paraId="7FBDA5B3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For Copper, also pick a Basis definition (F1/F2 futures or Cash vs 3-month forward).</w:t>
      </w:r>
    </w:p>
    <w:p w14:paraId="298AB94B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Set the Regression period (date range) -- defaults to the full available overlap between basis and inventory data.</w:t>
      </w:r>
    </w:p>
    <w:p w14:paraId="49F33010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Optional “Advanced settings” expander: I* trailing weeks, Newey-West bandwidth, and whether the chart axis is fixed (comparable across commodities) or auto-ranged.</w:t>
      </w:r>
    </w:p>
    <w:p w14:paraId="1187AA09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Results: the spline chart, four metric cards (Slope at I/I*=1, Slope at I/I*=0.75, Convexity, R²), and an expander with the merged weekly data table and a CSV download button.</w:t>
      </w:r>
    </w:p>
    <w:p w14:paraId="1C92D50B" w14:textId="77777777" w:rsidR="002329B1" w:rsidRDefault="00000000">
      <w:pPr>
        <w:pStyle w:val="Heading3"/>
      </w:pPr>
      <w:r>
        <w:t>3.3 Cross-Asset Portfolio Tab</w:t>
      </w:r>
    </w:p>
    <w:p w14:paraId="4803BC32" w14:textId="77777777" w:rsidR="002329B1" w:rsidRDefault="00000000">
      <w:r>
        <w:t>Combines strategies and asset classes into one book. Set the TC (bps) slider once at the top -- it applies to both sections below.</w:t>
      </w:r>
    </w:p>
    <w:p w14:paraId="5257A2A7" w14:textId="77777777" w:rsidR="002329B1" w:rsidRDefault="00000000">
      <w:pPr>
        <w:pStyle w:val="Heading3"/>
      </w:pPr>
      <w:r>
        <w:t>Cross-Commodity Portfolio</w:t>
      </w:r>
    </w:p>
    <w:p w14:paraId="0707CE5E" w14:textId="77777777" w:rsidR="002329B1" w:rsidRDefault="00000000">
      <w:r>
        <w:t>Two-stage construction: each selected style is first equal-weighted across the selected asset classes, then those style-level series are combined into one portfolio.</w:t>
      </w:r>
    </w:p>
    <w:p w14:paraId="51849CA0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Asset classes: multiselect, pick 2–4.</w:t>
      </w:r>
    </w:p>
    <w:p w14:paraId="677993F8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Styles: multiselect from Momentum / Carry / CarryMom / Value.</w:t>
      </w:r>
    </w:p>
    <w:p w14:paraId="3E2E75DF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Combine method: Equal Weight, Risk Parity, or Dynamic Risk Parity (same three mechanisms as the per-asset-class Portfolio tab's combine method, applied here across styles instead of across strategy families).</w:t>
      </w:r>
    </w:p>
    <w:p w14:paraId="176CD19E" w14:textId="77777777" w:rsidR="002329B1" w:rsidRDefault="00000000">
      <w:pPr>
        <w:pStyle w:val="Heading3"/>
      </w:pPr>
      <w:r>
        <w:t>Cross-Asset-Class Portfolio</w:t>
      </w:r>
    </w:p>
    <w:p w14:paraId="44B25990" w14:textId="77777777" w:rsidR="002329B1" w:rsidRDefault="00000000">
      <w:r>
        <w:t>Combines 1–4 asset classes' own Equal Weight portfolios directly (no style-level stage).</w:t>
      </w:r>
    </w:p>
    <w:p w14:paraId="0922C7E0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Asset classes: multiselect, pick 1–4 -- picking just one shows that asset class's own EW Portfolio number on its own.</w:t>
      </w:r>
    </w:p>
    <w:p w14:paraId="165A98B2" w14:textId="77777777" w:rsidR="002329B1" w:rsidRDefault="00000000">
      <w:pPr>
        <w:ind w:left="504" w:hanging="288"/>
      </w:pPr>
      <w:r>
        <w:rPr>
          <w:b/>
          <w:color w:val="2E74B5"/>
        </w:rPr>
        <w:lastRenderedPageBreak/>
        <w:t xml:space="preserve">→ </w:t>
      </w:r>
      <w:r>
        <w:t>Combine method: Equal Weight or Dynamic Risk Parity (no Risk Parity/ERC option at this level).</w:t>
      </w:r>
    </w:p>
    <w:p w14:paraId="2CA0A09C" w14:textId="77777777" w:rsidR="002329B1" w:rsidRDefault="00000000">
      <w:pPr>
        <w:pStyle w:val="Heading3"/>
      </w:pPr>
      <w:r>
        <w:t>Correlation vs Traditional Assets</w:t>
      </w:r>
    </w:p>
    <w:p w14:paraId="293E4023" w14:textId="77777777" w:rsidR="002329B1" w:rsidRDefault="00000000">
      <w:r>
        <w:t>Heatmap of the Cross-Commodity Portfolio's strategy rows (Momentum/Carry/CarryMom/Value/EW PORT/Risk Parity/Dynamic Risk Parity) against Equity (S&amp;P 500), Fixed Income, a Commodity Index, Gold, and a 60/40 stock-bond portfolio.</w:t>
      </w:r>
    </w:p>
    <w:p w14:paraId="542F52C9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Year range slider: recomputes the correlation over whichever sub-period you pick (a static recomputation, not a rolling window).</w:t>
      </w:r>
    </w:p>
    <w:p w14:paraId="3687BB37" w14:textId="77777777" w:rsidR="002329B1" w:rsidRDefault="00000000">
      <w:pPr>
        <w:ind w:left="504" w:hanging="288"/>
      </w:pPr>
      <w:r>
        <w:rPr>
          <w:b/>
          <w:color w:val="2E74B5"/>
        </w:rPr>
        <w:t xml:space="preserve">→ </w:t>
      </w:r>
      <w:r>
        <w:t>“Strategies shown” multiselect: choose which of the 7 rows appear.</w:t>
      </w:r>
    </w:p>
    <w:p w14:paraId="102610CA" w14:textId="77777777" w:rsidR="002329B1" w:rsidRDefault="00000000">
      <w:pPr>
        <w:pStyle w:val="Heading2"/>
      </w:pPr>
      <w:r>
        <w:t>4. Quick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329B1" w14:paraId="00EE4239" w14:textId="77777777" w:rsidTr="00232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F5EC6C3" w14:textId="77777777" w:rsidR="002329B1" w:rsidRDefault="00000000">
            <w:r>
              <w:t>Control pattern</w:t>
            </w:r>
          </w:p>
        </w:tc>
        <w:tc>
          <w:tcPr>
            <w:tcW w:w="3408" w:type="dxa"/>
          </w:tcPr>
          <w:p w14:paraId="11FBF538" w14:textId="77777777" w:rsidR="00232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Where it appears</w:t>
            </w:r>
          </w:p>
        </w:tc>
        <w:tc>
          <w:tcPr>
            <w:tcW w:w="3408" w:type="dxa"/>
          </w:tcPr>
          <w:p w14:paraId="09FB18AC" w14:textId="77777777" w:rsidR="002329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Behavior</w:t>
            </w:r>
          </w:p>
        </w:tc>
      </w:tr>
      <w:tr w:rsidR="002329B1" w14:paraId="22B36DF9" w14:textId="77777777" w:rsidTr="0023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F6F3FFA" w14:textId="77777777" w:rsidR="002329B1" w:rsidRDefault="00000000">
            <w:r>
              <w:t>Transaction Cost selector</w:t>
            </w:r>
          </w:p>
        </w:tc>
        <w:tc>
          <w:tcPr>
            <w:tcW w:w="3408" w:type="dxa"/>
          </w:tcPr>
          <w:p w14:paraId="79F6274B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Momentum, Carry, Value, Comparison tabs</w:t>
            </w:r>
          </w:p>
        </w:tc>
        <w:tc>
          <w:tcPr>
            <w:tcW w:w="3408" w:type="dxa"/>
          </w:tcPr>
          <w:p w14:paraId="734E6CDE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Applies to that tab's charts/metrics only; each tab has its own.</w:t>
            </w:r>
          </w:p>
        </w:tc>
      </w:tr>
      <w:tr w:rsidR="002329B1" w14:paraId="22F085F8" w14:textId="77777777" w:rsidTr="00232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88E9D88" w14:textId="77777777" w:rsidR="002329B1" w:rsidRDefault="00000000">
            <w:r>
              <w:t>Execution Timing (Same Day / Lag-1 / Lag-2)</w:t>
            </w:r>
          </w:p>
        </w:tc>
        <w:tc>
          <w:tcPr>
            <w:tcW w:w="3408" w:type="dxa"/>
          </w:tcPr>
          <w:p w14:paraId="723E4D75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Momentum, Carry, Value tabs</w:t>
            </w:r>
          </w:p>
        </w:tc>
        <w:tc>
          <w:tcPr>
            <w:tcW w:w="3408" w:type="dxa"/>
          </w:tcPr>
          <w:p w14:paraId="5B2E86A6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Day = Position[t]=Signal[t−1] (fastest legitimate, no look-ahead); Lag-1 and Lag-2 add 1 and 2 further days of delay.</w:t>
            </w:r>
          </w:p>
        </w:tc>
      </w:tr>
      <w:tr w:rsidR="002329B1" w14:paraId="3DAF1B27" w14:textId="77777777" w:rsidTr="0023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05031A5" w14:textId="77777777" w:rsidR="002329B1" w:rsidRDefault="00000000">
            <w:r>
              <w:t>Year-range slider</w:t>
            </w:r>
          </w:p>
        </w:tc>
        <w:tc>
          <w:tcPr>
            <w:tcW w:w="3408" w:type="dxa"/>
          </w:tcPr>
          <w:p w14:paraId="1F8D4369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Almost every tab</w:t>
            </w:r>
          </w:p>
        </w:tc>
        <w:tc>
          <w:tcPr>
            <w:tcW w:w="3408" w:type="dxa"/>
          </w:tcPr>
          <w:p w14:paraId="095FDD07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Scopes whichever section it sits directly above/near -- check which chart/metric it's grouped with, since some tabs have multiple independent sliders.</w:t>
            </w:r>
          </w:p>
        </w:tc>
      </w:tr>
      <w:tr w:rsidR="002329B1" w14:paraId="48075D14" w14:textId="77777777" w:rsidTr="00232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1B17732" w14:textId="77777777" w:rsidR="002329B1" w:rsidRDefault="00000000">
            <w:r>
              <w:t>“Add” / “Add Custom MA” buttons</w:t>
            </w:r>
          </w:p>
        </w:tc>
        <w:tc>
          <w:tcPr>
            <w:tcW w:w="3408" w:type="dxa"/>
          </w:tcPr>
          <w:p w14:paraId="10366C58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Momentum, Carry, Value tabs</w:t>
            </w:r>
          </w:p>
        </w:tc>
        <w:tc>
          <w:tcPr>
            <w:tcW w:w="3408" w:type="dxa"/>
          </w:tcPr>
          <w:p w14:paraId="12E721C6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Adds a new strategy variant to that tab's session; does not replace existing ones.</w:t>
            </w:r>
          </w:p>
        </w:tc>
      </w:tr>
      <w:tr w:rsidR="002329B1" w14:paraId="212C29ED" w14:textId="77777777" w:rsidTr="0023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D8AB24A" w14:textId="77777777" w:rsidR="002329B1" w:rsidRDefault="00000000">
            <w:r>
              <w:t>“Refresh Results” form button</w:t>
            </w:r>
          </w:p>
        </w:tc>
        <w:tc>
          <w:tcPr>
            <w:tcW w:w="3408" w:type="dxa"/>
          </w:tcPr>
          <w:p w14:paraId="2CE69B8C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Portfolio tab (asset-class dashboards)</w:t>
            </w:r>
          </w:p>
        </w:tc>
        <w:tc>
          <w:tcPr>
            <w:tcW w:w="3408" w:type="dxa"/>
          </w:tcPr>
          <w:p w14:paraId="25EA1B75" w14:textId="77777777" w:rsidR="002329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Nothing recomputes until clicked -- adjusting a slider/dropdown alone does not update the chart.</w:t>
            </w:r>
          </w:p>
        </w:tc>
      </w:tr>
      <w:tr w:rsidR="002329B1" w14:paraId="040FB604" w14:textId="77777777" w:rsidTr="002329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6513B72" w14:textId="77777777" w:rsidR="002329B1" w:rsidRDefault="00000000">
            <w:r>
              <w:t>Combine method selector</w:t>
            </w:r>
          </w:p>
        </w:tc>
        <w:tc>
          <w:tcPr>
            <w:tcW w:w="3408" w:type="dxa"/>
          </w:tcPr>
          <w:p w14:paraId="65624FCA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Portfolio tab (asset-class dashboards), Cross-Asset Portfolio tab (Hub)</w:t>
            </w:r>
          </w:p>
        </w:tc>
        <w:tc>
          <w:tcPr>
            <w:tcW w:w="3408" w:type="dxa"/>
          </w:tcPr>
          <w:p w14:paraId="079BEE40" w14:textId="77777777" w:rsidR="002329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Equal Weight / Inverse Vol / Risk Parity / Dynamic Risk Parity -- exact options available differ slightly by location (see Sections 2.6 and 3.3).</w:t>
            </w:r>
          </w:p>
        </w:tc>
      </w:tr>
    </w:tbl>
    <w:p w14:paraId="69C663BC" w14:textId="77777777" w:rsidR="002329B1" w:rsidRDefault="002329B1"/>
    <w:sectPr w:rsidR="002329B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766027">
    <w:abstractNumId w:val="8"/>
  </w:num>
  <w:num w:numId="2" w16cid:durableId="1426657734">
    <w:abstractNumId w:val="6"/>
  </w:num>
  <w:num w:numId="3" w16cid:durableId="578709661">
    <w:abstractNumId w:val="5"/>
  </w:num>
  <w:num w:numId="4" w16cid:durableId="390226267">
    <w:abstractNumId w:val="4"/>
  </w:num>
  <w:num w:numId="5" w16cid:durableId="1947149204">
    <w:abstractNumId w:val="7"/>
  </w:num>
  <w:num w:numId="6" w16cid:durableId="2012022982">
    <w:abstractNumId w:val="3"/>
  </w:num>
  <w:num w:numId="7" w16cid:durableId="1860315656">
    <w:abstractNumId w:val="2"/>
  </w:num>
  <w:num w:numId="8" w16cid:durableId="1329091428">
    <w:abstractNumId w:val="1"/>
  </w:num>
  <w:num w:numId="9" w16cid:durableId="140059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9B1"/>
    <w:rsid w:val="0029639D"/>
    <w:rsid w:val="002F7FA2"/>
    <w:rsid w:val="00326F90"/>
    <w:rsid w:val="009F5A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97985"/>
  <w14:defaultImageDpi w14:val="300"/>
  <w15:docId w15:val="{CC1D881E-283E-4349-937B-281C4861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1824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Dimil Patel</cp:lastModifiedBy>
  <cp:revision>2</cp:revision>
  <dcterms:created xsi:type="dcterms:W3CDTF">2013-12-23T23:15:00Z</dcterms:created>
  <dcterms:modified xsi:type="dcterms:W3CDTF">2026-08-05T05:19:00Z</dcterms:modified>
  <cp:category/>
</cp:coreProperties>
</file>