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143E3" w14:textId="77777777" w:rsidR="00576CDE" w:rsidRDefault="00000000">
      <w:r>
        <w:rPr>
          <w:b/>
          <w:sz w:val="28"/>
        </w:rPr>
        <w:t>1. Introduction</w:t>
      </w:r>
    </w:p>
    <w:p w14:paraId="67C63AFF" w14:textId="77777777" w:rsidR="00576CDE" w:rsidRDefault="00000000">
      <w:pPr>
        <w:spacing w:after="160"/>
        <w:jc w:val="both"/>
      </w:pPr>
      <w:r>
        <w:t>Two long-standing ideas explain why commodity futures can earn a return that is more than compensation for the direction of the market. The theory of storage (Kaldor, 1939; Working, 1949; Brennan, 1958) ties the slope of the futures curve to the state of physical inventories. When stocks are scarce the nearby contract trades above deferred contracts (backwardation), and when stocks are ample the curve slopes upward (contango).[1] The hedging pressure hypothesis (</w:t>
      </w:r>
      <w:proofErr w:type="spellStart"/>
      <w:r>
        <w:t>Cootner</w:t>
      </w:r>
      <w:proofErr w:type="spellEnd"/>
      <w:r>
        <w:t xml:space="preserve">, 1960; </w:t>
      </w:r>
      <w:proofErr w:type="spellStart"/>
      <w:r>
        <w:t>Hirshleifer</w:t>
      </w:r>
      <w:proofErr w:type="spellEnd"/>
      <w:r>
        <w:t xml:space="preserve">, 1988, 1990) starts from the other side of the trade. Producers and consumers lay off price risk in futures markets, and the speculators who take the opposite position expect to be paid for it. Both ideas imply that returns can be forecast from the shape of the curve and from past price </w:t>
      </w:r>
      <w:proofErr w:type="spellStart"/>
      <w:r>
        <w:t>behaviour</w:t>
      </w:r>
      <w:proofErr w:type="spellEnd"/>
      <w:r>
        <w:t xml:space="preserve">, and a long-short portfolio built on such forecasts does not need to depend on whether commodity prices rise or fall overall (Gorton and </w:t>
      </w:r>
      <w:proofErr w:type="spellStart"/>
      <w:r>
        <w:t>Rouwenhorst</w:t>
      </w:r>
      <w:proofErr w:type="spellEnd"/>
      <w:r>
        <w:t xml:space="preserve">, 2006; Erb and Harvey, 2006; </w:t>
      </w:r>
      <w:proofErr w:type="spellStart"/>
      <w:r>
        <w:t>Miffre</w:t>
      </w:r>
      <w:proofErr w:type="spellEnd"/>
      <w:r>
        <w:t xml:space="preserve"> and Rallis, 2007; Gorton, Hayashi and </w:t>
      </w:r>
      <w:proofErr w:type="spellStart"/>
      <w:r>
        <w:t>Rouwenhorst</w:t>
      </w:r>
      <w:proofErr w:type="spellEnd"/>
      <w:r>
        <w:t xml:space="preserve">, 2013; </w:t>
      </w:r>
      <w:proofErr w:type="spellStart"/>
      <w:r>
        <w:t>Asness</w:t>
      </w:r>
      <w:proofErr w:type="spellEnd"/>
      <w:r>
        <w:t xml:space="preserve">, Moskowitz and Pedersen, 2013; </w:t>
      </w:r>
      <w:proofErr w:type="spellStart"/>
      <w:r>
        <w:t>Koijen</w:t>
      </w:r>
      <w:proofErr w:type="spellEnd"/>
      <w:r>
        <w:t xml:space="preserve">, Moskowitz, Pedersen and </w:t>
      </w:r>
      <w:proofErr w:type="spellStart"/>
      <w:r>
        <w:t>Vrugt</w:t>
      </w:r>
      <w:proofErr w:type="spellEnd"/>
      <w:r>
        <w:t xml:space="preserve">, 2018). A third line of work looks at the distribution of returns. If investors pay up for lottery-like payoffs, commodities with positively skewed returns are expensive and those with negatively skewed returns earn a premium (Fernandez-Perez, </w:t>
      </w:r>
      <w:proofErr w:type="spellStart"/>
      <w:r>
        <w:t>Frijns</w:t>
      </w:r>
      <w:proofErr w:type="spellEnd"/>
      <w:r>
        <w:t xml:space="preserve">, Fuertes and </w:t>
      </w:r>
      <w:proofErr w:type="spellStart"/>
      <w:r>
        <w:t>Miffre</w:t>
      </w:r>
      <w:proofErr w:type="spellEnd"/>
      <w:r>
        <w:t>, 2018).</w:t>
      </w:r>
    </w:p>
    <w:p w14:paraId="3AD2392E" w14:textId="09FA8066" w:rsidR="00576CDE" w:rsidRDefault="00000000">
      <w:pPr>
        <w:spacing w:after="160"/>
        <w:jc w:val="both"/>
      </w:pPr>
      <w:r>
        <w:t xml:space="preserve">Recent studies show how much the answer depends on where and how one looks. Fernandez-Perez, Fuertes and </w:t>
      </w:r>
      <w:proofErr w:type="spellStart"/>
      <w:r>
        <w:t>Miffre</w:t>
      </w:r>
      <w:proofErr w:type="spellEnd"/>
      <w:r>
        <w:t xml:space="preserve"> (2021) examine energy futures alone and test seven styles. They report premia from term structure, hedging pressure, speculative pressure and momentum, and none from value, liquidity or skewness. They also find that a plain equal-weight blend of the styles does about as well as more elaborate combinations. Bogorad (2025a) revisits momentum, carry, value and spread signals on a wider and more recent set of energy contracts. Some premia in the traditional benchmark contracts have weakened, others survive in markets that have only recently become liquid, and the low correlation between signals makes simple aggregation attractive. Fan, Li, Qiao and Zhang (2026) take a different route. They forecast commodity returns with 81 commodity, macroeconomic and sentiment variables, conclude that the channels running through stocks, hedging demand and trading liquidity each carry weight, and find that their relative importance shifts over time instead of one explanation prevailing. From the practitioner side, </w:t>
      </w:r>
      <w:r w:rsidR="00E2051A">
        <w:t>Virtual Barrels</w:t>
      </w:r>
      <w:r>
        <w:t xml:space="preserve"> (2023, p. 86) notes that in a diversified commodity risk premia book most of the profit comes from energy futures, with the other sectors mainly providing diversification. He adds that skewness, open interest, inventories and positioning have also been considered as factors, but judges that in oil they work better as discretionary inputs than as rules.</w:t>
      </w:r>
    </w:p>
    <w:p w14:paraId="2DE86CCF" w14:textId="77777777" w:rsidR="00576CDE" w:rsidRDefault="00000000">
      <w:pPr>
        <w:spacing w:after="160"/>
        <w:jc w:val="both"/>
      </w:pPr>
      <w:r>
        <w:t xml:space="preserve">These studies leave a gap that is practical as much as academic. A single-sector study cannot say whether its premia are general or particular to that sector, and a market-wide forecasting exercise pools sectors whose economics differ. We take a simpler route. We apply one fixed set of rule-based signals to futures products in five asset classes (Metals, Energy, Precious Metals, natural gas liquids (NGL) and Agriculture), over one sample period and under the same transaction cost assumptions, and ask in which of them a premium is found. This puts the practitioner claim that </w:t>
      </w:r>
      <w:r>
        <w:lastRenderedPageBreak/>
        <w:t>energy carries the premium and the other sectors only diversify to a direct test. NGL is treated as a class of its own and not folded into Energy.</w:t>
      </w:r>
    </w:p>
    <w:p w14:paraId="48A30589" w14:textId="6152858B" w:rsidR="00706190" w:rsidRDefault="00706190">
      <w:pPr>
        <w:spacing w:after="160"/>
        <w:jc w:val="both"/>
      </w:pPr>
      <w:r w:rsidRPr="00706190">
        <w:t>We test five signals as risk premia: Momentum, Carry, Carry-Momentum, Value and Skewness. The first four follow the factors that practitioners treat as core (</w:t>
      </w:r>
      <w:r w:rsidR="00E2051A">
        <w:t>Virtual Barrels</w:t>
      </w:r>
      <w:r w:rsidRPr="00706190">
        <w:t xml:space="preserve">, 2023). Skewness is added on the strength of Fernandez-Perez, </w:t>
      </w:r>
      <w:proofErr w:type="spellStart"/>
      <w:r w:rsidRPr="00706190">
        <w:t>Frijns</w:t>
      </w:r>
      <w:proofErr w:type="spellEnd"/>
      <w:r w:rsidRPr="00706190">
        <w:t xml:space="preserve">, Fuertes and </w:t>
      </w:r>
      <w:proofErr w:type="spellStart"/>
      <w:r w:rsidRPr="00706190">
        <w:t>Miffre</w:t>
      </w:r>
      <w:proofErr w:type="spellEnd"/>
      <w:r w:rsidRPr="00706190">
        <w:t xml:space="preserve"> (2018). Each signal is evaluated within each asset class, and the signals are then combined within and across asset classes. Section 2 sets out the construction.</w:t>
      </w:r>
    </w:p>
    <w:p w14:paraId="3118256C" w14:textId="77777777" w:rsidR="00576CDE" w:rsidRDefault="009D3966">
      <w:pPr>
        <w:spacing w:after="160"/>
        <w:jc w:val="both"/>
      </w:pPr>
      <w:r w:rsidRPr="009D3966">
        <w:t>The results are concentrated. For the four core signals, the premium is found in NGL and in Energy and essentially nowhere else, with NGL the stronger. Skewness follows a different pattern, but its gains are episodic and look more like exposure to a recovering commodity market than a stable premium. Diversifying across all five asset classes lowers volatility but does not beat concentration: the cross-commodity portfolio does worse than NGL alone and worse than Energy and NGL together</w:t>
      </w:r>
      <w:r>
        <w:t>.</w:t>
      </w:r>
    </w:p>
    <w:p w14:paraId="0660731C" w14:textId="0936401F" w:rsidR="00576CDE" w:rsidRDefault="00000000">
      <w:pPr>
        <w:spacing w:after="160"/>
        <w:jc w:val="both"/>
      </w:pPr>
      <w:r>
        <w:t xml:space="preserve">The paper makes three contributions. </w:t>
      </w:r>
      <w:r w:rsidR="009D3966" w:rsidRPr="009D3966">
        <w:t xml:space="preserve">First, the paper compares the same five signals across five commodity asset classes under one set of rules, costs and sample dates, so differences come from the asset class and not the method. Second, it provides systematic evidence that the premium is not general across commodities. A similar observation is made by </w:t>
      </w:r>
      <w:r w:rsidR="00E2051A">
        <w:t>Virtual Barrels</w:t>
      </w:r>
      <w:r w:rsidR="009D3966" w:rsidRPr="009D3966">
        <w:t xml:space="preserve"> (2023, p. 86), who notes that most of the profit of a diversified commodity risk premia book comes from energy futures, and Fan et al. (2026) find that the weight of each economic channel varies. Section 5 discusses the reasons. Third, it gives a portfolio lesson: adding asset classes to reduce volatility costs risk-adjusted return when most added sleeves have no edge.</w:t>
      </w:r>
    </w:p>
    <w:p w14:paraId="3D2CA89A" w14:textId="77777777" w:rsidR="00576CDE" w:rsidRDefault="000635C3">
      <w:pPr>
        <w:spacing w:after="160"/>
        <w:jc w:val="both"/>
      </w:pPr>
      <w:r>
        <w:t xml:space="preserve">The results are a historical </w:t>
      </w:r>
      <w:proofErr w:type="spellStart"/>
      <w:r>
        <w:t>backtest</w:t>
      </w:r>
      <w:proofErr w:type="spellEnd"/>
      <w:r>
        <w:t xml:space="preserve"> of fixed rules. No parameter was estimated or optimized on the data, so the subperiods are a check on stability, not an out-of-sample test. </w:t>
      </w:r>
    </w:p>
    <w:p w14:paraId="245E531E" w14:textId="77777777" w:rsidR="00576CDE" w:rsidRDefault="00000000">
      <w:pPr>
        <w:spacing w:after="80"/>
      </w:pPr>
      <w:r>
        <w:rPr>
          <w:b/>
        </w:rPr>
        <w:t>Notes</w:t>
      </w:r>
    </w:p>
    <w:p w14:paraId="51A75FF8" w14:textId="77777777" w:rsidR="00576CDE" w:rsidRDefault="00000000">
      <w:pPr>
        <w:spacing w:after="160"/>
        <w:jc w:val="both"/>
      </w:pPr>
      <w:r>
        <w:rPr>
          <w:sz w:val="21"/>
        </w:rPr>
        <w:t>[1] Backwardation is the state in which a futures curve slopes downward, so the nearby contract is priced above deferred contracts. Contango is the opposite. The roll yield, the gain or loss from rolling a futures position from the nearby contract to the next one, is positive in backwardation and negative in contango.</w:t>
      </w:r>
    </w:p>
    <w:p w14:paraId="1D197E2B" w14:textId="77777777" w:rsidR="00576CDE" w:rsidRDefault="00000000">
      <w:pPr>
        <w:spacing w:after="160"/>
        <w:jc w:val="both"/>
      </w:pPr>
      <w:r>
        <w:rPr>
          <w:sz w:val="21"/>
        </w:rPr>
        <w:t xml:space="preserve">[2] Real yields for gold, LME inventory and financing conditions for </w:t>
      </w:r>
      <w:proofErr w:type="spellStart"/>
      <w:r>
        <w:rPr>
          <w:sz w:val="21"/>
        </w:rPr>
        <w:t>aluminium</w:t>
      </w:r>
      <w:proofErr w:type="spellEnd"/>
      <w:r>
        <w:rPr>
          <w:sz w:val="21"/>
        </w:rPr>
        <w:t xml:space="preserve"> and zinc, and weather and war-related spikes in grains and coffee are the explanations documented in Risk Premia Analysis v4_2012. They are interpretations consistent with the results, not tests.</w:t>
      </w:r>
    </w:p>
    <w:p w14:paraId="7609FFA0" w14:textId="77777777" w:rsidR="00576CDE" w:rsidRDefault="00000000">
      <w:r>
        <w:br w:type="page"/>
      </w:r>
    </w:p>
    <w:p w14:paraId="78A08C51" w14:textId="77777777" w:rsidR="00576CDE" w:rsidRDefault="00000000">
      <w:r>
        <w:rPr>
          <w:b/>
          <w:sz w:val="28"/>
        </w:rPr>
        <w:lastRenderedPageBreak/>
        <w:t>2. Data</w:t>
      </w:r>
    </w:p>
    <w:p w14:paraId="4233EE8B" w14:textId="77777777" w:rsidR="00576CDE" w:rsidRDefault="00000000">
      <w:r>
        <w:t>This section describes the data, the construction of the continuous price series and the cost assumptions that underlie every result in the paper. Section 3 then defines the signals and portfolios that are applied to these series.</w:t>
      </w:r>
    </w:p>
    <w:p w14:paraId="5D5332B8" w14:textId="77777777" w:rsidR="00576CDE" w:rsidRDefault="00000000">
      <w:pPr>
        <w:keepNext/>
        <w:spacing w:before="160"/>
      </w:pPr>
      <w:r>
        <w:rPr>
          <w:b/>
        </w:rPr>
        <w:t>2.1 Data source and universe</w:t>
      </w:r>
    </w:p>
    <w:p w14:paraId="5BCDB015" w14:textId="77777777" w:rsidR="00576CDE" w:rsidRDefault="00000000">
      <w:r>
        <w:t>All prices are daily Bloomberg generic futures series. For each product we use the strip of generic contracts, in which F1 is the nearest contract, F2 the next, and so on out to the longest tenor used by any signal (F14). We study 23 products in five asset classes: Metals, Energy, Precious Metals, natural gas liquids (NGL) and Agriculture (Table 1). The classes differ in their economics and in the exchanges on which they trade, which is what makes a like-for-like comparison across them informative.</w:t>
      </w:r>
    </w:p>
    <w:p w14:paraId="7CE8FD67" w14:textId="77777777" w:rsidR="00576CDE" w:rsidRDefault="00000000">
      <w:pPr>
        <w:keepNext/>
      </w:pPr>
      <w:r>
        <w:rPr>
          <w:b/>
          <w:sz w:val="22"/>
        </w:rPr>
        <w:t>Table 1: Asset classes, products and exchanges</w:t>
      </w:r>
    </w:p>
    <w:tbl>
      <w:tblPr>
        <w:tblStyle w:val="TableGrid"/>
        <w:tblW w:w="0" w:type="auto"/>
        <w:tblLayout w:type="fixed"/>
        <w:tblLook w:val="04A0" w:firstRow="1" w:lastRow="0" w:firstColumn="1" w:lastColumn="0" w:noHBand="0" w:noVBand="1"/>
      </w:tblPr>
      <w:tblGrid>
        <w:gridCol w:w="1728"/>
        <w:gridCol w:w="3312"/>
        <w:gridCol w:w="2880"/>
        <w:gridCol w:w="2016"/>
      </w:tblGrid>
      <w:tr w:rsidR="001A0A19" w14:paraId="66BA7AB3" w14:textId="77777777">
        <w:tc>
          <w:tcPr>
            <w:tcW w:w="1728" w:type="dxa"/>
          </w:tcPr>
          <w:p w14:paraId="114E4837" w14:textId="77777777" w:rsidR="001A0A19" w:rsidRDefault="00000000">
            <w:r>
              <w:rPr>
                <w:b/>
                <w:sz w:val="19"/>
              </w:rPr>
              <w:t>Asset class</w:t>
            </w:r>
          </w:p>
        </w:tc>
        <w:tc>
          <w:tcPr>
            <w:tcW w:w="3312" w:type="dxa"/>
          </w:tcPr>
          <w:p w14:paraId="033519C3" w14:textId="77777777" w:rsidR="001A0A19" w:rsidRDefault="00000000">
            <w:r>
              <w:rPr>
                <w:b/>
                <w:sz w:val="19"/>
              </w:rPr>
              <w:t>Products</w:t>
            </w:r>
          </w:p>
        </w:tc>
        <w:tc>
          <w:tcPr>
            <w:tcW w:w="2880" w:type="dxa"/>
          </w:tcPr>
          <w:p w14:paraId="2729EEA9" w14:textId="77777777" w:rsidR="001A0A19" w:rsidRDefault="00000000">
            <w:r>
              <w:rPr>
                <w:b/>
                <w:sz w:val="19"/>
              </w:rPr>
              <w:t>Exchange</w:t>
            </w:r>
          </w:p>
        </w:tc>
        <w:tc>
          <w:tcPr>
            <w:tcW w:w="2016" w:type="dxa"/>
          </w:tcPr>
          <w:p w14:paraId="0EB5924E" w14:textId="7615E661" w:rsidR="001A0A19" w:rsidRDefault="006B3200">
            <w:r>
              <w:rPr>
                <w:b/>
                <w:sz w:val="19"/>
              </w:rPr>
              <w:t>Time Period</w:t>
            </w:r>
          </w:p>
        </w:tc>
      </w:tr>
      <w:tr w:rsidR="001A0A19" w14:paraId="78AD528C" w14:textId="77777777">
        <w:tc>
          <w:tcPr>
            <w:tcW w:w="1728" w:type="dxa"/>
          </w:tcPr>
          <w:p w14:paraId="1B01FFFE" w14:textId="77777777" w:rsidR="001A0A19" w:rsidRDefault="00000000">
            <w:r>
              <w:rPr>
                <w:sz w:val="19"/>
              </w:rPr>
              <w:t>Metals (4)</w:t>
            </w:r>
          </w:p>
        </w:tc>
        <w:tc>
          <w:tcPr>
            <w:tcW w:w="3312" w:type="dxa"/>
          </w:tcPr>
          <w:p w14:paraId="36C67A62" w14:textId="77777777" w:rsidR="001A0A19" w:rsidRDefault="00000000">
            <w:r>
              <w:rPr>
                <w:sz w:val="19"/>
              </w:rPr>
              <w:t>Copper, Aluminium, Lead, Zinc</w:t>
            </w:r>
          </w:p>
        </w:tc>
        <w:tc>
          <w:tcPr>
            <w:tcW w:w="2880" w:type="dxa"/>
          </w:tcPr>
          <w:p w14:paraId="7751C389" w14:textId="77777777" w:rsidR="001A0A19" w:rsidRDefault="00000000">
            <w:r>
              <w:rPr>
                <w:sz w:val="19"/>
              </w:rPr>
              <w:t>LME</w:t>
            </w:r>
          </w:p>
        </w:tc>
        <w:tc>
          <w:tcPr>
            <w:tcW w:w="2016" w:type="dxa"/>
          </w:tcPr>
          <w:p w14:paraId="16C758FB" w14:textId="420752C9" w:rsidR="001A0A19" w:rsidRDefault="00000000">
            <w:r>
              <w:rPr>
                <w:sz w:val="19"/>
              </w:rPr>
              <w:t>3 Jan 2006</w:t>
            </w:r>
            <w:r w:rsidR="006B3200">
              <w:rPr>
                <w:sz w:val="19"/>
              </w:rPr>
              <w:t xml:space="preserve"> to 23 Sep 2026</w:t>
            </w:r>
          </w:p>
        </w:tc>
      </w:tr>
      <w:tr w:rsidR="001A0A19" w14:paraId="7E557584" w14:textId="77777777">
        <w:tc>
          <w:tcPr>
            <w:tcW w:w="1728" w:type="dxa"/>
          </w:tcPr>
          <w:p w14:paraId="2C44BBFF" w14:textId="77777777" w:rsidR="001A0A19" w:rsidRDefault="00000000">
            <w:r>
              <w:rPr>
                <w:sz w:val="19"/>
              </w:rPr>
              <w:t>Energy (5)</w:t>
            </w:r>
          </w:p>
        </w:tc>
        <w:tc>
          <w:tcPr>
            <w:tcW w:w="3312" w:type="dxa"/>
          </w:tcPr>
          <w:p w14:paraId="63ECF848" w14:textId="77777777" w:rsidR="001A0A19" w:rsidRDefault="00000000">
            <w:r>
              <w:rPr>
                <w:sz w:val="19"/>
              </w:rPr>
              <w:t>WTI, Brent, RBOB Gasoline, Heating Oil (ULSD), Natural Gas (Henry Hub)</w:t>
            </w:r>
          </w:p>
        </w:tc>
        <w:tc>
          <w:tcPr>
            <w:tcW w:w="2880" w:type="dxa"/>
          </w:tcPr>
          <w:p w14:paraId="14FDC969" w14:textId="77777777" w:rsidR="001A0A19" w:rsidRDefault="00000000">
            <w:r>
              <w:rPr>
                <w:sz w:val="19"/>
              </w:rPr>
              <w:t>NYMEX (WTI, RBOB, Heating Oil, Natural Gas); ICE (Brent)</w:t>
            </w:r>
          </w:p>
        </w:tc>
        <w:tc>
          <w:tcPr>
            <w:tcW w:w="2016" w:type="dxa"/>
          </w:tcPr>
          <w:p w14:paraId="67248028" w14:textId="103E595C" w:rsidR="001A0A19" w:rsidRDefault="006B3200">
            <w:r>
              <w:rPr>
                <w:sz w:val="19"/>
              </w:rPr>
              <w:t>3 Jan 2006 to 23 Sep 2026</w:t>
            </w:r>
          </w:p>
        </w:tc>
      </w:tr>
      <w:tr w:rsidR="001A0A19" w14:paraId="358683C3" w14:textId="77777777">
        <w:tc>
          <w:tcPr>
            <w:tcW w:w="1728" w:type="dxa"/>
          </w:tcPr>
          <w:p w14:paraId="2F8A33E1" w14:textId="77777777" w:rsidR="001A0A19" w:rsidRDefault="00000000">
            <w:r>
              <w:rPr>
                <w:sz w:val="19"/>
              </w:rPr>
              <w:t>Precious Metals (4)</w:t>
            </w:r>
          </w:p>
        </w:tc>
        <w:tc>
          <w:tcPr>
            <w:tcW w:w="3312" w:type="dxa"/>
          </w:tcPr>
          <w:p w14:paraId="63F4FA01" w14:textId="77777777" w:rsidR="001A0A19" w:rsidRDefault="00000000">
            <w:r>
              <w:rPr>
                <w:sz w:val="19"/>
              </w:rPr>
              <w:t>Gold, Silver, Platinum, Palladium</w:t>
            </w:r>
          </w:p>
        </w:tc>
        <w:tc>
          <w:tcPr>
            <w:tcW w:w="2880" w:type="dxa"/>
          </w:tcPr>
          <w:p w14:paraId="4827EC34" w14:textId="77777777" w:rsidR="001A0A19" w:rsidRDefault="00000000">
            <w:r>
              <w:rPr>
                <w:sz w:val="19"/>
              </w:rPr>
              <w:t>COMEX (Gold, Silver); NYMEX (Platinum, Palladium)</w:t>
            </w:r>
          </w:p>
        </w:tc>
        <w:tc>
          <w:tcPr>
            <w:tcW w:w="2016" w:type="dxa"/>
          </w:tcPr>
          <w:p w14:paraId="3E9D59B0" w14:textId="14FB7268" w:rsidR="001A0A19" w:rsidRDefault="006B3200">
            <w:r>
              <w:rPr>
                <w:sz w:val="19"/>
              </w:rPr>
              <w:t>3 Jan 2006 to 23 Sep 2026</w:t>
            </w:r>
          </w:p>
        </w:tc>
      </w:tr>
      <w:tr w:rsidR="001A0A19" w:rsidRPr="006B3200" w14:paraId="3B51DBFD" w14:textId="77777777">
        <w:tc>
          <w:tcPr>
            <w:tcW w:w="1728" w:type="dxa"/>
          </w:tcPr>
          <w:p w14:paraId="0479ACFB" w14:textId="77777777" w:rsidR="001A0A19" w:rsidRDefault="00000000">
            <w:r>
              <w:rPr>
                <w:sz w:val="19"/>
              </w:rPr>
              <w:t>NGL (4)</w:t>
            </w:r>
          </w:p>
        </w:tc>
        <w:tc>
          <w:tcPr>
            <w:tcW w:w="3312" w:type="dxa"/>
          </w:tcPr>
          <w:p w14:paraId="4AEDC431" w14:textId="77777777" w:rsidR="001A0A19" w:rsidRDefault="00000000">
            <w:r>
              <w:rPr>
                <w:sz w:val="19"/>
              </w:rPr>
              <w:t>Ethane, Propane, Butane, Isobutane</w:t>
            </w:r>
          </w:p>
        </w:tc>
        <w:tc>
          <w:tcPr>
            <w:tcW w:w="2880" w:type="dxa"/>
          </w:tcPr>
          <w:p w14:paraId="1E8C6FAF" w14:textId="77777777" w:rsidR="001A0A19" w:rsidRDefault="00000000">
            <w:r>
              <w:rPr>
                <w:sz w:val="19"/>
              </w:rPr>
              <w:t>Mont Belvieu swap contracts</w:t>
            </w:r>
          </w:p>
        </w:tc>
        <w:tc>
          <w:tcPr>
            <w:tcW w:w="2016" w:type="dxa"/>
          </w:tcPr>
          <w:p w14:paraId="0CA544EC" w14:textId="5DB644C9" w:rsidR="001A0A19" w:rsidRPr="006B3200" w:rsidRDefault="00000000">
            <w:pPr>
              <w:rPr>
                <w:lang w:val="en-IN"/>
              </w:rPr>
            </w:pPr>
            <w:r w:rsidRPr="006B3200">
              <w:rPr>
                <w:sz w:val="19"/>
                <w:lang w:val="en-IN"/>
              </w:rPr>
              <w:t>Propane 17 Aug 2009; Ethane 19 Aug 2009; Butane 20 Aug 2009; Isobutane 10 Nov 2009</w:t>
            </w:r>
            <w:r w:rsidR="006B3200" w:rsidRPr="006B3200">
              <w:rPr>
                <w:sz w:val="19"/>
                <w:lang w:val="en-IN"/>
              </w:rPr>
              <w:t xml:space="preserve">  to 23 S</w:t>
            </w:r>
            <w:r w:rsidR="006B3200">
              <w:rPr>
                <w:sz w:val="19"/>
                <w:lang w:val="en-IN"/>
              </w:rPr>
              <w:t>ep 2026.</w:t>
            </w:r>
          </w:p>
        </w:tc>
      </w:tr>
      <w:tr w:rsidR="001A0A19" w14:paraId="0F06A38F" w14:textId="77777777">
        <w:tc>
          <w:tcPr>
            <w:tcW w:w="1728" w:type="dxa"/>
          </w:tcPr>
          <w:p w14:paraId="4E7152F9" w14:textId="77777777" w:rsidR="001A0A19" w:rsidRDefault="00000000">
            <w:r>
              <w:rPr>
                <w:sz w:val="19"/>
              </w:rPr>
              <w:t>Agriculture (6)</w:t>
            </w:r>
          </w:p>
        </w:tc>
        <w:tc>
          <w:tcPr>
            <w:tcW w:w="3312" w:type="dxa"/>
          </w:tcPr>
          <w:p w14:paraId="6C890108" w14:textId="77777777" w:rsidR="001A0A19" w:rsidRDefault="00000000">
            <w:r>
              <w:rPr>
                <w:sz w:val="19"/>
              </w:rPr>
              <w:t>Corn, Wheat, Soybean, Soybean Oil, Coffee, Sugar No.11</w:t>
            </w:r>
          </w:p>
        </w:tc>
        <w:tc>
          <w:tcPr>
            <w:tcW w:w="2880" w:type="dxa"/>
          </w:tcPr>
          <w:p w14:paraId="5EF9834B" w14:textId="77777777" w:rsidR="001A0A19" w:rsidRDefault="00000000">
            <w:r>
              <w:rPr>
                <w:sz w:val="19"/>
              </w:rPr>
              <w:t>CBOT (Corn, Wheat, Soybean, Soybean Oil); ICE (Coffee C, Sugar No.11)</w:t>
            </w:r>
          </w:p>
        </w:tc>
        <w:tc>
          <w:tcPr>
            <w:tcW w:w="2016" w:type="dxa"/>
          </w:tcPr>
          <w:p w14:paraId="252EC9F6" w14:textId="3ECEB8B8" w:rsidR="001A0A19" w:rsidRDefault="006B3200">
            <w:r>
              <w:rPr>
                <w:sz w:val="19"/>
              </w:rPr>
              <w:t>3 Jan 2006 to 23 Sep 2026</w:t>
            </w:r>
          </w:p>
        </w:tc>
      </w:tr>
    </w:tbl>
    <w:p w14:paraId="571E5D75" w14:textId="0AD12D53" w:rsidR="00576CDE" w:rsidRDefault="00576CDE"/>
    <w:p w14:paraId="42F43DED" w14:textId="77777777" w:rsidR="00576CDE" w:rsidRDefault="00000000">
      <w:pPr>
        <w:keepNext/>
        <w:spacing w:before="160"/>
      </w:pPr>
      <w:r>
        <w:rPr>
          <w:b/>
        </w:rPr>
        <w:t>2.</w:t>
      </w:r>
      <w:r w:rsidR="00A13331">
        <w:rPr>
          <w:b/>
        </w:rPr>
        <w:t>2</w:t>
      </w:r>
      <w:r>
        <w:rPr>
          <w:b/>
        </w:rPr>
        <w:t xml:space="preserve"> Sample period and data preparation</w:t>
      </w:r>
    </w:p>
    <w:p w14:paraId="2EF88092" w14:textId="70AF3239" w:rsidR="00576CDE" w:rsidRDefault="00000000">
      <w:r>
        <w:t xml:space="preserve">The sample for all results runs from 1 January 2012 to 23 September 2026. Every series starts earlier, on 3 January 2006 for Metals, Energy, Precious Metals and Agriculture and between 17 August and 10 November 2009 for NGL. The earlier history is used only to </w:t>
      </w:r>
      <w:proofErr w:type="spellStart"/>
      <w:r>
        <w:t>initialise</w:t>
      </w:r>
      <w:proofErr w:type="spellEnd"/>
      <w:r>
        <w:t xml:space="preserve"> signals with long lookbacks: each signal is computed on a product's full available history and only the resulting return series is cut to the sample window, so that every signal is fully formed when the window opens. The longest lookback is the five-year average used by the Value signal (Section 3.5), which needs at least two years of history and is available for every product before 2012. Within the tenors we use, 33 cells are missing in the sample window: Heating Oil F13 on 19 days in April 2012, when the May 2013 contract, the first with the ULSD grade, had not yet started trading, and Isobutane F14 on 14 days in March 2013. We fill them from the adjacent </w:t>
      </w:r>
      <w:r>
        <w:lastRenderedPageBreak/>
        <w:t xml:space="preserve">tenor, using the average spread of the preceding month (Heating Oil F13 = F12 minus 2.8 cents per gallon; Isobutane F14 = F13), and change no observed price. </w:t>
      </w:r>
    </w:p>
    <w:p w14:paraId="7244869A" w14:textId="77777777" w:rsidR="00576CDE" w:rsidRDefault="00000000">
      <w:pPr>
        <w:keepNext/>
        <w:spacing w:before="160"/>
      </w:pPr>
      <w:r>
        <w:rPr>
          <w:b/>
        </w:rPr>
        <w:t>2.3 Contract rolls and the continuous price series</w:t>
      </w:r>
    </w:p>
    <w:p w14:paraId="49ECBD0D" w14:textId="651958ED" w:rsidR="00576CDE" w:rsidRDefault="00000000">
      <w:r>
        <w:t xml:space="preserve">A position held through time earns the return of the contract it actually holds, so each strategy needs a continuous price series that follows the </w:t>
      </w:r>
      <w:r w:rsidR="00024AFF">
        <w:t>contract held</w:t>
      </w:r>
      <w:r>
        <w:t xml:space="preserve"> through its rolls. We roll before expiry, to avoid holding contracts close to delivery (see, for example, Gorton and </w:t>
      </w:r>
      <w:proofErr w:type="spellStart"/>
      <w:r>
        <w:t>Rouwenhorst</w:t>
      </w:r>
      <w:proofErr w:type="spellEnd"/>
      <w:r>
        <w:t xml:space="preserve">, 2006; </w:t>
      </w:r>
      <w:proofErr w:type="spellStart"/>
      <w:r>
        <w:t>Miffre</w:t>
      </w:r>
      <w:proofErr w:type="spellEnd"/>
      <w:r>
        <w:t xml:space="preserve"> and Rallis, 2007). Contract expiry dates come from the exchanges' last-trade-date calendars, and each contract is rolled on the fifth trading day of the month in which its last trade date falls. </w:t>
      </w:r>
    </w:p>
    <w:p w14:paraId="1A1D8659" w14:textId="77777777" w:rsidR="00576CDE" w:rsidRDefault="00000000">
      <w:r>
        <w:t>The continuous series is ratio-adjusted. Let P(t) be its level on day t. Each day P(t) equals P(t-1) times the day-over-day price ratio of the contract held. Before the roll day we hold the front contract and use equation (1); from the roll day up to and including the last trade date we hold the second contract and use equation (2); on the first day after the last trade date we use equation (3):</w:t>
      </w:r>
    </w:p>
    <w:p w14:paraId="79B7CA03" w14:textId="77777777" w:rsidR="00576CDE" w:rsidRPr="00A13331" w:rsidRDefault="00000000">
      <w:pPr>
        <w:tabs>
          <w:tab w:val="center" w:pos="4680"/>
          <w:tab w:val="right" w:pos="9360"/>
        </w:tabs>
        <w:rPr>
          <w:lang w:val="fr-CA"/>
        </w:rPr>
      </w:pPr>
      <w:r>
        <w:rPr>
          <w:i/>
        </w:rPr>
        <w:tab/>
      </w:r>
      <w:r w:rsidRPr="00A13331">
        <w:rPr>
          <w:i/>
          <w:lang w:val="fr-CA"/>
        </w:rPr>
        <w:t>P(t) = P(t-1) x F1(t) / F1(t-1)</w:t>
      </w:r>
      <w:r w:rsidRPr="00A13331">
        <w:rPr>
          <w:lang w:val="fr-CA"/>
        </w:rPr>
        <w:tab/>
        <w:t>(1)</w:t>
      </w:r>
    </w:p>
    <w:p w14:paraId="1ACDD273" w14:textId="77777777" w:rsidR="00576CDE" w:rsidRPr="00A13331" w:rsidRDefault="00000000">
      <w:pPr>
        <w:tabs>
          <w:tab w:val="center" w:pos="4680"/>
          <w:tab w:val="right" w:pos="9360"/>
        </w:tabs>
        <w:rPr>
          <w:lang w:val="fr-CA"/>
        </w:rPr>
      </w:pPr>
      <w:r w:rsidRPr="00A13331">
        <w:rPr>
          <w:i/>
          <w:lang w:val="fr-CA"/>
        </w:rPr>
        <w:tab/>
        <w:t>P(t) = P(t-1) x F2(t) / F2(t-1)</w:t>
      </w:r>
      <w:r w:rsidRPr="00A13331">
        <w:rPr>
          <w:lang w:val="fr-CA"/>
        </w:rPr>
        <w:tab/>
        <w:t>(2)</w:t>
      </w:r>
    </w:p>
    <w:p w14:paraId="650F34E8" w14:textId="77777777" w:rsidR="00576CDE" w:rsidRDefault="00000000">
      <w:pPr>
        <w:tabs>
          <w:tab w:val="center" w:pos="4680"/>
          <w:tab w:val="right" w:pos="9360"/>
        </w:tabs>
      </w:pPr>
      <w:r w:rsidRPr="00A13331">
        <w:rPr>
          <w:i/>
          <w:lang w:val="fr-CA"/>
        </w:rPr>
        <w:tab/>
      </w:r>
      <w:r>
        <w:rPr>
          <w:i/>
        </w:rPr>
        <w:t>P(t) = P(t-1) x F1(t) / F2(t-1)</w:t>
      </w:r>
      <w:r>
        <w:tab/>
        <w:t>(3)</w:t>
      </w:r>
    </w:p>
    <w:p w14:paraId="136D8BCA" w14:textId="29297C94" w:rsidR="00576CDE" w:rsidRDefault="00000000">
      <w:r>
        <w:t>The roll day's return is therefore already earned on the second contract, and on the day after expiry the generic F1 refers to the contract that was F2 the day before, which equation (3) accounts for. The multiplicative construction keeps the series positive and preserves percentage moves across rolls. The daily log return of a strategy is its position times the daily change in ln P(t).</w:t>
      </w:r>
    </w:p>
    <w:p w14:paraId="6C988040" w14:textId="1BC763DE" w:rsidR="00576CDE" w:rsidRDefault="00000000">
      <w:r>
        <w:t>For NGL the first generic series is an average-price contract, which does not reflect where positions would actually be traded. We therefore let the second and third generic contracts play the role of the front and second contract in the continuous series and in Momentum. Carry and Value use the generic curve as supplied (Sections 3.3 and 3.5).</w:t>
      </w:r>
    </w:p>
    <w:p w14:paraId="317CF61C" w14:textId="45ADA64B" w:rsidR="00576CDE" w:rsidRDefault="00000000">
      <w:r>
        <w:t xml:space="preserve">Log returns require a positive price, so the continuous series is set to missing wherever it is not positive. WTI settled at -37.63 on 20 April 2020; the continuous WTI series is already on the second contract on that date and is unaffected. Where the generic F1 value on that date is used as a signal input (Momentum, Carry and Value) we replace it by Brent's F1 minus the average WTI-Brent spread of 17 and 21 April 2020 (16.005). </w:t>
      </w:r>
    </w:p>
    <w:p w14:paraId="21FA6884" w14:textId="77777777" w:rsidR="00576CDE" w:rsidRDefault="00000000">
      <w:pPr>
        <w:keepNext/>
        <w:spacing w:before="160"/>
      </w:pPr>
      <w:r>
        <w:rPr>
          <w:b/>
        </w:rPr>
        <w:t>2.4 Transaction costs</w:t>
      </w:r>
    </w:p>
    <w:p w14:paraId="1E88495A" w14:textId="77777777" w:rsidR="00576CDE" w:rsidRDefault="00000000">
      <w:r>
        <w:t xml:space="preserve">Returns are those of an unfunded futures position of one unit of notional exposure per product. No collateral interest, financing or margin is included, and no leverage is applied. We charge 5 </w:t>
      </w:r>
      <w:r>
        <w:lastRenderedPageBreak/>
        <w:t>basis points round trip, implemented as 2.5 basis points of notional for each unit of change in position. A flip from long to short therefore costs 5 basis points and entering or exiting a position costs 2.5. On a roll day, if the position is non-zero before and after and keeps its sign, a further 2.5 basis points is charged, because the rolling trade is real even when the view does not change. The first day is charged on the size of the opening position. Costs are subtracted directly from the daily log return (Section 3.7).</w:t>
      </w:r>
    </w:p>
    <w:p w14:paraId="6D72BA6A" w14:textId="77777777" w:rsidR="00576CDE" w:rsidRDefault="00000000">
      <w:r>
        <w:t>With the data, the continuous series and the cost assumptions in place, the next section defines the signals, the way they are combined and the statistics used to evaluate them.</w:t>
      </w:r>
    </w:p>
    <w:p w14:paraId="6566619A" w14:textId="77777777" w:rsidR="00576CDE" w:rsidRDefault="00000000">
      <w:r>
        <w:rPr>
          <w:b/>
          <w:sz w:val="28"/>
        </w:rPr>
        <w:t>3. Methodology</w:t>
      </w:r>
    </w:p>
    <w:p w14:paraId="23BB3CC5" w14:textId="77777777" w:rsidR="00576CDE" w:rsidRDefault="00000000">
      <w:r>
        <w:t>We test five signals that turn the channels discussed in Section 1 into fixed rules (Table 2). Each is applied to every product separately and gives a position of +1, 0 or -1. The returns of the products are combined into a sleeve for each signal, the five sleeves into an asset-class portfolio, and the asset classes into cross-commodity portfolios.</w:t>
      </w:r>
    </w:p>
    <w:p w14:paraId="611713A7" w14:textId="77777777" w:rsidR="00576CDE" w:rsidRDefault="00000000">
      <w:pPr>
        <w:keepNext/>
      </w:pPr>
      <w:r>
        <w:rPr>
          <w:b/>
          <w:sz w:val="22"/>
        </w:rPr>
        <w:t>Table 2: The five signals</w:t>
      </w:r>
    </w:p>
    <w:tbl>
      <w:tblPr>
        <w:tblStyle w:val="TableGrid"/>
        <w:tblW w:w="0" w:type="auto"/>
        <w:tblLayout w:type="fixed"/>
        <w:tblLook w:val="04A0" w:firstRow="1" w:lastRow="0" w:firstColumn="1" w:lastColumn="0" w:noHBand="0" w:noVBand="1"/>
      </w:tblPr>
      <w:tblGrid>
        <w:gridCol w:w="2016"/>
        <w:gridCol w:w="3600"/>
        <w:gridCol w:w="4320"/>
      </w:tblGrid>
      <w:tr w:rsidR="00CF7B42" w14:paraId="628AE6A1" w14:textId="77777777">
        <w:tc>
          <w:tcPr>
            <w:tcW w:w="2016" w:type="dxa"/>
          </w:tcPr>
          <w:p w14:paraId="4D59CF73" w14:textId="77777777" w:rsidR="00CF7B42" w:rsidRDefault="00000000">
            <w:r>
              <w:rPr>
                <w:b/>
                <w:sz w:val="19"/>
              </w:rPr>
              <w:t>Signal</w:t>
            </w:r>
          </w:p>
        </w:tc>
        <w:tc>
          <w:tcPr>
            <w:tcW w:w="3600" w:type="dxa"/>
          </w:tcPr>
          <w:p w14:paraId="09784A32" w14:textId="77777777" w:rsidR="00CF7B42" w:rsidRDefault="00000000">
            <w:r>
              <w:rPr>
                <w:b/>
                <w:sz w:val="19"/>
              </w:rPr>
              <w:t>What it measures</w:t>
            </w:r>
          </w:p>
        </w:tc>
        <w:tc>
          <w:tcPr>
            <w:tcW w:w="4320" w:type="dxa"/>
          </w:tcPr>
          <w:p w14:paraId="66C3045A" w14:textId="77777777" w:rsidR="00CF7B42" w:rsidRDefault="00000000">
            <w:r>
              <w:rPr>
                <w:b/>
                <w:sz w:val="19"/>
              </w:rPr>
              <w:t>Related literature</w:t>
            </w:r>
          </w:p>
        </w:tc>
      </w:tr>
      <w:tr w:rsidR="00CF7B42" w14:paraId="0E5C42FF" w14:textId="77777777">
        <w:tc>
          <w:tcPr>
            <w:tcW w:w="2016" w:type="dxa"/>
          </w:tcPr>
          <w:p w14:paraId="05BEAAF3" w14:textId="77777777" w:rsidR="00CF7B42" w:rsidRDefault="00000000">
            <w:r>
              <w:rPr>
                <w:sz w:val="19"/>
              </w:rPr>
              <w:t>Momentum</w:t>
            </w:r>
          </w:p>
        </w:tc>
        <w:tc>
          <w:tcPr>
            <w:tcW w:w="3600" w:type="dxa"/>
          </w:tcPr>
          <w:p w14:paraId="7EB0D46F" w14:textId="77777777" w:rsidR="00CF7B42" w:rsidRDefault="00000000">
            <w:r>
              <w:rPr>
                <w:sz w:val="19"/>
              </w:rPr>
              <w:t>Direction of the recent price trend</w:t>
            </w:r>
          </w:p>
        </w:tc>
        <w:tc>
          <w:tcPr>
            <w:tcW w:w="4320" w:type="dxa"/>
          </w:tcPr>
          <w:p w14:paraId="60D2B450" w14:textId="77777777" w:rsidR="00CF7B42" w:rsidRDefault="00000000">
            <w:proofErr w:type="spellStart"/>
            <w:r>
              <w:rPr>
                <w:sz w:val="19"/>
              </w:rPr>
              <w:t>Miffre</w:t>
            </w:r>
            <w:proofErr w:type="spellEnd"/>
            <w:r>
              <w:rPr>
                <w:sz w:val="19"/>
              </w:rPr>
              <w:t xml:space="preserve"> and Rallis (2007); Gorton, Hayashi and </w:t>
            </w:r>
            <w:proofErr w:type="spellStart"/>
            <w:r>
              <w:rPr>
                <w:sz w:val="19"/>
              </w:rPr>
              <w:t>Rouwenhorst</w:t>
            </w:r>
            <w:proofErr w:type="spellEnd"/>
            <w:r>
              <w:rPr>
                <w:sz w:val="19"/>
              </w:rPr>
              <w:t xml:space="preserve"> (2013); </w:t>
            </w:r>
            <w:proofErr w:type="spellStart"/>
            <w:r>
              <w:rPr>
                <w:sz w:val="19"/>
              </w:rPr>
              <w:t>Asness</w:t>
            </w:r>
            <w:proofErr w:type="spellEnd"/>
            <w:r>
              <w:rPr>
                <w:sz w:val="19"/>
              </w:rPr>
              <w:t>, Moskowitz and Pedersen (2013)</w:t>
            </w:r>
          </w:p>
        </w:tc>
      </w:tr>
      <w:tr w:rsidR="00CF7B42" w14:paraId="398E3224" w14:textId="77777777">
        <w:tc>
          <w:tcPr>
            <w:tcW w:w="2016" w:type="dxa"/>
          </w:tcPr>
          <w:p w14:paraId="0482F3A0" w14:textId="77777777" w:rsidR="00CF7B42" w:rsidRDefault="00000000">
            <w:r>
              <w:rPr>
                <w:sz w:val="19"/>
              </w:rPr>
              <w:t>Carry</w:t>
            </w:r>
          </w:p>
        </w:tc>
        <w:tc>
          <w:tcPr>
            <w:tcW w:w="3600" w:type="dxa"/>
          </w:tcPr>
          <w:p w14:paraId="2EC90370" w14:textId="77777777" w:rsidR="00CF7B42" w:rsidRDefault="00000000">
            <w:r>
              <w:rPr>
                <w:sz w:val="19"/>
              </w:rPr>
              <w:t>Slope of the futures curve relative to its recent level</w:t>
            </w:r>
          </w:p>
        </w:tc>
        <w:tc>
          <w:tcPr>
            <w:tcW w:w="4320" w:type="dxa"/>
          </w:tcPr>
          <w:p w14:paraId="7095B002" w14:textId="77777777" w:rsidR="00CF7B42" w:rsidRDefault="00000000">
            <w:r>
              <w:rPr>
                <w:sz w:val="19"/>
              </w:rPr>
              <w:t xml:space="preserve">Gorton, Hayashi and </w:t>
            </w:r>
            <w:proofErr w:type="spellStart"/>
            <w:r>
              <w:rPr>
                <w:sz w:val="19"/>
              </w:rPr>
              <w:t>Rouwenhorst</w:t>
            </w:r>
            <w:proofErr w:type="spellEnd"/>
            <w:r>
              <w:rPr>
                <w:sz w:val="19"/>
              </w:rPr>
              <w:t xml:space="preserve"> (2013); </w:t>
            </w:r>
            <w:proofErr w:type="spellStart"/>
            <w:r>
              <w:rPr>
                <w:sz w:val="19"/>
              </w:rPr>
              <w:t>Koijen</w:t>
            </w:r>
            <w:proofErr w:type="spellEnd"/>
            <w:r>
              <w:rPr>
                <w:sz w:val="19"/>
              </w:rPr>
              <w:t xml:space="preserve">, Moskowitz, Pedersen and </w:t>
            </w:r>
            <w:proofErr w:type="spellStart"/>
            <w:r>
              <w:rPr>
                <w:sz w:val="19"/>
              </w:rPr>
              <w:t>Vrugt</w:t>
            </w:r>
            <w:proofErr w:type="spellEnd"/>
            <w:r>
              <w:rPr>
                <w:sz w:val="19"/>
              </w:rPr>
              <w:t xml:space="preserve"> (2018)</w:t>
            </w:r>
          </w:p>
        </w:tc>
      </w:tr>
      <w:tr w:rsidR="00CF7B42" w14:paraId="058AFA13" w14:textId="77777777">
        <w:tc>
          <w:tcPr>
            <w:tcW w:w="2016" w:type="dxa"/>
          </w:tcPr>
          <w:p w14:paraId="1F265AD5" w14:textId="77777777" w:rsidR="00CF7B42" w:rsidRDefault="00000000">
            <w:r>
              <w:rPr>
                <w:sz w:val="19"/>
              </w:rPr>
              <w:t>Carry-Momentum</w:t>
            </w:r>
          </w:p>
        </w:tc>
        <w:tc>
          <w:tcPr>
            <w:tcW w:w="3600" w:type="dxa"/>
          </w:tcPr>
          <w:p w14:paraId="1D77695C" w14:textId="77777777" w:rsidR="00CF7B42" w:rsidRDefault="00000000">
            <w:r>
              <w:rPr>
                <w:sz w:val="19"/>
              </w:rPr>
              <w:t>Change in the slope of the futures curve</w:t>
            </w:r>
          </w:p>
        </w:tc>
        <w:tc>
          <w:tcPr>
            <w:tcW w:w="4320" w:type="dxa"/>
          </w:tcPr>
          <w:p w14:paraId="0911A8F2" w14:textId="5C8D5680" w:rsidR="00CF7B42" w:rsidRDefault="00000000">
            <w:r>
              <w:rPr>
                <w:sz w:val="19"/>
              </w:rPr>
              <w:t xml:space="preserve">Adapted from </w:t>
            </w:r>
            <w:r w:rsidR="00E2051A">
              <w:rPr>
                <w:sz w:val="19"/>
              </w:rPr>
              <w:t>Virtual Barrels</w:t>
            </w:r>
            <w:r>
              <w:rPr>
                <w:sz w:val="19"/>
              </w:rPr>
              <w:t xml:space="preserve"> (2023, pp. 101-102)</w:t>
            </w:r>
          </w:p>
        </w:tc>
      </w:tr>
      <w:tr w:rsidR="00CF7B42" w14:paraId="3B745024" w14:textId="77777777">
        <w:tc>
          <w:tcPr>
            <w:tcW w:w="2016" w:type="dxa"/>
          </w:tcPr>
          <w:p w14:paraId="3FA85A2F" w14:textId="77777777" w:rsidR="00CF7B42" w:rsidRDefault="00000000">
            <w:r>
              <w:rPr>
                <w:sz w:val="19"/>
              </w:rPr>
              <w:t>Value</w:t>
            </w:r>
          </w:p>
        </w:tc>
        <w:tc>
          <w:tcPr>
            <w:tcW w:w="3600" w:type="dxa"/>
          </w:tcPr>
          <w:p w14:paraId="38988827" w14:textId="77777777" w:rsidR="00CF7B42" w:rsidRDefault="00000000">
            <w:r>
              <w:rPr>
                <w:sz w:val="19"/>
              </w:rPr>
              <w:t>Price relative to its long-run level</w:t>
            </w:r>
          </w:p>
        </w:tc>
        <w:tc>
          <w:tcPr>
            <w:tcW w:w="4320" w:type="dxa"/>
          </w:tcPr>
          <w:p w14:paraId="4EAC1A28" w14:textId="77777777" w:rsidR="00CF7B42" w:rsidRDefault="00000000">
            <w:proofErr w:type="spellStart"/>
            <w:r>
              <w:rPr>
                <w:sz w:val="19"/>
              </w:rPr>
              <w:t>Asness</w:t>
            </w:r>
            <w:proofErr w:type="spellEnd"/>
            <w:r>
              <w:rPr>
                <w:sz w:val="19"/>
              </w:rPr>
              <w:t>, Moskowitz and Pedersen (2013)</w:t>
            </w:r>
          </w:p>
        </w:tc>
      </w:tr>
      <w:tr w:rsidR="00CF7B42" w:rsidRPr="00072E44" w14:paraId="55F7C669" w14:textId="77777777">
        <w:tc>
          <w:tcPr>
            <w:tcW w:w="2016" w:type="dxa"/>
          </w:tcPr>
          <w:p w14:paraId="78334639" w14:textId="77777777" w:rsidR="00CF7B42" w:rsidRDefault="00000000">
            <w:r>
              <w:rPr>
                <w:sz w:val="19"/>
              </w:rPr>
              <w:t>Skewness</w:t>
            </w:r>
          </w:p>
        </w:tc>
        <w:tc>
          <w:tcPr>
            <w:tcW w:w="3600" w:type="dxa"/>
          </w:tcPr>
          <w:p w14:paraId="6219EE0B" w14:textId="77777777" w:rsidR="00CF7B42" w:rsidRDefault="00000000">
            <w:r>
              <w:rPr>
                <w:sz w:val="19"/>
              </w:rPr>
              <w:t>Asymmetry of the product's recent returns</w:t>
            </w:r>
          </w:p>
        </w:tc>
        <w:tc>
          <w:tcPr>
            <w:tcW w:w="4320" w:type="dxa"/>
          </w:tcPr>
          <w:p w14:paraId="17CE0739" w14:textId="77777777" w:rsidR="00CF7B42" w:rsidRPr="006B3200" w:rsidRDefault="00000000">
            <w:pPr>
              <w:rPr>
                <w:lang w:val="fr-CA"/>
              </w:rPr>
            </w:pPr>
            <w:r w:rsidRPr="006B3200">
              <w:rPr>
                <w:sz w:val="19"/>
                <w:lang w:val="fr-CA"/>
              </w:rPr>
              <w:t xml:space="preserve">Fernandez-Perez, </w:t>
            </w:r>
            <w:proofErr w:type="spellStart"/>
            <w:r w:rsidRPr="006B3200">
              <w:rPr>
                <w:sz w:val="19"/>
                <w:lang w:val="fr-CA"/>
              </w:rPr>
              <w:t>Frijns</w:t>
            </w:r>
            <w:proofErr w:type="spellEnd"/>
            <w:r w:rsidRPr="006B3200">
              <w:rPr>
                <w:sz w:val="19"/>
                <w:lang w:val="fr-CA"/>
              </w:rPr>
              <w:t xml:space="preserve">, Fuertes and </w:t>
            </w:r>
            <w:proofErr w:type="spellStart"/>
            <w:r w:rsidRPr="006B3200">
              <w:rPr>
                <w:sz w:val="19"/>
                <w:lang w:val="fr-CA"/>
              </w:rPr>
              <w:t>Miffre</w:t>
            </w:r>
            <w:proofErr w:type="spellEnd"/>
            <w:r w:rsidRPr="006B3200">
              <w:rPr>
                <w:sz w:val="19"/>
                <w:lang w:val="fr-CA"/>
              </w:rPr>
              <w:t xml:space="preserve"> (2018); Fernandez-Perez, Fuertes and </w:t>
            </w:r>
            <w:proofErr w:type="spellStart"/>
            <w:r w:rsidRPr="006B3200">
              <w:rPr>
                <w:sz w:val="19"/>
                <w:lang w:val="fr-CA"/>
              </w:rPr>
              <w:t>Miffre</w:t>
            </w:r>
            <w:proofErr w:type="spellEnd"/>
            <w:r w:rsidRPr="006B3200">
              <w:rPr>
                <w:sz w:val="19"/>
                <w:lang w:val="fr-CA"/>
              </w:rPr>
              <w:t xml:space="preserve"> (2021)</w:t>
            </w:r>
          </w:p>
        </w:tc>
      </w:tr>
    </w:tbl>
    <w:p w14:paraId="1D838689" w14:textId="77777777" w:rsidR="00576CDE" w:rsidRPr="006B3200" w:rsidRDefault="00576CDE">
      <w:pPr>
        <w:rPr>
          <w:lang w:val="fr-CA"/>
        </w:rPr>
      </w:pPr>
    </w:p>
    <w:p w14:paraId="59CCE7D2" w14:textId="77777777" w:rsidR="00576CDE" w:rsidRDefault="00000000">
      <w:pPr>
        <w:keepNext/>
        <w:spacing w:before="160"/>
      </w:pPr>
      <w:r>
        <w:rPr>
          <w:b/>
        </w:rPr>
        <w:t>3.1 Signal timing</w:t>
      </w:r>
    </w:p>
    <w:p w14:paraId="6D96C6B8" w14:textId="74371253" w:rsidR="00E748BC" w:rsidRDefault="00E748BC" w:rsidP="00E748BC">
      <w:r>
        <w:t>To rule out look-ahead, we apply a one-day execution lag. A signal computed from data through the close of day s is acted on at the close of day s+1, and the resulting position, held over day s+2, earns the return of that day:</w:t>
      </w:r>
    </w:p>
    <w:p w14:paraId="4C527701" w14:textId="6A8CA436" w:rsidR="00E748BC" w:rsidRPr="00FB724A" w:rsidRDefault="00426336" w:rsidP="00426336">
      <w:pPr>
        <w:jc w:val="center"/>
        <w:rPr>
          <w:i/>
          <w:lang w:val="en-IN"/>
        </w:rPr>
      </w:pPr>
      <w:r w:rsidRPr="00FB724A">
        <w:rPr>
          <w:i/>
          <w:lang w:val="en-IN"/>
        </w:rPr>
        <w:t xml:space="preserve">                                                           </w:t>
      </w:r>
      <w:r w:rsidR="00E748BC" w:rsidRPr="00FB724A">
        <w:rPr>
          <w:i/>
          <w:lang w:val="en-IN"/>
        </w:rPr>
        <w:t>position(t) = signal(t-2).</w:t>
      </w:r>
      <w:r w:rsidRPr="00FB724A">
        <w:rPr>
          <w:i/>
          <w:lang w:val="en-IN"/>
        </w:rPr>
        <w:t xml:space="preserve"> </w:t>
      </w:r>
      <w:r w:rsidRPr="00FB724A">
        <w:rPr>
          <w:i/>
          <w:lang w:val="en-IN"/>
        </w:rPr>
        <w:tab/>
      </w:r>
      <w:r w:rsidRPr="00FB724A">
        <w:rPr>
          <w:i/>
          <w:lang w:val="en-IN"/>
        </w:rPr>
        <w:tab/>
      </w:r>
      <w:r w:rsidRPr="00FB724A">
        <w:rPr>
          <w:i/>
          <w:lang w:val="en-IN"/>
        </w:rPr>
        <w:tab/>
      </w:r>
      <w:r w:rsidRPr="00FB724A">
        <w:rPr>
          <w:i/>
          <w:lang w:val="en-IN"/>
        </w:rPr>
        <w:tab/>
      </w:r>
      <w:r w:rsidR="00E748BC" w:rsidRPr="00FB724A">
        <w:rPr>
          <w:i/>
          <w:lang w:val="en-IN"/>
        </w:rPr>
        <w:t xml:space="preserve"> (4)</w:t>
      </w:r>
    </w:p>
    <w:p w14:paraId="12AC4C70" w14:textId="38B9C3DE" w:rsidR="00E748BC" w:rsidRDefault="00E748BC" w:rsidP="00E748BC"/>
    <w:p w14:paraId="21AA0DFB" w14:textId="001FA2D6" w:rsidR="00576CDE" w:rsidRDefault="00E748BC" w:rsidP="00E748BC">
      <w:r>
        <w:t>The same lag applies to every signal in every asset class, and a signal that is not yet available is a flat position. No leverage, volatility targeting or sizing is applied at product level.</w:t>
      </w:r>
    </w:p>
    <w:p w14:paraId="13E71820" w14:textId="77777777" w:rsidR="00576CDE" w:rsidRDefault="00000000">
      <w:pPr>
        <w:keepNext/>
        <w:spacing w:before="160"/>
      </w:pPr>
      <w:r>
        <w:rPr>
          <w:b/>
        </w:rPr>
        <w:lastRenderedPageBreak/>
        <w:t>3.2 Momentum</w:t>
      </w:r>
    </w:p>
    <w:p w14:paraId="2395311C" w14:textId="77777777" w:rsidR="00576CDE" w:rsidRDefault="00000000">
      <w:r>
        <w:t>Momentum buys products whose prices have been rising and sells those whose prices have been falling, each judged against its own history. Let MA(n) be the n-day simple moving average of the generic front-month price. A crossover with fast window m and slow window n gives</w:t>
      </w:r>
    </w:p>
    <w:p w14:paraId="2D89BC77" w14:textId="77777777" w:rsidR="00576CDE" w:rsidRDefault="00000000">
      <w:pPr>
        <w:tabs>
          <w:tab w:val="center" w:pos="4680"/>
          <w:tab w:val="right" w:pos="9360"/>
        </w:tabs>
      </w:pPr>
      <w:r>
        <w:rPr>
          <w:i/>
        </w:rPr>
        <w:tab/>
      </w:r>
      <w:r w:rsidRPr="006B3200">
        <w:rPr>
          <w:i/>
          <w:lang w:val="fr-CA"/>
        </w:rPr>
        <w:t>signal(</w:t>
      </w:r>
      <w:proofErr w:type="spellStart"/>
      <w:r w:rsidRPr="006B3200">
        <w:rPr>
          <w:i/>
          <w:lang w:val="fr-CA"/>
        </w:rPr>
        <w:t>m,n</w:t>
      </w:r>
      <w:proofErr w:type="spellEnd"/>
      <w:r w:rsidRPr="006B3200">
        <w:rPr>
          <w:i/>
          <w:lang w:val="fr-CA"/>
        </w:rPr>
        <w:t xml:space="preserve">) = </w:t>
      </w:r>
      <w:proofErr w:type="spellStart"/>
      <w:r w:rsidRPr="006B3200">
        <w:rPr>
          <w:i/>
          <w:lang w:val="fr-CA"/>
        </w:rPr>
        <w:t>sign</w:t>
      </w:r>
      <w:proofErr w:type="spellEnd"/>
      <w:r w:rsidRPr="006B3200">
        <w:rPr>
          <w:i/>
          <w:lang w:val="fr-CA"/>
        </w:rPr>
        <w:t>( MA(m) - MA(n) ).</w:t>
      </w:r>
      <w:r w:rsidRPr="006B3200">
        <w:rPr>
          <w:lang w:val="fr-CA"/>
        </w:rPr>
        <w:tab/>
      </w:r>
      <w:r>
        <w:t>(5)</w:t>
      </w:r>
    </w:p>
    <w:p w14:paraId="180FEB0A" w14:textId="734FE2B8" w:rsidR="00576CDE" w:rsidRDefault="00000000">
      <w:r>
        <w:t xml:space="preserve">We use the crossovers (m, n) = (1, 20), (5, 60) and (20, 250), and the composite is the sign of the average of the three signs, a majority vote that avoids relying on a single lookback. </w:t>
      </w:r>
    </w:p>
    <w:p w14:paraId="35B88EE3" w14:textId="77777777" w:rsidR="00576CDE" w:rsidRDefault="00000000">
      <w:pPr>
        <w:keepNext/>
        <w:spacing w:before="160"/>
      </w:pPr>
      <w:r>
        <w:rPr>
          <w:b/>
        </w:rPr>
        <w:t>3.3 Carry</w:t>
      </w:r>
    </w:p>
    <w:p w14:paraId="044E7369" w14:textId="77777777" w:rsidR="00576CDE" w:rsidRDefault="00000000">
      <w:r>
        <w:t>A downward-sloping curve signals scarce inventories, and a long position then earns a positive roll yield (Section 1). For a pair of tenors (near, far), the carry slope is</w:t>
      </w:r>
    </w:p>
    <w:p w14:paraId="50AE278F" w14:textId="77777777" w:rsidR="00576CDE" w:rsidRDefault="00000000">
      <w:pPr>
        <w:tabs>
          <w:tab w:val="center" w:pos="4680"/>
          <w:tab w:val="right" w:pos="9360"/>
        </w:tabs>
      </w:pPr>
      <w:r>
        <w:rPr>
          <w:i/>
        </w:rPr>
        <w:tab/>
        <w:t xml:space="preserve">s(t) = ( </w:t>
      </w:r>
      <w:proofErr w:type="spellStart"/>
      <w:r>
        <w:rPr>
          <w:i/>
        </w:rPr>
        <w:t>F_near</w:t>
      </w:r>
      <w:proofErr w:type="spellEnd"/>
      <w:r>
        <w:rPr>
          <w:i/>
        </w:rPr>
        <w:t xml:space="preserve">(t) - </w:t>
      </w:r>
      <w:proofErr w:type="spellStart"/>
      <w:r>
        <w:rPr>
          <w:i/>
        </w:rPr>
        <w:t>F_far</w:t>
      </w:r>
      <w:proofErr w:type="spellEnd"/>
      <w:r>
        <w:rPr>
          <w:i/>
        </w:rPr>
        <w:t xml:space="preserve">(t) ) / </w:t>
      </w:r>
      <w:proofErr w:type="spellStart"/>
      <w:r>
        <w:rPr>
          <w:i/>
        </w:rPr>
        <w:t>F_near</w:t>
      </w:r>
      <w:proofErr w:type="spellEnd"/>
      <w:r>
        <w:rPr>
          <w:i/>
        </w:rPr>
        <w:t>(t),</w:t>
      </w:r>
      <w:r>
        <w:tab/>
        <w:t>(6)</w:t>
      </w:r>
    </w:p>
    <w:p w14:paraId="44307D6E" w14:textId="77777777" w:rsidR="00576CDE" w:rsidRDefault="00000000">
      <w:r>
        <w:t>computed on days where both prices exist. For each pair, let z(t) be the z-score of its slope against the pair's own trailing 252 observations, z(t) = ( s(t) - mean ) / standard deviation, using the sample standard deviation and requiring a full window. Each product uses a short and a long tenor pair (Table 3), and the signal adds the two z-scores:</w:t>
      </w:r>
    </w:p>
    <w:p w14:paraId="1348AEB2" w14:textId="77777777" w:rsidR="00576CDE" w:rsidRDefault="00000000">
      <w:pPr>
        <w:tabs>
          <w:tab w:val="center" w:pos="4680"/>
          <w:tab w:val="right" w:pos="9360"/>
        </w:tabs>
      </w:pPr>
      <w:r>
        <w:rPr>
          <w:i/>
        </w:rPr>
        <w:tab/>
      </w:r>
      <w:r w:rsidRPr="00E836EF">
        <w:rPr>
          <w:i/>
          <w:lang w:val="fr-CA"/>
        </w:rPr>
        <w:t xml:space="preserve">signal(t) = </w:t>
      </w:r>
      <w:proofErr w:type="spellStart"/>
      <w:r w:rsidRPr="00E836EF">
        <w:rPr>
          <w:i/>
          <w:lang w:val="fr-CA"/>
        </w:rPr>
        <w:t>sign</w:t>
      </w:r>
      <w:proofErr w:type="spellEnd"/>
      <w:r w:rsidRPr="00E836EF">
        <w:rPr>
          <w:i/>
          <w:lang w:val="fr-CA"/>
        </w:rPr>
        <w:t xml:space="preserve">( </w:t>
      </w:r>
      <w:proofErr w:type="spellStart"/>
      <w:r w:rsidRPr="00E836EF">
        <w:rPr>
          <w:i/>
          <w:lang w:val="fr-CA"/>
        </w:rPr>
        <w:t>z_short</w:t>
      </w:r>
      <w:proofErr w:type="spellEnd"/>
      <w:r w:rsidRPr="00E836EF">
        <w:rPr>
          <w:i/>
          <w:lang w:val="fr-CA"/>
        </w:rPr>
        <w:t xml:space="preserve">(t) + </w:t>
      </w:r>
      <w:proofErr w:type="spellStart"/>
      <w:r w:rsidRPr="00E836EF">
        <w:rPr>
          <w:i/>
          <w:lang w:val="fr-CA"/>
        </w:rPr>
        <w:t>z_long</w:t>
      </w:r>
      <w:proofErr w:type="spellEnd"/>
      <w:r w:rsidRPr="00E836EF">
        <w:rPr>
          <w:i/>
          <w:lang w:val="fr-CA"/>
        </w:rPr>
        <w:t>(t) ).</w:t>
      </w:r>
      <w:r w:rsidRPr="00E836EF">
        <w:rPr>
          <w:lang w:val="fr-CA"/>
        </w:rPr>
        <w:tab/>
      </w:r>
      <w:r>
        <w:t>(7)</w:t>
      </w:r>
    </w:p>
    <w:p w14:paraId="66628BF3" w14:textId="77777777" w:rsidR="00576CDE" w:rsidRDefault="00000000">
      <w:r>
        <w:t xml:space="preserve">A product is therefore long when, taking both pairs together, its curve is more </w:t>
      </w:r>
      <w:proofErr w:type="spellStart"/>
      <w:r>
        <w:t>backwardated</w:t>
      </w:r>
      <w:proofErr w:type="spellEnd"/>
      <w:r>
        <w:t xml:space="preserve"> than usual for that product. Because the z-scores are added, the pair whose slope is further from its own norm counts for more, and the position is flat only if the sum is exactly zero, not merely because the pairs point in opposite directions. If a z-score is missing on a day, we keep the last signal, and before the first signal the position is flat. The lag of equation (4) is applied once, to the combined signal. This summed z-score form is the only Carry signal used in the paper.</w:t>
      </w:r>
    </w:p>
    <w:p w14:paraId="6D9FC656" w14:textId="77777777" w:rsidR="00576CDE" w:rsidRDefault="00000000">
      <w:pPr>
        <w:keepNext/>
      </w:pPr>
      <w:r>
        <w:rPr>
          <w:b/>
          <w:sz w:val="22"/>
        </w:rPr>
        <w:t>Table 3: Tenor pairs by asset class</w:t>
      </w:r>
    </w:p>
    <w:tbl>
      <w:tblPr>
        <w:tblStyle w:val="TableGrid"/>
        <w:tblW w:w="0" w:type="auto"/>
        <w:tblLayout w:type="fixed"/>
        <w:tblLook w:val="04A0" w:firstRow="1" w:lastRow="0" w:firstColumn="1" w:lastColumn="0" w:noHBand="0" w:noVBand="1"/>
      </w:tblPr>
      <w:tblGrid>
        <w:gridCol w:w="1872"/>
        <w:gridCol w:w="1296"/>
        <w:gridCol w:w="4176"/>
        <w:gridCol w:w="2592"/>
      </w:tblGrid>
      <w:tr w:rsidR="00CF7B42" w14:paraId="166B2CF6" w14:textId="77777777">
        <w:tc>
          <w:tcPr>
            <w:tcW w:w="1872" w:type="dxa"/>
          </w:tcPr>
          <w:p w14:paraId="2588C203" w14:textId="77777777" w:rsidR="00CF7B42" w:rsidRDefault="00000000">
            <w:r>
              <w:rPr>
                <w:b/>
                <w:sz w:val="19"/>
              </w:rPr>
              <w:t>Asset class</w:t>
            </w:r>
          </w:p>
        </w:tc>
        <w:tc>
          <w:tcPr>
            <w:tcW w:w="1296" w:type="dxa"/>
          </w:tcPr>
          <w:p w14:paraId="0A87AECE" w14:textId="77777777" w:rsidR="00CF7B42" w:rsidRDefault="00000000">
            <w:r>
              <w:rPr>
                <w:b/>
                <w:sz w:val="19"/>
              </w:rPr>
              <w:t>Short pair</w:t>
            </w:r>
          </w:p>
        </w:tc>
        <w:tc>
          <w:tcPr>
            <w:tcW w:w="4176" w:type="dxa"/>
          </w:tcPr>
          <w:p w14:paraId="1249D3C7" w14:textId="77777777" w:rsidR="00CF7B42" w:rsidRDefault="00000000">
            <w:r>
              <w:rPr>
                <w:b/>
                <w:sz w:val="19"/>
              </w:rPr>
              <w:t>Long pair</w:t>
            </w:r>
          </w:p>
        </w:tc>
        <w:tc>
          <w:tcPr>
            <w:tcW w:w="2592" w:type="dxa"/>
          </w:tcPr>
          <w:p w14:paraId="354E42F3" w14:textId="77777777" w:rsidR="00CF7B42" w:rsidRDefault="00000000">
            <w:r>
              <w:rPr>
                <w:b/>
                <w:sz w:val="19"/>
              </w:rPr>
              <w:t>Note</w:t>
            </w:r>
          </w:p>
        </w:tc>
      </w:tr>
      <w:tr w:rsidR="00CF7B42" w14:paraId="732CA533" w14:textId="77777777">
        <w:tc>
          <w:tcPr>
            <w:tcW w:w="1872" w:type="dxa"/>
          </w:tcPr>
          <w:p w14:paraId="28A89430" w14:textId="77777777" w:rsidR="00CF7B42" w:rsidRDefault="00000000">
            <w:r>
              <w:rPr>
                <w:sz w:val="19"/>
              </w:rPr>
              <w:t>Metals</w:t>
            </w:r>
          </w:p>
        </w:tc>
        <w:tc>
          <w:tcPr>
            <w:tcW w:w="1296" w:type="dxa"/>
          </w:tcPr>
          <w:p w14:paraId="6649BF77" w14:textId="77777777" w:rsidR="00CF7B42" w:rsidRDefault="00000000">
            <w:r>
              <w:rPr>
                <w:sz w:val="19"/>
              </w:rPr>
              <w:t>F1-F3</w:t>
            </w:r>
          </w:p>
        </w:tc>
        <w:tc>
          <w:tcPr>
            <w:tcW w:w="4176" w:type="dxa"/>
          </w:tcPr>
          <w:p w14:paraId="364323C1" w14:textId="77777777" w:rsidR="00CF7B42" w:rsidRDefault="00000000">
            <w:r>
              <w:rPr>
                <w:sz w:val="19"/>
              </w:rPr>
              <w:t>F1-F13</w:t>
            </w:r>
          </w:p>
        </w:tc>
        <w:tc>
          <w:tcPr>
            <w:tcW w:w="2592" w:type="dxa"/>
          </w:tcPr>
          <w:p w14:paraId="48BF6FB1" w14:textId="77777777" w:rsidR="00CF7B42" w:rsidRDefault="00000000">
            <w:r>
              <w:rPr>
                <w:sz w:val="19"/>
              </w:rPr>
              <w:t>Same pairs for every product</w:t>
            </w:r>
          </w:p>
        </w:tc>
      </w:tr>
      <w:tr w:rsidR="00CF7B42" w14:paraId="1D77AC5A" w14:textId="77777777">
        <w:tc>
          <w:tcPr>
            <w:tcW w:w="1872" w:type="dxa"/>
          </w:tcPr>
          <w:p w14:paraId="12CA95CF" w14:textId="77777777" w:rsidR="00CF7B42" w:rsidRDefault="00000000">
            <w:r>
              <w:rPr>
                <w:sz w:val="19"/>
              </w:rPr>
              <w:t>Energy</w:t>
            </w:r>
          </w:p>
        </w:tc>
        <w:tc>
          <w:tcPr>
            <w:tcW w:w="1296" w:type="dxa"/>
          </w:tcPr>
          <w:p w14:paraId="00E1D87B" w14:textId="77777777" w:rsidR="00CF7B42" w:rsidRDefault="00000000">
            <w:r>
              <w:rPr>
                <w:sz w:val="19"/>
              </w:rPr>
              <w:t>F1-F3</w:t>
            </w:r>
          </w:p>
        </w:tc>
        <w:tc>
          <w:tcPr>
            <w:tcW w:w="4176" w:type="dxa"/>
          </w:tcPr>
          <w:p w14:paraId="733A9596" w14:textId="77777777" w:rsidR="00CF7B42" w:rsidRDefault="00000000">
            <w:r>
              <w:rPr>
                <w:sz w:val="19"/>
              </w:rPr>
              <w:t>F1-F13</w:t>
            </w:r>
          </w:p>
        </w:tc>
        <w:tc>
          <w:tcPr>
            <w:tcW w:w="2592" w:type="dxa"/>
          </w:tcPr>
          <w:p w14:paraId="29899075" w14:textId="77777777" w:rsidR="00CF7B42" w:rsidRDefault="00000000">
            <w:r>
              <w:rPr>
                <w:sz w:val="19"/>
              </w:rPr>
              <w:t>Same pairs for every product</w:t>
            </w:r>
          </w:p>
        </w:tc>
      </w:tr>
      <w:tr w:rsidR="00CF7B42" w14:paraId="7BFFC7F4" w14:textId="77777777">
        <w:tc>
          <w:tcPr>
            <w:tcW w:w="1872" w:type="dxa"/>
          </w:tcPr>
          <w:p w14:paraId="131BB5FD" w14:textId="77777777" w:rsidR="00CF7B42" w:rsidRDefault="00000000">
            <w:r>
              <w:rPr>
                <w:sz w:val="19"/>
              </w:rPr>
              <w:t>NGL</w:t>
            </w:r>
          </w:p>
        </w:tc>
        <w:tc>
          <w:tcPr>
            <w:tcW w:w="1296" w:type="dxa"/>
          </w:tcPr>
          <w:p w14:paraId="292174B7" w14:textId="77777777" w:rsidR="00CF7B42" w:rsidRDefault="00000000">
            <w:r>
              <w:rPr>
                <w:sz w:val="19"/>
              </w:rPr>
              <w:t>F2-F4</w:t>
            </w:r>
          </w:p>
        </w:tc>
        <w:tc>
          <w:tcPr>
            <w:tcW w:w="4176" w:type="dxa"/>
          </w:tcPr>
          <w:p w14:paraId="0387671A" w14:textId="77777777" w:rsidR="00CF7B42" w:rsidRDefault="00000000">
            <w:r>
              <w:rPr>
                <w:sz w:val="19"/>
              </w:rPr>
              <w:t>F2-F14</w:t>
            </w:r>
          </w:p>
        </w:tc>
        <w:tc>
          <w:tcPr>
            <w:tcW w:w="2592" w:type="dxa"/>
          </w:tcPr>
          <w:p w14:paraId="7C8B0305" w14:textId="77777777" w:rsidR="00CF7B42" w:rsidRDefault="00000000">
            <w:r>
              <w:rPr>
                <w:sz w:val="19"/>
              </w:rPr>
              <w:t>Generic series as supplied; the near leg is F2</w:t>
            </w:r>
          </w:p>
        </w:tc>
      </w:tr>
      <w:tr w:rsidR="00CF7B42" w14:paraId="2DC72762" w14:textId="77777777">
        <w:tc>
          <w:tcPr>
            <w:tcW w:w="1872" w:type="dxa"/>
          </w:tcPr>
          <w:p w14:paraId="1EA6E6A3" w14:textId="77777777" w:rsidR="00CF7B42" w:rsidRDefault="00000000">
            <w:r>
              <w:rPr>
                <w:sz w:val="19"/>
              </w:rPr>
              <w:t>Precious Metals</w:t>
            </w:r>
          </w:p>
        </w:tc>
        <w:tc>
          <w:tcPr>
            <w:tcW w:w="1296" w:type="dxa"/>
          </w:tcPr>
          <w:p w14:paraId="03EAAC99" w14:textId="77777777" w:rsidR="00CF7B42" w:rsidRDefault="00000000">
            <w:r>
              <w:rPr>
                <w:sz w:val="19"/>
              </w:rPr>
              <w:t>F1-F2</w:t>
            </w:r>
          </w:p>
        </w:tc>
        <w:tc>
          <w:tcPr>
            <w:tcW w:w="4176" w:type="dxa"/>
          </w:tcPr>
          <w:p w14:paraId="5CEC1198" w14:textId="77777777" w:rsidR="00CF7B42" w:rsidRDefault="00000000">
            <w:r>
              <w:rPr>
                <w:sz w:val="19"/>
              </w:rPr>
              <w:t>F1-F7 Gold; F1-F6 Silver; F1-F5 Platinum and Palladium</w:t>
            </w:r>
          </w:p>
        </w:tc>
        <w:tc>
          <w:tcPr>
            <w:tcW w:w="2592" w:type="dxa"/>
          </w:tcPr>
          <w:p w14:paraId="676BCDE8" w14:textId="77777777" w:rsidR="00CF7B42" w:rsidRDefault="00000000">
            <w:r>
              <w:rPr>
                <w:sz w:val="19"/>
              </w:rPr>
              <w:t>Long leg set per product, about 12 months out</w:t>
            </w:r>
          </w:p>
        </w:tc>
      </w:tr>
      <w:tr w:rsidR="00CF7B42" w14:paraId="6867D766" w14:textId="77777777">
        <w:tc>
          <w:tcPr>
            <w:tcW w:w="1872" w:type="dxa"/>
          </w:tcPr>
          <w:p w14:paraId="4C3E95DF" w14:textId="77777777" w:rsidR="00CF7B42" w:rsidRDefault="00000000">
            <w:r>
              <w:rPr>
                <w:sz w:val="19"/>
              </w:rPr>
              <w:t>Agriculture</w:t>
            </w:r>
          </w:p>
        </w:tc>
        <w:tc>
          <w:tcPr>
            <w:tcW w:w="1296" w:type="dxa"/>
          </w:tcPr>
          <w:p w14:paraId="1808597E" w14:textId="77777777" w:rsidR="00CF7B42" w:rsidRDefault="00000000">
            <w:r>
              <w:rPr>
                <w:sz w:val="19"/>
              </w:rPr>
              <w:t>F1-F2</w:t>
            </w:r>
          </w:p>
        </w:tc>
        <w:tc>
          <w:tcPr>
            <w:tcW w:w="4176" w:type="dxa"/>
          </w:tcPr>
          <w:p w14:paraId="135DE335" w14:textId="77777777" w:rsidR="00CF7B42" w:rsidRDefault="00000000">
            <w:r>
              <w:rPr>
                <w:sz w:val="19"/>
              </w:rPr>
              <w:t>F1-F6 Corn, Wheat, Coffee; F1-F8 Soybean, Soybean Oil; F1-F5 Sugar</w:t>
            </w:r>
          </w:p>
        </w:tc>
        <w:tc>
          <w:tcPr>
            <w:tcW w:w="2592" w:type="dxa"/>
          </w:tcPr>
          <w:p w14:paraId="13E23715" w14:textId="77777777" w:rsidR="00CF7B42" w:rsidRDefault="00000000">
            <w:r>
              <w:rPr>
                <w:sz w:val="19"/>
              </w:rPr>
              <w:t>Long leg set per product, about 12 months out</w:t>
            </w:r>
          </w:p>
        </w:tc>
      </w:tr>
    </w:tbl>
    <w:p w14:paraId="72BF5BCA" w14:textId="77777777" w:rsidR="00576CDE" w:rsidRDefault="00576CDE"/>
    <w:p w14:paraId="32313843" w14:textId="77777777" w:rsidR="00576CDE" w:rsidRDefault="00000000">
      <w:pPr>
        <w:keepNext/>
        <w:spacing w:before="160"/>
      </w:pPr>
      <w:r>
        <w:rPr>
          <w:b/>
        </w:rPr>
        <w:lastRenderedPageBreak/>
        <w:t>3.4 Carry-Momentum</w:t>
      </w:r>
    </w:p>
    <w:p w14:paraId="25484120" w14:textId="77777777" w:rsidR="00576CDE" w:rsidRDefault="00000000">
      <w:r>
        <w:t xml:space="preserve">Carry-Momentum asks whether the curve is becoming more or less </w:t>
      </w:r>
      <w:proofErr w:type="spellStart"/>
      <w:r>
        <w:t>backwardated</w:t>
      </w:r>
      <w:proofErr w:type="spellEnd"/>
      <w:r>
        <w:t xml:space="preserve">. For each of the same two tenor pairs, let the change in the carry slope over 20 observations be </w:t>
      </w:r>
      <w:proofErr w:type="spellStart"/>
      <w:r>
        <w:t>Δs</w:t>
      </w:r>
      <w:proofErr w:type="spellEnd"/>
      <w:r>
        <w:t>(t) = s(t) - s(t-20). The signal adds the two changes:</w:t>
      </w:r>
    </w:p>
    <w:p w14:paraId="5FF739D8" w14:textId="77777777" w:rsidR="00576CDE" w:rsidRDefault="00000000">
      <w:pPr>
        <w:tabs>
          <w:tab w:val="center" w:pos="4680"/>
          <w:tab w:val="right" w:pos="9360"/>
        </w:tabs>
      </w:pPr>
      <w:r>
        <w:rPr>
          <w:i/>
        </w:rPr>
        <w:tab/>
      </w:r>
      <w:r w:rsidRPr="00072E44">
        <w:rPr>
          <w:i/>
          <w:lang w:val="fr-CA"/>
        </w:rPr>
        <w:t xml:space="preserve">signal(t) = </w:t>
      </w:r>
      <w:proofErr w:type="spellStart"/>
      <w:r w:rsidRPr="00072E44">
        <w:rPr>
          <w:i/>
          <w:lang w:val="fr-CA"/>
        </w:rPr>
        <w:t>sign</w:t>
      </w:r>
      <w:proofErr w:type="spellEnd"/>
      <w:r w:rsidRPr="00072E44">
        <w:rPr>
          <w:i/>
          <w:lang w:val="fr-CA"/>
        </w:rPr>
        <w:t xml:space="preserve">( </w:t>
      </w:r>
      <w:r>
        <w:rPr>
          <w:i/>
        </w:rPr>
        <w:t>Δ</w:t>
      </w:r>
      <w:proofErr w:type="spellStart"/>
      <w:r w:rsidRPr="00072E44">
        <w:rPr>
          <w:i/>
          <w:lang w:val="fr-CA"/>
        </w:rPr>
        <w:t>s_short</w:t>
      </w:r>
      <w:proofErr w:type="spellEnd"/>
      <w:r w:rsidRPr="00072E44">
        <w:rPr>
          <w:i/>
          <w:lang w:val="fr-CA"/>
        </w:rPr>
        <w:t xml:space="preserve">(t) + </w:t>
      </w:r>
      <w:r>
        <w:rPr>
          <w:i/>
        </w:rPr>
        <w:t>Δ</w:t>
      </w:r>
      <w:proofErr w:type="spellStart"/>
      <w:r w:rsidRPr="00072E44">
        <w:rPr>
          <w:i/>
          <w:lang w:val="fr-CA"/>
        </w:rPr>
        <w:t>s_long</w:t>
      </w:r>
      <w:proofErr w:type="spellEnd"/>
      <w:r w:rsidRPr="00072E44">
        <w:rPr>
          <w:i/>
          <w:lang w:val="fr-CA"/>
        </w:rPr>
        <w:t>(t) ).</w:t>
      </w:r>
      <w:r w:rsidRPr="00072E44">
        <w:rPr>
          <w:lang w:val="fr-CA"/>
        </w:rPr>
        <w:tab/>
      </w:r>
      <w:r>
        <w:t>(8)</w:t>
      </w:r>
    </w:p>
    <w:p w14:paraId="2A730FC7" w14:textId="242C8570" w:rsidR="00576CDE" w:rsidRDefault="00000000">
      <w:r>
        <w:t xml:space="preserve">The changes are raw, not </w:t>
      </w:r>
      <w:proofErr w:type="spellStart"/>
      <w:r>
        <w:t>standardised</w:t>
      </w:r>
      <w:proofErr w:type="spellEnd"/>
      <w:r>
        <w:t xml:space="preserve">, so the pair whose slope moves more, typically the long pair, carries more weight. As for Carry, the position is flat only if the sum is exactly zero. The idea follows </w:t>
      </w:r>
      <w:r w:rsidR="00E2051A">
        <w:t>Virtual Barrels</w:t>
      </w:r>
      <w:r>
        <w:t xml:space="preserve"> (2023, pp. 101-102), who applies momentum to carry</w:t>
      </w:r>
      <w:r w:rsidR="00072E44">
        <w:t>.</w:t>
      </w:r>
    </w:p>
    <w:p w14:paraId="1B3105E2" w14:textId="77777777" w:rsidR="00576CDE" w:rsidRDefault="00000000">
      <w:pPr>
        <w:keepNext/>
        <w:spacing w:before="160"/>
      </w:pPr>
      <w:r>
        <w:rPr>
          <w:b/>
        </w:rPr>
        <w:t>3.5 Value</w:t>
      </w:r>
    </w:p>
    <w:p w14:paraId="42BB789B" w14:textId="02E6184F" w:rsidR="00576CDE" w:rsidRPr="00083F99" w:rsidRDefault="00000000">
      <w:pPr>
        <w:rPr>
          <w:lang w:val="en-IN"/>
        </w:rPr>
      </w:pPr>
      <w:r>
        <w:t>Value takes the view that a price far above its long-run level is likely to fall and one far below it to rise. We use the third generic contract, for every asset class</w:t>
      </w:r>
      <w:r w:rsidR="00083F99">
        <w:t xml:space="preserve"> which is most liquid</w:t>
      </w:r>
      <w:r>
        <w:t xml:space="preserve">, and its 1,260-observation (about five-year) simple moving average, which must contain at least 504 observations to be valid. </w:t>
      </w:r>
      <w:r w:rsidRPr="00083F99">
        <w:rPr>
          <w:lang w:val="en-IN"/>
        </w:rPr>
        <w:t>The deviation is</w:t>
      </w:r>
    </w:p>
    <w:p w14:paraId="2D0EB36B" w14:textId="77777777" w:rsidR="00576CDE" w:rsidRDefault="00000000">
      <w:pPr>
        <w:tabs>
          <w:tab w:val="center" w:pos="4680"/>
          <w:tab w:val="right" w:pos="9360"/>
        </w:tabs>
      </w:pPr>
      <w:r w:rsidRPr="00083F99">
        <w:rPr>
          <w:i/>
          <w:lang w:val="en-IN"/>
        </w:rPr>
        <w:tab/>
      </w:r>
      <w:r w:rsidRPr="006B3200">
        <w:rPr>
          <w:i/>
          <w:lang w:val="fr-CA"/>
        </w:rPr>
        <w:t>d(t) = ( F3(t) - MA_1260(F3)(t) ) / MA_1260(F3)(t).</w:t>
      </w:r>
      <w:r w:rsidRPr="006B3200">
        <w:rPr>
          <w:lang w:val="fr-CA"/>
        </w:rPr>
        <w:tab/>
      </w:r>
      <w:r>
        <w:t>(9)</w:t>
      </w:r>
    </w:p>
    <w:p w14:paraId="2805D2EF" w14:textId="781DBF60" w:rsidR="00576CDE" w:rsidRDefault="00000000">
      <w:r>
        <w:t>The position is +1 if d(t) is below -10%, -1 if it is above +10%, and 0 otherwise</w:t>
      </w:r>
      <w:r w:rsidR="00083F99">
        <w:t>.</w:t>
      </w:r>
    </w:p>
    <w:p w14:paraId="0279E41C" w14:textId="77777777" w:rsidR="00576CDE" w:rsidRDefault="00000000">
      <w:pPr>
        <w:keepNext/>
        <w:spacing w:before="160"/>
      </w:pPr>
      <w:r>
        <w:rPr>
          <w:b/>
        </w:rPr>
        <w:t>3.6 Skewness</w:t>
      </w:r>
    </w:p>
    <w:p w14:paraId="1930AC03" w14:textId="47984B63" w:rsidR="00576CDE" w:rsidRDefault="00000000">
      <w:r>
        <w:t xml:space="preserve">Investors who prefer lottery-like payoffs overpay for products with positively skewed returns, so negatively skewed products earn a premium (Fernandez-Perez, </w:t>
      </w:r>
      <w:proofErr w:type="spellStart"/>
      <w:r>
        <w:t>Frijns</w:t>
      </w:r>
      <w:proofErr w:type="spellEnd"/>
      <w:r>
        <w:t xml:space="preserve">, Fuertes and </w:t>
      </w:r>
      <w:proofErr w:type="spellStart"/>
      <w:r>
        <w:t>Miffre</w:t>
      </w:r>
      <w:proofErr w:type="spellEnd"/>
      <w:r>
        <w:t xml:space="preserve">, 2018). Their factor, and the monthly sort that Fernandez-Perez, Fuertes and </w:t>
      </w:r>
      <w:proofErr w:type="spellStart"/>
      <w:r>
        <w:t>Miffre</w:t>
      </w:r>
      <w:proofErr w:type="spellEnd"/>
      <w:r>
        <w:t xml:space="preserve"> (2021) apply to energy futures with one year of daily returns, are cross-sectional. We use a time-series version with the same one-year window. With SK(t) the skewness of the daily log returns of the product's continuous series over the past 252 observations (a full window is required),</w:t>
      </w:r>
    </w:p>
    <w:p w14:paraId="7B43BE83" w14:textId="77777777" w:rsidR="00576CDE" w:rsidRPr="006B3200" w:rsidRDefault="00000000">
      <w:pPr>
        <w:tabs>
          <w:tab w:val="center" w:pos="4680"/>
          <w:tab w:val="right" w:pos="9360"/>
        </w:tabs>
        <w:rPr>
          <w:lang w:val="fr-CA"/>
        </w:rPr>
      </w:pPr>
      <w:r>
        <w:rPr>
          <w:i/>
        </w:rPr>
        <w:tab/>
      </w:r>
      <w:r w:rsidRPr="006B3200">
        <w:rPr>
          <w:i/>
          <w:lang w:val="fr-CA"/>
        </w:rPr>
        <w:t xml:space="preserve">signal(t) = - </w:t>
      </w:r>
      <w:proofErr w:type="spellStart"/>
      <w:r w:rsidRPr="006B3200">
        <w:rPr>
          <w:i/>
          <w:lang w:val="fr-CA"/>
        </w:rPr>
        <w:t>sign</w:t>
      </w:r>
      <w:proofErr w:type="spellEnd"/>
      <w:r w:rsidRPr="006B3200">
        <w:rPr>
          <w:i/>
          <w:lang w:val="fr-CA"/>
        </w:rPr>
        <w:t>( SK(t) ),</w:t>
      </w:r>
      <w:r w:rsidRPr="006B3200">
        <w:rPr>
          <w:lang w:val="fr-CA"/>
        </w:rPr>
        <w:tab/>
        <w:t>(10)</w:t>
      </w:r>
    </w:p>
    <w:p w14:paraId="70F0AD1C" w14:textId="77777777" w:rsidR="00576CDE" w:rsidRDefault="00000000">
      <w:r>
        <w:t>so a product is long after crash-prone returns and short after spike-prone ones. The sleeve is not market neutral: it can keep the same sign for long periods and carry directional exposure to commodity prices, a point we return to in Section 5.</w:t>
      </w:r>
    </w:p>
    <w:p w14:paraId="5C2DFF62" w14:textId="77777777" w:rsidR="00576CDE" w:rsidRDefault="00000000">
      <w:pPr>
        <w:keepNext/>
        <w:spacing w:before="160"/>
      </w:pPr>
      <w:r>
        <w:rPr>
          <w:b/>
        </w:rPr>
        <w:t>3.7 Returns and performance measures</w:t>
      </w:r>
    </w:p>
    <w:p w14:paraId="6BAB4850" w14:textId="77777777" w:rsidR="00576CDE" w:rsidRDefault="00000000">
      <w:r>
        <w:t>The net daily log return of a position is the position times the change in ln P(t), the continuous series of Section 2.3, minus the cost of Section 2.4:</w:t>
      </w:r>
    </w:p>
    <w:p w14:paraId="25020C9E" w14:textId="77777777" w:rsidR="00576CDE" w:rsidRDefault="00000000">
      <w:pPr>
        <w:tabs>
          <w:tab w:val="center" w:pos="4680"/>
          <w:tab w:val="right" w:pos="9360"/>
        </w:tabs>
      </w:pPr>
      <w:r>
        <w:rPr>
          <w:i/>
        </w:rPr>
        <w:tab/>
      </w:r>
      <w:proofErr w:type="spellStart"/>
      <w:r w:rsidRPr="006B3200">
        <w:rPr>
          <w:i/>
          <w:lang w:val="fr-CA"/>
        </w:rPr>
        <w:t>r_net</w:t>
      </w:r>
      <w:proofErr w:type="spellEnd"/>
      <w:r w:rsidRPr="006B3200">
        <w:rPr>
          <w:i/>
          <w:lang w:val="fr-CA"/>
        </w:rPr>
        <w:t xml:space="preserve">(t) = position(t) x [ ln P(t) - ln P(t-1) ] - </w:t>
      </w:r>
      <w:proofErr w:type="spellStart"/>
      <w:r w:rsidRPr="006B3200">
        <w:rPr>
          <w:i/>
          <w:lang w:val="fr-CA"/>
        </w:rPr>
        <w:t>cost</w:t>
      </w:r>
      <w:proofErr w:type="spellEnd"/>
      <w:r w:rsidRPr="006B3200">
        <w:rPr>
          <w:i/>
          <w:lang w:val="fr-CA"/>
        </w:rPr>
        <w:t>(t).</w:t>
      </w:r>
      <w:r w:rsidRPr="006B3200">
        <w:rPr>
          <w:lang w:val="fr-CA"/>
        </w:rPr>
        <w:tab/>
      </w:r>
      <w:r>
        <w:t>(11)</w:t>
      </w:r>
    </w:p>
    <w:p w14:paraId="5AAABE12" w14:textId="77777777" w:rsidR="00576CDE" w:rsidRDefault="00000000">
      <w:r>
        <w:lastRenderedPageBreak/>
        <w:t xml:space="preserve">Positions are computed on the full history and the returns are cut to the sample window. Within each horizon, a series needs at least 20 observations. The </w:t>
      </w:r>
      <w:proofErr w:type="spellStart"/>
      <w:r>
        <w:t>annualised</w:t>
      </w:r>
      <w:proofErr w:type="spellEnd"/>
      <w:r>
        <w:t xml:space="preserve"> return is (exp(252 x mean daily net log return) - 1) x 100; the </w:t>
      </w:r>
      <w:proofErr w:type="spellStart"/>
      <w:r>
        <w:t>annualised</w:t>
      </w:r>
      <w:proofErr w:type="spellEnd"/>
      <w:r>
        <w:t xml:space="preserve"> volatility is the sample standard deviation of the simple returns, exp(r) - 1, times the square root of 252 and 100; the information ratio (IR) is their ratio, with no risk-free rate because the positions are unfunded; and the maximum drawdown is the most negative value of the cumulative value divided by its running maximum minus one, with the cumulative value restarting at 1 on the first date of each horizon.</w:t>
      </w:r>
    </w:p>
    <w:p w14:paraId="634AACFA" w14:textId="77777777" w:rsidR="00576CDE" w:rsidRDefault="00000000">
      <w:pPr>
        <w:keepNext/>
        <w:spacing w:before="160"/>
      </w:pPr>
      <w:r>
        <w:rPr>
          <w:b/>
        </w:rPr>
        <w:t>3.8 Regime</w:t>
      </w:r>
    </w:p>
    <w:p w14:paraId="42DAD700" w14:textId="77777777" w:rsidR="00576CDE" w:rsidRDefault="00000000">
      <w:r>
        <w:t>Results are reported for the full sample and for three non-overlapping subperiods, P1 to P3 (Table 4), the last of which runs to the end of the data.</w:t>
      </w:r>
    </w:p>
    <w:p w14:paraId="6076EF38" w14:textId="77777777" w:rsidR="00576CDE" w:rsidRDefault="00000000">
      <w:pPr>
        <w:keepNext/>
      </w:pPr>
      <w:r>
        <w:rPr>
          <w:b/>
          <w:sz w:val="22"/>
        </w:rPr>
        <w:t>Table 4: Reporting horizons</w:t>
      </w:r>
    </w:p>
    <w:tbl>
      <w:tblPr>
        <w:tblStyle w:val="TableGrid"/>
        <w:tblW w:w="0" w:type="auto"/>
        <w:tblLayout w:type="fixed"/>
        <w:tblLook w:val="04A0" w:firstRow="1" w:lastRow="0" w:firstColumn="1" w:lastColumn="0" w:noHBand="0" w:noVBand="1"/>
      </w:tblPr>
      <w:tblGrid>
        <w:gridCol w:w="2880"/>
        <w:gridCol w:w="5760"/>
      </w:tblGrid>
      <w:tr w:rsidR="00CF7B42" w14:paraId="11A17C98" w14:textId="77777777">
        <w:tc>
          <w:tcPr>
            <w:tcW w:w="2880" w:type="dxa"/>
          </w:tcPr>
          <w:p w14:paraId="4DC4177A" w14:textId="77777777" w:rsidR="00CF7B42" w:rsidRDefault="00000000">
            <w:r>
              <w:rPr>
                <w:b/>
                <w:sz w:val="19"/>
              </w:rPr>
              <w:t>Horizon</w:t>
            </w:r>
          </w:p>
        </w:tc>
        <w:tc>
          <w:tcPr>
            <w:tcW w:w="5760" w:type="dxa"/>
          </w:tcPr>
          <w:p w14:paraId="76C57EE1" w14:textId="77777777" w:rsidR="00CF7B42" w:rsidRDefault="00000000">
            <w:r>
              <w:rPr>
                <w:b/>
                <w:sz w:val="19"/>
              </w:rPr>
              <w:t>Dates</w:t>
            </w:r>
          </w:p>
        </w:tc>
      </w:tr>
      <w:tr w:rsidR="00CF7B42" w14:paraId="2544BF8D" w14:textId="77777777">
        <w:tc>
          <w:tcPr>
            <w:tcW w:w="2880" w:type="dxa"/>
          </w:tcPr>
          <w:p w14:paraId="7B359A9F" w14:textId="77777777" w:rsidR="00CF7B42" w:rsidRDefault="00000000">
            <w:r>
              <w:rPr>
                <w:sz w:val="19"/>
              </w:rPr>
              <w:t>Full sample</w:t>
            </w:r>
          </w:p>
        </w:tc>
        <w:tc>
          <w:tcPr>
            <w:tcW w:w="5760" w:type="dxa"/>
          </w:tcPr>
          <w:p w14:paraId="5279C9EF" w14:textId="77777777" w:rsidR="00CF7B42" w:rsidRDefault="00000000">
            <w:r>
              <w:rPr>
                <w:sz w:val="19"/>
              </w:rPr>
              <w:t>1 Jan 2012 to 23 Sep 2026</w:t>
            </w:r>
          </w:p>
        </w:tc>
      </w:tr>
      <w:tr w:rsidR="00CF7B42" w14:paraId="3611E4E8" w14:textId="77777777">
        <w:tc>
          <w:tcPr>
            <w:tcW w:w="2880" w:type="dxa"/>
          </w:tcPr>
          <w:p w14:paraId="59754303" w14:textId="77777777" w:rsidR="00CF7B42" w:rsidRDefault="00000000">
            <w:r>
              <w:rPr>
                <w:sz w:val="19"/>
              </w:rPr>
              <w:t>P1</w:t>
            </w:r>
          </w:p>
        </w:tc>
        <w:tc>
          <w:tcPr>
            <w:tcW w:w="5760" w:type="dxa"/>
          </w:tcPr>
          <w:p w14:paraId="0298AC2D" w14:textId="77777777" w:rsidR="00CF7B42" w:rsidRDefault="00000000">
            <w:r>
              <w:rPr>
                <w:sz w:val="19"/>
              </w:rPr>
              <w:t>1 Jan 2012 to 31 Dec 2016</w:t>
            </w:r>
          </w:p>
        </w:tc>
      </w:tr>
      <w:tr w:rsidR="00CF7B42" w14:paraId="4A35E8E4" w14:textId="77777777">
        <w:tc>
          <w:tcPr>
            <w:tcW w:w="2880" w:type="dxa"/>
          </w:tcPr>
          <w:p w14:paraId="678778B7" w14:textId="77777777" w:rsidR="00CF7B42" w:rsidRDefault="00000000">
            <w:r>
              <w:rPr>
                <w:sz w:val="19"/>
              </w:rPr>
              <w:t>P2</w:t>
            </w:r>
          </w:p>
        </w:tc>
        <w:tc>
          <w:tcPr>
            <w:tcW w:w="5760" w:type="dxa"/>
          </w:tcPr>
          <w:p w14:paraId="532EEC8E" w14:textId="77777777" w:rsidR="00CF7B42" w:rsidRDefault="00000000">
            <w:r>
              <w:rPr>
                <w:sz w:val="19"/>
              </w:rPr>
              <w:t>1 Jan 2017 to 31 Dec 2021</w:t>
            </w:r>
          </w:p>
        </w:tc>
      </w:tr>
      <w:tr w:rsidR="00CF7B42" w14:paraId="73AAA5C0" w14:textId="77777777">
        <w:tc>
          <w:tcPr>
            <w:tcW w:w="2880" w:type="dxa"/>
          </w:tcPr>
          <w:p w14:paraId="11343C7C" w14:textId="77777777" w:rsidR="00CF7B42" w:rsidRDefault="00000000">
            <w:r>
              <w:rPr>
                <w:sz w:val="19"/>
              </w:rPr>
              <w:t>P3</w:t>
            </w:r>
          </w:p>
        </w:tc>
        <w:tc>
          <w:tcPr>
            <w:tcW w:w="5760" w:type="dxa"/>
          </w:tcPr>
          <w:p w14:paraId="1C0129BB" w14:textId="77777777" w:rsidR="00CF7B42" w:rsidRDefault="00000000">
            <w:r>
              <w:rPr>
                <w:sz w:val="19"/>
              </w:rPr>
              <w:t>1 Jan 2022 to 23 Sep 2026</w:t>
            </w:r>
          </w:p>
        </w:tc>
      </w:tr>
    </w:tbl>
    <w:p w14:paraId="74A5A724" w14:textId="77777777" w:rsidR="00576CDE" w:rsidRDefault="00576CDE"/>
    <w:p w14:paraId="1209FB9A" w14:textId="77777777" w:rsidR="00576CDE" w:rsidRDefault="00000000">
      <w:pPr>
        <w:keepNext/>
        <w:spacing w:before="160"/>
      </w:pPr>
      <w:r>
        <w:rPr>
          <w:b/>
        </w:rPr>
        <w:t>3.9 Portfolio construction</w:t>
      </w:r>
    </w:p>
    <w:p w14:paraId="24060F99" w14:textId="77777777" w:rsidR="00576CDE" w:rsidRDefault="00000000">
      <w:r>
        <w:t xml:space="preserve">Equal Weight and Inverse Vol are the only weighting schemes. Products are first equal-weighted into a sleeve for each signal on the intersection of their dates: each product's net log return is cumulated, restricted to the dates on which every product has a price, and differenced again, so that the move over a dropped date is carried into the next common date. The five sleeves of an asset class are then combined into the Equal Weight portfolio (EW PORT), their simple average, or into the Inverse Vol portfolio, which weights sleeve </w:t>
      </w:r>
      <w:proofErr w:type="spellStart"/>
      <w:r>
        <w:t>i</w:t>
      </w:r>
      <w:proofErr w:type="spellEnd"/>
      <w:r>
        <w:t xml:space="preserve"> by</w:t>
      </w:r>
    </w:p>
    <w:p w14:paraId="17913375" w14:textId="77777777" w:rsidR="00576CDE" w:rsidRDefault="00000000">
      <w:pPr>
        <w:tabs>
          <w:tab w:val="center" w:pos="4680"/>
          <w:tab w:val="right" w:pos="9360"/>
        </w:tabs>
      </w:pPr>
      <w:r>
        <w:rPr>
          <w:i/>
        </w:rPr>
        <w:tab/>
        <w:t>w(</w:t>
      </w:r>
      <w:proofErr w:type="spellStart"/>
      <w:r>
        <w:rPr>
          <w:i/>
        </w:rPr>
        <w:t>i,t</w:t>
      </w:r>
      <w:proofErr w:type="spellEnd"/>
      <w:r>
        <w:rPr>
          <w:i/>
        </w:rPr>
        <w:t>) = [ 1 / sigma(</w:t>
      </w:r>
      <w:proofErr w:type="spellStart"/>
      <w:r>
        <w:rPr>
          <w:i/>
        </w:rPr>
        <w:t>i,t</w:t>
      </w:r>
      <w:proofErr w:type="spellEnd"/>
      <w:r>
        <w:rPr>
          <w:i/>
        </w:rPr>
        <w:t>) ] / sum over j of [ 1 / sigma(</w:t>
      </w:r>
      <w:proofErr w:type="spellStart"/>
      <w:r>
        <w:rPr>
          <w:i/>
        </w:rPr>
        <w:t>j,t</w:t>
      </w:r>
      <w:proofErr w:type="spellEnd"/>
      <w:r>
        <w:rPr>
          <w:i/>
        </w:rPr>
        <w:t>) ],</w:t>
      </w:r>
      <w:r>
        <w:tab/>
        <w:t>(12)</w:t>
      </w:r>
    </w:p>
    <w:p w14:paraId="386FBEEF" w14:textId="77777777" w:rsidR="00576CDE" w:rsidRDefault="00000000">
      <w:r>
        <w:t>where sigma(</w:t>
      </w:r>
      <w:proofErr w:type="spellStart"/>
      <w:r>
        <w:t>i,t</w:t>
      </w:r>
      <w:proofErr w:type="spellEnd"/>
      <w:r>
        <w:t>) is the sample standard deviation of the sleeve's daily returns over the 63 observations ending on day t-1, so that day t's weights use no information from day t. A day with undefined weights would be left out of the statistics; this does not occur in the sample window.</w:t>
      </w:r>
    </w:p>
    <w:p w14:paraId="31FCAFD7" w14:textId="77777777" w:rsidR="00576CDE" w:rsidRDefault="00000000">
      <w:r>
        <w:t>The five asset-class portfolios are aligned on their common dates, which begin on 10 November 2009, the first date on which all five classes have data, and combined by Equal Weight (one fifth each) or Inverse Vol. With the two schemes available within asset classes, this gives four cross-commodity portfolios, and we form all ten two-class pairs in the same way. Combining in the opposite order, equal-weighting each signal across asset classes first and then combining the five resulting signal series by Equal Weight or Inverse Vol (63 observations, lagged one day), gives under Equal Weight the same portfolio as Equal Weight at both stages. Correlations are Pearson correlations of daily net log returns over the sample window: within an asset class among its sleeves and portfolios, and across asset classes for each series type.</w:t>
      </w:r>
    </w:p>
    <w:p w14:paraId="1C14AEA4" w14:textId="77777777" w:rsidR="00576CDE" w:rsidRDefault="00000000">
      <w:pPr>
        <w:keepNext/>
        <w:spacing w:before="200"/>
      </w:pPr>
      <w:r>
        <w:rPr>
          <w:b/>
          <w:sz w:val="28"/>
        </w:rPr>
        <w:t>4. Empirical Results</w:t>
      </w:r>
    </w:p>
    <w:p w14:paraId="1C14AEA4" w14:textId="77777777" w:rsidR="00576CDE" w:rsidRDefault="00000000">
      <w:r>
        <w:rPr/>
        <w:t>This section reports what the five signals earn in each asset class. All statistics are computed from net daily log returns over the sample window, 1 January 2012 to 23 September 2026, after the 5 basis point round-trip cost of Section 2.4. For every sleeve and portfolio we report the annualised return, the annualised volatility, the information ratio (IR) and the maximum drawdown, defined in Section 3.7. The IR is the annualised return divided by the annualised volatility, with no risk-free rate because the positions are unfunded. Each statistic is given for the full sample and for the subperiods P1 to P3 (Table 4), so that a result can be read against its stability over time. Table 5 collects the full-sample IRs of the five signals and of the two asset-class portfolios, Equal Weight (EW PORT) and Inverse Vol, in each of the five classes, and Table 6 gives the IRs of the portfolios by subperiod. Returns and drawdowns are quoted in the text where they change the reading of an IR.</w:t>
      </w:r>
    </w:p>
    <w:p w14:paraId="1C14AEA4" w14:textId="77777777" w:rsidR="00576CDE" w:rsidRDefault="00000000">
      <w:r>
        <w:rPr/>
        <w:t>Two cautions apply to every number below. The results are an in-sample historical backtest of fixed rules, and we have run no significance tests. Design choices, in particular the combination of the two tenor pairs in Carry and Carry-Momentum (Sections 3.3 and 3.4), were compared on this same sample, and the concentration of the premium in NGL and Energy reported below was also found in this sample, among 23 products, five signals, two weighting schemes and ten pairs of asset classes. We therefore describe patterns and do not claim that any of them is statistically distinguishable from zero, and the subperiods are a check on stability and not an out-of-sample test. Wherever we link a result to a market event or to an economic mechanism, the link is worded as consistent with the result. It is an interpretation and not a test of the mechanism.</w:t>
      </w:r>
    </w:p>
    <w:p w14:paraId="1C14AEA4" w14:textId="77777777" w:rsidR="00576CDE" w:rsidRDefault="00000000">
      <w:r>
        <w:rPr/>
        <w:t>The pattern in Table 5 is concentrated. The premium measured by the four core signals, Momentum, Carry, Carry-Momentum and Value, sits in NGL and Energy. In both classes Momentum, Carry and Carry-Momentum earn a positive IR over the full sample and in each of P1, P2 and P3 (full-sample IRs of 0.50, 0.46 and 0.78 in Energy and 1.13, 1.08 and 0.71 in NGL). The Equal Weight portfolios reach 1.25 in NGL and 0.76 in Energy and are positive in every subperiod (Table 6). Metals has a Value edge only: Value is the one Metals sleeve with a positive IR in every period (0.38 over the full sample), while the other four sleeves are positive in some periods and negative in others. Precious Metals and Agriculture earn no clear premium from the core signals: in Precious Metals all four are negative over the full sample, and in Agriculture Momentum, Carry-Momentum and Value are negative and Carry is close to zero (0.01). Skewness follows a different pattern. Its full-sample IR is positive in four of the five classes but never above 0.25, and it is negative in P1 in four classes and positive in P3 in four, which we show below to be episodic.</w:t>
      </w:r>
    </w:p>
    <w:p w14:paraId="1C14AEA4" w14:textId="77777777" w:rsidR="00576CDE" w:rsidRDefault="00000000">
      <w:r>
        <w:rPr/>
        <w:t>Section 4.1 takes the five asset classes in turn and reports the five sleeves, their product-level decomposition where it explains the class result, and the Skewness sleeve. Section 4.2 evaluates the asset-class portfolios of Tables 6 and 7. Section 4.3 combines the five asset classes into cross-commodity portfolios and examines all ten pairs of classes, and Section 4.4 reports the correlations among sleeves, portfolios and asset classes. The interpretation of the concentration in terms of storage, hedging pressure and market structure is left to Section 5, and the checks on the design to Section 6.</w:t>
      </w:r>
    </w:p>
    <w:p w14:paraId="1C14AEA4" w14:textId="77777777" w:rsidR="00576CDE" w:rsidRDefault="00000000">
      <w:pPr>
        <w:keepNext/>
      </w:pPr>
      <w:r>
        <w:rPr>
          <w:b/>
          <w:sz w:val="22"/>
        </w:rPr>
        <w:t>Table 5: Information ratios by asset class and signal, full sample</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2448"/>
          </w:tcPr>
          <w:p>
            <w:pPr>
              <w:spacing w:after="0"/>
            </w:pPr>
            <w:r>
              <w:rPr>
                <w:b/>
                <w:sz w:val="19"/>
              </w:rPr>
              <w:t>Signal / portfolio</w:t>
            </w:r>
          </w:p>
        </w:tc>
        <w:tc>
          <w:tcPr>
            <w:tcW w:type="dxa" w:w="1296"/>
          </w:tcPr>
          <w:p>
            <w:pPr>
              <w:spacing w:after="0"/>
            </w:pPr>
            <w:r>
              <w:rPr>
                <w:b/>
                <w:sz w:val="19"/>
              </w:rPr>
              <w:t>Metals</w:t>
            </w:r>
          </w:p>
        </w:tc>
        <w:tc>
          <w:tcPr>
            <w:tcW w:type="dxa" w:w="1296"/>
          </w:tcPr>
          <w:p>
            <w:pPr>
              <w:spacing w:after="0"/>
            </w:pPr>
            <w:r>
              <w:rPr>
                <w:b/>
                <w:sz w:val="19"/>
              </w:rPr>
              <w:t>Energy</w:t>
            </w:r>
          </w:p>
        </w:tc>
        <w:tc>
          <w:tcPr>
            <w:tcW w:type="dxa" w:w="1584"/>
          </w:tcPr>
          <w:p>
            <w:pPr>
              <w:spacing w:after="0"/>
            </w:pPr>
            <w:r>
              <w:rPr>
                <w:b/>
                <w:sz w:val="19"/>
              </w:rPr>
              <w:t>Precious Metals</w:t>
            </w:r>
          </w:p>
        </w:tc>
        <w:tc>
          <w:tcPr>
            <w:tcW w:type="dxa" w:w="1296"/>
          </w:tcPr>
          <w:p>
            <w:pPr>
              <w:spacing w:after="0"/>
            </w:pPr>
            <w:r>
              <w:rPr>
                <w:b/>
                <w:sz w:val="19"/>
              </w:rPr>
              <w:t>NGL</w:t>
            </w:r>
          </w:p>
        </w:tc>
        <w:tc>
          <w:tcPr>
            <w:tcW w:type="dxa" w:w="1584"/>
          </w:tcPr>
          <w:p>
            <w:pPr>
              <w:spacing w:after="0"/>
            </w:pPr>
            <w:r>
              <w:rPr>
                <w:b/>
                <w:sz w:val="19"/>
              </w:rPr>
              <w:t>Agriculture</w:t>
            </w:r>
          </w:p>
        </w:tc>
      </w:tr>
      <w:tr>
        <w:tc>
          <w:tcPr>
            <w:tcW w:type="dxa" w:w="2448"/>
          </w:tcPr>
          <w:p>
            <w:pPr>
              <w:spacing w:after="0"/>
            </w:pPr>
            <w:r>
              <w:rPr>
                <w:sz w:val="19"/>
              </w:rPr>
              <w:t>Momentum</w:t>
            </w:r>
          </w:p>
        </w:tc>
        <w:tc>
          <w:tcPr>
            <w:tcW w:type="dxa" w:w="1296"/>
          </w:tcPr>
          <w:p>
            <w:pPr>
              <w:spacing w:after="0"/>
              <w:jc w:val="right"/>
            </w:pPr>
            <w:r>
              <w:rPr>
                <w:sz w:val="19"/>
              </w:rPr>
              <w:t>-0.32</w:t>
            </w:r>
          </w:p>
        </w:tc>
        <w:tc>
          <w:tcPr>
            <w:tcW w:type="dxa" w:w="1296"/>
          </w:tcPr>
          <w:p>
            <w:pPr>
              <w:spacing w:after="0"/>
              <w:jc w:val="right"/>
            </w:pPr>
            <w:r>
              <w:rPr>
                <w:sz w:val="19"/>
              </w:rPr>
              <w:t>0.50</w:t>
            </w:r>
          </w:p>
        </w:tc>
        <w:tc>
          <w:tcPr>
            <w:tcW w:type="dxa" w:w="1584"/>
          </w:tcPr>
          <w:p>
            <w:pPr>
              <w:spacing w:after="0"/>
              <w:jc w:val="right"/>
            </w:pPr>
            <w:r>
              <w:rPr>
                <w:sz w:val="19"/>
              </w:rPr>
              <w:t>-0.24</w:t>
            </w:r>
          </w:p>
        </w:tc>
        <w:tc>
          <w:tcPr>
            <w:tcW w:type="dxa" w:w="1296"/>
          </w:tcPr>
          <w:p>
            <w:pPr>
              <w:spacing w:after="0"/>
              <w:jc w:val="right"/>
            </w:pPr>
            <w:r>
              <w:rPr>
                <w:sz w:val="19"/>
              </w:rPr>
              <w:t>1.13</w:t>
            </w:r>
          </w:p>
        </w:tc>
        <w:tc>
          <w:tcPr>
            <w:tcW w:type="dxa" w:w="1584"/>
          </w:tcPr>
          <w:p>
            <w:pPr>
              <w:spacing w:after="0"/>
              <w:jc w:val="right"/>
            </w:pPr>
            <w:r>
              <w:rPr>
                <w:sz w:val="19"/>
              </w:rPr>
              <w:t>-0.12</w:t>
            </w:r>
          </w:p>
        </w:tc>
      </w:tr>
      <w:tr>
        <w:tc>
          <w:tcPr>
            <w:tcW w:type="dxa" w:w="2448"/>
          </w:tcPr>
          <w:p>
            <w:pPr>
              <w:spacing w:after="0"/>
            </w:pPr>
            <w:r>
              <w:rPr>
                <w:sz w:val="19"/>
              </w:rPr>
              <w:t>Carry</w:t>
            </w:r>
          </w:p>
        </w:tc>
        <w:tc>
          <w:tcPr>
            <w:tcW w:type="dxa" w:w="1296"/>
          </w:tcPr>
          <w:p>
            <w:pPr>
              <w:spacing w:after="0"/>
              <w:jc w:val="right"/>
            </w:pPr>
            <w:r>
              <w:rPr>
                <w:sz w:val="19"/>
              </w:rPr>
              <w:t>0.13</w:t>
            </w:r>
          </w:p>
        </w:tc>
        <w:tc>
          <w:tcPr>
            <w:tcW w:type="dxa" w:w="1296"/>
          </w:tcPr>
          <w:p>
            <w:pPr>
              <w:spacing w:after="0"/>
              <w:jc w:val="right"/>
            </w:pPr>
            <w:r>
              <w:rPr>
                <w:sz w:val="19"/>
              </w:rPr>
              <w:t>0.46</w:t>
            </w:r>
          </w:p>
        </w:tc>
        <w:tc>
          <w:tcPr>
            <w:tcW w:type="dxa" w:w="1584"/>
          </w:tcPr>
          <w:p>
            <w:pPr>
              <w:spacing w:after="0"/>
              <w:jc w:val="right"/>
            </w:pPr>
            <w:r>
              <w:rPr>
                <w:sz w:val="19"/>
              </w:rPr>
              <w:t>-0.08</w:t>
            </w:r>
          </w:p>
        </w:tc>
        <w:tc>
          <w:tcPr>
            <w:tcW w:type="dxa" w:w="1296"/>
          </w:tcPr>
          <w:p>
            <w:pPr>
              <w:spacing w:after="0"/>
              <w:jc w:val="right"/>
            </w:pPr>
            <w:r>
              <w:rPr>
                <w:sz w:val="19"/>
              </w:rPr>
              <w:t>1.08</w:t>
            </w:r>
          </w:p>
        </w:tc>
        <w:tc>
          <w:tcPr>
            <w:tcW w:type="dxa" w:w="1584"/>
          </w:tcPr>
          <w:p>
            <w:pPr>
              <w:spacing w:after="0"/>
              <w:jc w:val="right"/>
            </w:pPr>
            <w:r>
              <w:rPr>
                <w:sz w:val="19"/>
              </w:rPr>
              <w:t>0.01</w:t>
            </w:r>
          </w:p>
        </w:tc>
      </w:tr>
      <w:tr>
        <w:tc>
          <w:tcPr>
            <w:tcW w:type="dxa" w:w="2448"/>
          </w:tcPr>
          <w:p>
            <w:pPr>
              <w:spacing w:after="0"/>
            </w:pPr>
            <w:r>
              <w:rPr>
                <w:sz w:val="19"/>
              </w:rPr>
              <w:t>Carry-Momentum</w:t>
            </w:r>
          </w:p>
        </w:tc>
        <w:tc>
          <w:tcPr>
            <w:tcW w:type="dxa" w:w="1296"/>
          </w:tcPr>
          <w:p>
            <w:pPr>
              <w:spacing w:after="0"/>
              <w:jc w:val="right"/>
            </w:pPr>
            <w:r>
              <w:rPr>
                <w:sz w:val="19"/>
              </w:rPr>
              <w:t>-0.08</w:t>
            </w:r>
          </w:p>
        </w:tc>
        <w:tc>
          <w:tcPr>
            <w:tcW w:type="dxa" w:w="1296"/>
          </w:tcPr>
          <w:p>
            <w:pPr>
              <w:spacing w:after="0"/>
              <w:jc w:val="right"/>
            </w:pPr>
            <w:r>
              <w:rPr>
                <w:sz w:val="19"/>
              </w:rPr>
              <w:t>0.78</w:t>
            </w:r>
          </w:p>
        </w:tc>
        <w:tc>
          <w:tcPr>
            <w:tcW w:type="dxa" w:w="1584"/>
          </w:tcPr>
          <w:p>
            <w:pPr>
              <w:spacing w:after="0"/>
              <w:jc w:val="right"/>
            </w:pPr>
            <w:r>
              <w:rPr>
                <w:sz w:val="19"/>
              </w:rPr>
              <w:t>-0.23</w:t>
            </w:r>
          </w:p>
        </w:tc>
        <w:tc>
          <w:tcPr>
            <w:tcW w:type="dxa" w:w="1296"/>
          </w:tcPr>
          <w:p>
            <w:pPr>
              <w:spacing w:after="0"/>
              <w:jc w:val="right"/>
            </w:pPr>
            <w:r>
              <w:rPr>
                <w:sz w:val="19"/>
              </w:rPr>
              <w:t>0.71</w:t>
            </w:r>
          </w:p>
        </w:tc>
        <w:tc>
          <w:tcPr>
            <w:tcW w:type="dxa" w:w="1584"/>
          </w:tcPr>
          <w:p>
            <w:pPr>
              <w:spacing w:after="0"/>
              <w:jc w:val="right"/>
            </w:pPr>
            <w:r>
              <w:rPr>
                <w:sz w:val="19"/>
              </w:rPr>
              <w:t>-0.34</w:t>
            </w:r>
          </w:p>
        </w:tc>
      </w:tr>
      <w:tr>
        <w:tc>
          <w:tcPr>
            <w:tcW w:type="dxa" w:w="2448"/>
          </w:tcPr>
          <w:p>
            <w:pPr>
              <w:spacing w:after="0"/>
            </w:pPr>
            <w:r>
              <w:rPr>
                <w:sz w:val="19"/>
              </w:rPr>
              <w:t>Value</w:t>
            </w:r>
          </w:p>
        </w:tc>
        <w:tc>
          <w:tcPr>
            <w:tcW w:type="dxa" w:w="1296"/>
          </w:tcPr>
          <w:p>
            <w:pPr>
              <w:spacing w:after="0"/>
              <w:jc w:val="right"/>
            </w:pPr>
            <w:r>
              <w:rPr>
                <w:sz w:val="19"/>
              </w:rPr>
              <w:t>0.38</w:t>
            </w:r>
          </w:p>
        </w:tc>
        <w:tc>
          <w:tcPr>
            <w:tcW w:type="dxa" w:w="1296"/>
          </w:tcPr>
          <w:p>
            <w:pPr>
              <w:spacing w:after="0"/>
              <w:jc w:val="right"/>
            </w:pPr>
            <w:r>
              <w:rPr>
                <w:sz w:val="19"/>
              </w:rPr>
              <w:t>-0.14</w:t>
            </w:r>
          </w:p>
        </w:tc>
        <w:tc>
          <w:tcPr>
            <w:tcW w:type="dxa" w:w="1584"/>
          </w:tcPr>
          <w:p>
            <w:pPr>
              <w:spacing w:after="0"/>
              <w:jc w:val="right"/>
            </w:pPr>
            <w:r>
              <w:rPr>
                <w:sz w:val="19"/>
              </w:rPr>
              <w:t>-0.06</w:t>
            </w:r>
          </w:p>
        </w:tc>
        <w:tc>
          <w:tcPr>
            <w:tcW w:type="dxa" w:w="1296"/>
          </w:tcPr>
          <w:p>
            <w:pPr>
              <w:spacing w:after="0"/>
              <w:jc w:val="right"/>
            </w:pPr>
            <w:r>
              <w:rPr>
                <w:sz w:val="19"/>
              </w:rPr>
              <w:t>0.08</w:t>
            </w:r>
          </w:p>
        </w:tc>
        <w:tc>
          <w:tcPr>
            <w:tcW w:type="dxa" w:w="1584"/>
          </w:tcPr>
          <w:p>
            <w:pPr>
              <w:spacing w:after="0"/>
              <w:jc w:val="right"/>
            </w:pPr>
            <w:r>
              <w:rPr>
                <w:sz w:val="19"/>
              </w:rPr>
              <w:t>-0.10</w:t>
            </w:r>
          </w:p>
        </w:tc>
      </w:tr>
      <w:tr>
        <w:tc>
          <w:tcPr>
            <w:tcW w:type="dxa" w:w="2448"/>
          </w:tcPr>
          <w:p>
            <w:pPr>
              <w:spacing w:after="0"/>
            </w:pPr>
            <w:r>
              <w:rPr>
                <w:sz w:val="19"/>
              </w:rPr>
              <w:t>Skewness</w:t>
            </w:r>
          </w:p>
        </w:tc>
        <w:tc>
          <w:tcPr>
            <w:tcW w:type="dxa" w:w="1296"/>
          </w:tcPr>
          <w:p>
            <w:pPr>
              <w:spacing w:after="0"/>
              <w:jc w:val="right"/>
            </w:pPr>
            <w:r>
              <w:rPr>
                <w:sz w:val="19"/>
              </w:rPr>
              <w:t>-0.08</w:t>
            </w:r>
          </w:p>
        </w:tc>
        <w:tc>
          <w:tcPr>
            <w:tcW w:type="dxa" w:w="1296"/>
          </w:tcPr>
          <w:p>
            <w:pPr>
              <w:spacing w:after="0"/>
              <w:jc w:val="right"/>
            </w:pPr>
            <w:r>
              <w:rPr>
                <w:sz w:val="19"/>
              </w:rPr>
              <w:t>0.17</w:t>
            </w:r>
          </w:p>
        </w:tc>
        <w:tc>
          <w:tcPr>
            <w:tcW w:type="dxa" w:w="1584"/>
          </w:tcPr>
          <w:p>
            <w:pPr>
              <w:spacing w:after="0"/>
              <w:jc w:val="right"/>
            </w:pPr>
            <w:r>
              <w:rPr>
                <w:sz w:val="19"/>
              </w:rPr>
              <w:t>0.10</w:t>
            </w:r>
          </w:p>
        </w:tc>
        <w:tc>
          <w:tcPr>
            <w:tcW w:type="dxa" w:w="1296"/>
          </w:tcPr>
          <w:p>
            <w:pPr>
              <w:spacing w:after="0"/>
              <w:jc w:val="right"/>
            </w:pPr>
            <w:r>
              <w:rPr>
                <w:sz w:val="19"/>
              </w:rPr>
              <w:t>0.06</w:t>
            </w:r>
          </w:p>
        </w:tc>
        <w:tc>
          <w:tcPr>
            <w:tcW w:type="dxa" w:w="1584"/>
          </w:tcPr>
          <w:p>
            <w:pPr>
              <w:spacing w:after="0"/>
              <w:jc w:val="right"/>
            </w:pPr>
            <w:r>
              <w:rPr>
                <w:sz w:val="19"/>
              </w:rPr>
              <w:t>0.25</w:t>
            </w:r>
          </w:p>
        </w:tc>
      </w:tr>
      <w:tr>
        <w:tc>
          <w:tcPr>
            <w:tcW w:type="dxa" w:w="2448"/>
          </w:tcPr>
          <w:p>
            <w:pPr>
              <w:spacing w:after="0"/>
            </w:pPr>
            <w:r>
              <w:rPr>
                <w:sz w:val="19"/>
              </w:rPr>
              <w:t>Equal Weight</w:t>
            </w:r>
          </w:p>
        </w:tc>
        <w:tc>
          <w:tcPr>
            <w:tcW w:type="dxa" w:w="1296"/>
          </w:tcPr>
          <w:p>
            <w:pPr>
              <w:spacing w:after="0"/>
              <w:jc w:val="right"/>
            </w:pPr>
            <w:r>
              <w:rPr>
                <w:sz w:val="19"/>
              </w:rPr>
              <w:t>-0.04</w:t>
            </w:r>
          </w:p>
        </w:tc>
        <w:tc>
          <w:tcPr>
            <w:tcW w:type="dxa" w:w="1296"/>
          </w:tcPr>
          <w:p>
            <w:pPr>
              <w:spacing w:after="0"/>
              <w:jc w:val="right"/>
            </w:pPr>
            <w:r>
              <w:rPr>
                <w:sz w:val="19"/>
              </w:rPr>
              <w:t>0.76</w:t>
            </w:r>
          </w:p>
        </w:tc>
        <w:tc>
          <w:tcPr>
            <w:tcW w:type="dxa" w:w="1584"/>
          </w:tcPr>
          <w:p>
            <w:pPr>
              <w:spacing w:after="0"/>
              <w:jc w:val="right"/>
            </w:pPr>
            <w:r>
              <w:rPr>
                <w:sz w:val="19"/>
              </w:rPr>
              <w:t>-0.23</w:t>
            </w:r>
          </w:p>
        </w:tc>
        <w:tc>
          <w:tcPr>
            <w:tcW w:type="dxa" w:w="1296"/>
          </w:tcPr>
          <w:p>
            <w:pPr>
              <w:spacing w:after="0"/>
              <w:jc w:val="right"/>
            </w:pPr>
            <w:r>
              <w:rPr>
                <w:sz w:val="19"/>
              </w:rPr>
              <w:t>1.25</w:t>
            </w:r>
          </w:p>
        </w:tc>
        <w:tc>
          <w:tcPr>
            <w:tcW w:type="dxa" w:w="1584"/>
          </w:tcPr>
          <w:p>
            <w:pPr>
              <w:spacing w:after="0"/>
              <w:jc w:val="right"/>
            </w:pPr>
            <w:r>
              <w:rPr>
                <w:sz w:val="19"/>
              </w:rPr>
              <w:t>-0.15</w:t>
            </w:r>
          </w:p>
        </w:tc>
      </w:tr>
      <w:tr>
        <w:tc>
          <w:tcPr>
            <w:tcW w:type="dxa" w:w="2448"/>
          </w:tcPr>
          <w:p>
            <w:pPr>
              <w:spacing w:after="0"/>
            </w:pPr>
            <w:r>
              <w:rPr>
                <w:sz w:val="19"/>
              </w:rPr>
              <w:t>Inverse Vol</w:t>
            </w:r>
          </w:p>
        </w:tc>
        <w:tc>
          <w:tcPr>
            <w:tcW w:type="dxa" w:w="1296"/>
          </w:tcPr>
          <w:p>
            <w:pPr>
              <w:spacing w:after="0"/>
              <w:jc w:val="right"/>
            </w:pPr>
            <w:r>
              <w:rPr>
                <w:sz w:val="19"/>
              </w:rPr>
              <w:t>0.08</w:t>
            </w:r>
          </w:p>
        </w:tc>
        <w:tc>
          <w:tcPr>
            <w:tcW w:type="dxa" w:w="1296"/>
          </w:tcPr>
          <w:p>
            <w:pPr>
              <w:spacing w:after="0"/>
              <w:jc w:val="right"/>
            </w:pPr>
            <w:r>
              <w:rPr>
                <w:sz w:val="19"/>
              </w:rPr>
              <w:t>0.78</w:t>
            </w:r>
          </w:p>
        </w:tc>
        <w:tc>
          <w:tcPr>
            <w:tcW w:type="dxa" w:w="1584"/>
          </w:tcPr>
          <w:p>
            <w:pPr>
              <w:spacing w:after="0"/>
              <w:jc w:val="right"/>
            </w:pPr>
            <w:r>
              <w:rPr>
                <w:sz w:val="19"/>
              </w:rPr>
              <w:t>-0.29</w:t>
            </w:r>
          </w:p>
        </w:tc>
        <w:tc>
          <w:tcPr>
            <w:tcW w:type="dxa" w:w="1296"/>
          </w:tcPr>
          <w:p>
            <w:pPr>
              <w:spacing w:after="0"/>
              <w:jc w:val="right"/>
            </w:pPr>
            <w:r>
              <w:rPr>
                <w:sz w:val="19"/>
              </w:rPr>
              <w:t>1.16</w:t>
            </w:r>
          </w:p>
        </w:tc>
        <w:tc>
          <w:tcPr>
            <w:tcW w:type="dxa" w:w="1584"/>
          </w:tcPr>
          <w:p>
            <w:pPr>
              <w:spacing w:after="0"/>
              <w:jc w:val="right"/>
            </w:pPr>
            <w:r>
              <w:rPr>
                <w:sz w:val="19"/>
              </w:rPr>
              <w:t>-0.18</w:t>
            </w:r>
          </w:p>
        </w:tc>
      </w:tr>
    </w:tbl>
    <w:p w14:paraId="1C14AEA4" w14:textId="77777777" w:rsidR="00576CDE" w:rsidRDefault="00000000"/>
    <w:p w14:paraId="1C14AEA4" w14:textId="77777777" w:rsidR="00576CDE" w:rsidRDefault="00000000">
      <w:r>
        <w:rPr>
          <w:i/>
          <w:sz w:val="19"/>
        </w:rPr>
        <w:t>Source: authors' calculations. IR is the annualised return divided by the annualised volatility of net daily log returns, 1 January 2012 to 23 September 2026, after 5 basis points of round-trip costs, with no risk-free rate. Equal Weight and Inverse Vol are the asset-class portfolios of Section 3.9. Energy includes Natural Gas.</w:t>
      </w:r>
    </w:p>
    <w:p w14:paraId="1C14AEA4" w14:textId="77777777" w:rsidR="00576CDE" w:rsidRDefault="00000000">
      <w:pPr>
        <w:keepNext/>
      </w:pPr>
      <w:r>
        <w:rPr>
          <w:b/>
          <w:sz w:val="22"/>
        </w:rPr>
        <w:t>Table 6: Information ratios of the asset-class portfolios by subperiod</w:t>
      </w:r>
    </w:p>
    <w:tbl>
      <w:tblPr>
        <w:tblStyle w:val="TableGrid"/>
        <w:tblW w:type="auto" w:w="0"/>
        <w:tblLayout w:type="fixed"/>
        <w:tblLook w:firstColumn="1" w:firstRow="1" w:lastColumn="0" w:lastRow="0" w:noHBand="0" w:noVBand="1" w:val="04A0"/>
      </w:tblPr>
      <w:tblGrid>
        <w:gridCol w:w="1337"/>
        <w:gridCol w:w="1337"/>
        <w:gridCol w:w="1337"/>
        <w:gridCol w:w="1337"/>
        <w:gridCol w:w="1337"/>
        <w:gridCol w:w="1337"/>
        <w:gridCol w:w="1337"/>
      </w:tblGrid>
      <w:tr>
        <w:tc>
          <w:tcPr>
            <w:tcW w:type="dxa" w:w="2160"/>
          </w:tcPr>
          <w:p>
            <w:pPr>
              <w:spacing w:after="0"/>
            </w:pPr>
            <w:r>
              <w:rPr>
                <w:b/>
                <w:sz w:val="19"/>
              </w:rPr>
              <w:t>Asset class</w:t>
            </w:r>
          </w:p>
        </w:tc>
        <w:tc>
          <w:tcPr>
            <w:tcW w:type="dxa" w:w="1224"/>
          </w:tcPr>
          <w:p>
            <w:pPr>
              <w:spacing w:after="0"/>
            </w:pPr>
            <w:r>
              <w:rPr>
                <w:b/>
                <w:sz w:val="19"/>
              </w:rPr>
              <w:t>Equal Weight P1</w:t>
            </w:r>
          </w:p>
        </w:tc>
        <w:tc>
          <w:tcPr>
            <w:tcW w:type="dxa" w:w="1224"/>
          </w:tcPr>
          <w:p>
            <w:pPr>
              <w:spacing w:after="0"/>
            </w:pPr>
            <w:r>
              <w:rPr>
                <w:b/>
                <w:sz w:val="19"/>
              </w:rPr>
              <w:t>Equal Weight P2</w:t>
            </w:r>
          </w:p>
        </w:tc>
        <w:tc>
          <w:tcPr>
            <w:tcW w:type="dxa" w:w="1224"/>
          </w:tcPr>
          <w:p>
            <w:pPr>
              <w:spacing w:after="0"/>
            </w:pPr>
            <w:r>
              <w:rPr>
                <w:b/>
                <w:sz w:val="19"/>
              </w:rPr>
              <w:t>Equal Weight P3</w:t>
            </w:r>
          </w:p>
        </w:tc>
        <w:tc>
          <w:tcPr>
            <w:tcW w:type="dxa" w:w="1224"/>
          </w:tcPr>
          <w:p>
            <w:pPr>
              <w:spacing w:after="0"/>
            </w:pPr>
            <w:r>
              <w:rPr>
                <w:b/>
                <w:sz w:val="19"/>
              </w:rPr>
              <w:t>Inverse Vol P1</w:t>
            </w:r>
          </w:p>
        </w:tc>
        <w:tc>
          <w:tcPr>
            <w:tcW w:type="dxa" w:w="1224"/>
          </w:tcPr>
          <w:p>
            <w:pPr>
              <w:spacing w:after="0"/>
            </w:pPr>
            <w:r>
              <w:rPr>
                <w:b/>
                <w:sz w:val="19"/>
              </w:rPr>
              <w:t>Inverse Vol P2</w:t>
            </w:r>
          </w:p>
        </w:tc>
        <w:tc>
          <w:tcPr>
            <w:tcW w:type="dxa" w:w="1224"/>
          </w:tcPr>
          <w:p>
            <w:pPr>
              <w:spacing w:after="0"/>
            </w:pPr>
            <w:r>
              <w:rPr>
                <w:b/>
                <w:sz w:val="19"/>
              </w:rPr>
              <w:t>Inverse Vol P3</w:t>
            </w:r>
          </w:p>
        </w:tc>
      </w:tr>
      <w:tr>
        <w:tc>
          <w:tcPr>
            <w:tcW w:type="dxa" w:w="2160"/>
          </w:tcPr>
          <w:p>
            <w:pPr>
              <w:spacing w:after="0"/>
            </w:pPr>
            <w:r>
              <w:rPr>
                <w:sz w:val="19"/>
              </w:rPr>
              <w:t>Metals</w:t>
            </w:r>
          </w:p>
        </w:tc>
        <w:tc>
          <w:tcPr>
            <w:tcW w:type="dxa" w:w="1224"/>
          </w:tcPr>
          <w:p>
            <w:pPr>
              <w:spacing w:after="0"/>
              <w:jc w:val="right"/>
            </w:pPr>
            <w:r>
              <w:rPr>
                <w:sz w:val="19"/>
              </w:rPr>
              <w:t>0.27</w:t>
            </w:r>
          </w:p>
        </w:tc>
        <w:tc>
          <w:tcPr>
            <w:tcW w:type="dxa" w:w="1224"/>
          </w:tcPr>
          <w:p>
            <w:pPr>
              <w:spacing w:after="0"/>
              <w:jc w:val="right"/>
            </w:pPr>
            <w:r>
              <w:rPr>
                <w:sz w:val="19"/>
              </w:rPr>
              <w:t>-0.05</w:t>
            </w:r>
          </w:p>
        </w:tc>
        <w:tc>
          <w:tcPr>
            <w:tcW w:type="dxa" w:w="1224"/>
          </w:tcPr>
          <w:p>
            <w:pPr>
              <w:spacing w:after="0"/>
              <w:jc w:val="right"/>
            </w:pPr>
            <w:r>
              <w:rPr>
                <w:sz w:val="19"/>
              </w:rPr>
              <w:t>-0.32</w:t>
            </w:r>
          </w:p>
        </w:tc>
        <w:tc>
          <w:tcPr>
            <w:tcW w:type="dxa" w:w="1224"/>
          </w:tcPr>
          <w:p>
            <w:pPr>
              <w:spacing w:after="0"/>
              <w:jc w:val="right"/>
            </w:pPr>
            <w:r>
              <w:rPr>
                <w:sz w:val="19"/>
              </w:rPr>
              <w:t>0.48</w:t>
            </w:r>
          </w:p>
        </w:tc>
        <w:tc>
          <w:tcPr>
            <w:tcW w:type="dxa" w:w="1224"/>
          </w:tcPr>
          <w:p>
            <w:pPr>
              <w:spacing w:after="0"/>
              <w:jc w:val="right"/>
            </w:pPr>
            <w:r>
              <w:rPr>
                <w:sz w:val="19"/>
              </w:rPr>
              <w:t>-0.02</w:t>
            </w:r>
          </w:p>
        </w:tc>
        <w:tc>
          <w:tcPr>
            <w:tcW w:type="dxa" w:w="1224"/>
          </w:tcPr>
          <w:p>
            <w:pPr>
              <w:spacing w:after="0"/>
              <w:jc w:val="right"/>
            </w:pPr>
            <w:r>
              <w:rPr>
                <w:sz w:val="19"/>
              </w:rPr>
              <w:t>-0.15</w:t>
            </w:r>
          </w:p>
        </w:tc>
      </w:tr>
      <w:tr>
        <w:tc>
          <w:tcPr>
            <w:tcW w:type="dxa" w:w="2160"/>
          </w:tcPr>
          <w:p>
            <w:pPr>
              <w:spacing w:after="0"/>
            </w:pPr>
            <w:r>
              <w:rPr>
                <w:sz w:val="19"/>
              </w:rPr>
              <w:t>Energy</w:t>
            </w:r>
          </w:p>
        </w:tc>
        <w:tc>
          <w:tcPr>
            <w:tcW w:type="dxa" w:w="1224"/>
          </w:tcPr>
          <w:p>
            <w:pPr>
              <w:spacing w:after="0"/>
              <w:jc w:val="right"/>
            </w:pPr>
            <w:r>
              <w:rPr>
                <w:sz w:val="19"/>
              </w:rPr>
              <w:t>0.46</w:t>
            </w:r>
          </w:p>
        </w:tc>
        <w:tc>
          <w:tcPr>
            <w:tcW w:type="dxa" w:w="1224"/>
          </w:tcPr>
          <w:p>
            <w:pPr>
              <w:spacing w:after="0"/>
              <w:jc w:val="right"/>
            </w:pPr>
            <w:r>
              <w:rPr>
                <w:sz w:val="19"/>
              </w:rPr>
              <w:t>1.22</w:t>
            </w:r>
          </w:p>
        </w:tc>
        <w:tc>
          <w:tcPr>
            <w:tcW w:type="dxa" w:w="1224"/>
          </w:tcPr>
          <w:p>
            <w:pPr>
              <w:spacing w:after="0"/>
              <w:jc w:val="right"/>
            </w:pPr>
            <w:r>
              <w:rPr>
                <w:sz w:val="19"/>
              </w:rPr>
              <w:t>0.60</w:t>
            </w:r>
          </w:p>
        </w:tc>
        <w:tc>
          <w:tcPr>
            <w:tcW w:type="dxa" w:w="1224"/>
          </w:tcPr>
          <w:p>
            <w:pPr>
              <w:spacing w:after="0"/>
              <w:jc w:val="right"/>
            </w:pPr>
            <w:r>
              <w:rPr>
                <w:sz w:val="19"/>
              </w:rPr>
              <w:t>0.49</w:t>
            </w:r>
          </w:p>
        </w:tc>
        <w:tc>
          <w:tcPr>
            <w:tcW w:type="dxa" w:w="1224"/>
          </w:tcPr>
          <w:p>
            <w:pPr>
              <w:spacing w:after="0"/>
              <w:jc w:val="right"/>
            </w:pPr>
            <w:r>
              <w:rPr>
                <w:sz w:val="19"/>
              </w:rPr>
              <w:t>1.27</w:t>
            </w:r>
          </w:p>
        </w:tc>
        <w:tc>
          <w:tcPr>
            <w:tcW w:type="dxa" w:w="1224"/>
          </w:tcPr>
          <w:p>
            <w:pPr>
              <w:spacing w:after="0"/>
              <w:jc w:val="right"/>
            </w:pPr>
            <w:r>
              <w:rPr>
                <w:sz w:val="19"/>
              </w:rPr>
              <w:t>0.60</w:t>
            </w:r>
          </w:p>
        </w:tc>
      </w:tr>
      <w:tr>
        <w:tc>
          <w:tcPr>
            <w:tcW w:type="dxa" w:w="2160"/>
          </w:tcPr>
          <w:p>
            <w:pPr>
              <w:spacing w:after="0"/>
            </w:pPr>
            <w:r>
              <w:rPr>
                <w:sz w:val="19"/>
              </w:rPr>
              <w:t>Precious Metals</w:t>
            </w:r>
          </w:p>
        </w:tc>
        <w:tc>
          <w:tcPr>
            <w:tcW w:type="dxa" w:w="1224"/>
          </w:tcPr>
          <w:p>
            <w:pPr>
              <w:spacing w:after="0"/>
              <w:jc w:val="right"/>
            </w:pPr>
            <w:r>
              <w:rPr>
                <w:sz w:val="19"/>
              </w:rPr>
              <w:t>-0.20</w:t>
            </w:r>
          </w:p>
        </w:tc>
        <w:tc>
          <w:tcPr>
            <w:tcW w:type="dxa" w:w="1224"/>
          </w:tcPr>
          <w:p>
            <w:pPr>
              <w:spacing w:after="0"/>
              <w:jc w:val="right"/>
            </w:pPr>
            <w:r>
              <w:rPr>
                <w:sz w:val="19"/>
              </w:rPr>
              <w:t>-0.04</w:t>
            </w:r>
          </w:p>
        </w:tc>
        <w:tc>
          <w:tcPr>
            <w:tcW w:type="dxa" w:w="1224"/>
          </w:tcPr>
          <w:p>
            <w:pPr>
              <w:spacing w:after="0"/>
              <w:jc w:val="right"/>
            </w:pPr>
            <w:r>
              <w:rPr>
                <w:sz w:val="19"/>
              </w:rPr>
              <w:t>-0.40</w:t>
            </w:r>
          </w:p>
        </w:tc>
        <w:tc>
          <w:tcPr>
            <w:tcW w:type="dxa" w:w="1224"/>
          </w:tcPr>
          <w:p>
            <w:pPr>
              <w:spacing w:after="0"/>
              <w:jc w:val="right"/>
            </w:pPr>
            <w:r>
              <w:rPr>
                <w:sz w:val="19"/>
              </w:rPr>
              <w:t>-0.38</w:t>
            </w:r>
          </w:p>
        </w:tc>
        <w:tc>
          <w:tcPr>
            <w:tcW w:type="dxa" w:w="1224"/>
          </w:tcPr>
          <w:p>
            <w:pPr>
              <w:spacing w:after="0"/>
              <w:jc w:val="right"/>
            </w:pPr>
            <w:r>
              <w:rPr>
                <w:sz w:val="19"/>
              </w:rPr>
              <w:t>-0.11</w:t>
            </w:r>
          </w:p>
        </w:tc>
        <w:tc>
          <w:tcPr>
            <w:tcW w:type="dxa" w:w="1224"/>
          </w:tcPr>
          <w:p>
            <w:pPr>
              <w:spacing w:after="0"/>
              <w:jc w:val="right"/>
            </w:pPr>
            <w:r>
              <w:rPr>
                <w:sz w:val="19"/>
              </w:rPr>
              <w:t>-0.39</w:t>
            </w:r>
          </w:p>
        </w:tc>
      </w:tr>
      <w:tr>
        <w:tc>
          <w:tcPr>
            <w:tcW w:type="dxa" w:w="2160"/>
          </w:tcPr>
          <w:p>
            <w:pPr>
              <w:spacing w:after="0"/>
            </w:pPr>
            <w:r>
              <w:rPr>
                <w:sz w:val="19"/>
              </w:rPr>
              <w:t>NGL</w:t>
            </w:r>
          </w:p>
        </w:tc>
        <w:tc>
          <w:tcPr>
            <w:tcW w:type="dxa" w:w="1224"/>
          </w:tcPr>
          <w:p>
            <w:pPr>
              <w:spacing w:after="0"/>
              <w:jc w:val="right"/>
            </w:pPr>
            <w:r>
              <w:rPr>
                <w:sz w:val="19"/>
              </w:rPr>
              <w:t>0.66</w:t>
            </w:r>
          </w:p>
        </w:tc>
        <w:tc>
          <w:tcPr>
            <w:tcW w:type="dxa" w:w="1224"/>
          </w:tcPr>
          <w:p>
            <w:pPr>
              <w:spacing w:after="0"/>
              <w:jc w:val="right"/>
            </w:pPr>
            <w:r>
              <w:rPr>
                <w:sz w:val="19"/>
              </w:rPr>
              <w:t>1.99</w:t>
            </w:r>
          </w:p>
        </w:tc>
        <w:tc>
          <w:tcPr>
            <w:tcW w:type="dxa" w:w="1224"/>
          </w:tcPr>
          <w:p>
            <w:pPr>
              <w:spacing w:after="0"/>
              <w:jc w:val="right"/>
            </w:pPr>
            <w:r>
              <w:rPr>
                <w:sz w:val="19"/>
              </w:rPr>
              <w:t>1.00</w:t>
            </w:r>
          </w:p>
        </w:tc>
        <w:tc>
          <w:tcPr>
            <w:tcW w:type="dxa" w:w="1224"/>
          </w:tcPr>
          <w:p>
            <w:pPr>
              <w:spacing w:after="0"/>
              <w:jc w:val="right"/>
            </w:pPr>
            <w:r>
              <w:rPr>
                <w:sz w:val="19"/>
              </w:rPr>
              <w:t>0.53</w:t>
            </w:r>
          </w:p>
        </w:tc>
        <w:tc>
          <w:tcPr>
            <w:tcW w:type="dxa" w:w="1224"/>
          </w:tcPr>
          <w:p>
            <w:pPr>
              <w:spacing w:after="0"/>
              <w:jc w:val="right"/>
            </w:pPr>
            <w:r>
              <w:rPr>
                <w:sz w:val="19"/>
              </w:rPr>
              <w:t>1.83</w:t>
            </w:r>
          </w:p>
        </w:tc>
        <w:tc>
          <w:tcPr>
            <w:tcW w:type="dxa" w:w="1224"/>
          </w:tcPr>
          <w:p>
            <w:pPr>
              <w:spacing w:after="0"/>
              <w:jc w:val="right"/>
            </w:pPr>
            <w:r>
              <w:rPr>
                <w:sz w:val="19"/>
              </w:rPr>
              <w:t>1.00</w:t>
            </w:r>
          </w:p>
        </w:tc>
      </w:tr>
      <w:tr>
        <w:tc>
          <w:tcPr>
            <w:tcW w:type="dxa" w:w="2160"/>
          </w:tcPr>
          <w:p>
            <w:pPr>
              <w:spacing w:after="0"/>
            </w:pPr>
            <w:r>
              <w:rPr>
                <w:sz w:val="19"/>
              </w:rPr>
              <w:t>Agriculture</w:t>
            </w:r>
          </w:p>
        </w:tc>
        <w:tc>
          <w:tcPr>
            <w:tcW w:type="dxa" w:w="1224"/>
          </w:tcPr>
          <w:p>
            <w:pPr>
              <w:spacing w:after="0"/>
              <w:jc w:val="right"/>
            </w:pPr>
            <w:r>
              <w:rPr>
                <w:sz w:val="19"/>
              </w:rPr>
              <w:t>-0.09</w:t>
            </w:r>
          </w:p>
        </w:tc>
        <w:tc>
          <w:tcPr>
            <w:tcW w:type="dxa" w:w="1224"/>
          </w:tcPr>
          <w:p>
            <w:pPr>
              <w:spacing w:after="0"/>
              <w:jc w:val="right"/>
            </w:pPr>
            <w:r>
              <w:rPr>
                <w:sz w:val="19"/>
              </w:rPr>
              <w:t>0.11</w:t>
            </w:r>
          </w:p>
        </w:tc>
        <w:tc>
          <w:tcPr>
            <w:tcW w:type="dxa" w:w="1224"/>
          </w:tcPr>
          <w:p>
            <w:pPr>
              <w:spacing w:after="0"/>
              <w:jc w:val="right"/>
            </w:pPr>
            <w:r>
              <w:rPr>
                <w:sz w:val="19"/>
              </w:rPr>
              <w:t>-0.44</w:t>
            </w:r>
          </w:p>
        </w:tc>
        <w:tc>
          <w:tcPr>
            <w:tcW w:type="dxa" w:w="1224"/>
          </w:tcPr>
          <w:p>
            <w:pPr>
              <w:spacing w:after="0"/>
              <w:jc w:val="right"/>
            </w:pPr>
            <w:r>
              <w:rPr>
                <w:sz w:val="19"/>
              </w:rPr>
              <w:t>-0.26</w:t>
            </w:r>
          </w:p>
        </w:tc>
        <w:tc>
          <w:tcPr>
            <w:tcW w:type="dxa" w:w="1224"/>
          </w:tcPr>
          <w:p>
            <w:pPr>
              <w:spacing w:after="0"/>
              <w:jc w:val="right"/>
            </w:pPr>
            <w:r>
              <w:rPr>
                <w:sz w:val="19"/>
              </w:rPr>
              <w:t>0.05</w:t>
            </w:r>
          </w:p>
        </w:tc>
        <w:tc>
          <w:tcPr>
            <w:tcW w:type="dxa" w:w="1224"/>
          </w:tcPr>
          <w:p>
            <w:pPr>
              <w:spacing w:after="0"/>
              <w:jc w:val="right"/>
            </w:pPr>
            <w:r>
              <w:rPr>
                <w:sz w:val="19"/>
              </w:rPr>
              <w:t>-0.29</w:t>
            </w:r>
          </w:p>
        </w:tc>
      </w:tr>
    </w:tbl>
    <w:p w14:paraId="1C14AEA4" w14:textId="77777777" w:rsidR="00576CDE" w:rsidRDefault="00000000"/>
    <w:p w14:paraId="1C14AEA4" w14:textId="77777777" w:rsidR="00576CDE" w:rsidRDefault="00000000">
      <w:r>
        <w:rPr>
          <w:i/>
          <w:sz w:val="19"/>
        </w:rPr>
        <w:t>Source: authors' calculations. IR as in Table 5. P1 is 1 January 2012 to 31 December 2016, P2 is 1 January 2017 to 31 December 2021 and P3 is 1 January 2022 to 23 September 2026 (Table 4).</w:t>
      </w:r>
    </w:p>
    <w:p w14:paraId="1C14AEA4" w14:textId="77777777" w:rsidR="00576CDE" w:rsidRDefault="00000000">
      <w:pPr>
        <w:keepNext/>
        <w:spacing w:before="160"/>
      </w:pPr>
      <w:r>
        <w:rPr>
          <w:b/>
          <w:sz w:val="24"/>
        </w:rPr>
        <w:t>4.1 Signals by Asset Class</w:t>
      </w:r>
    </w:p>
    <w:p w14:paraId="1C14AEA4" w14:textId="77777777" w:rsidR="00576CDE" w:rsidRDefault="00000000">
      <w:r>
        <w:rPr/>
        <w:t>The five subsections that follow take the asset classes in the column order of Table 5: Metals, Energy, Precious Metals, NGL and Agriculture. Each reports the sleeves of the class one signal at a time, with the full-sample statistics and the pattern across P1 to P3. Where the class result is carried by a few products, we decompose the sleeve by product, and the IR of a product is that of its own single-product sleeve. We then describe the Skewness sleeve, which behaves differently from the other four, and add one sentence on the two asset-class portfolios, which are evaluated in Section 4.2. The market context is taken from the events and price levels in our own series and is offered as consistent with the results, not as an explanation that we test. A figure closes each subsection and plots the cumulative return of the five sleeves and of the two portfolios over the sample window.</w:t>
      </w:r>
    </w:p>
    <w:p w14:paraId="1C14AEA4" w14:textId="77777777" w:rsidR="00576CDE" w:rsidRDefault="00000000">
      <w:pPr>
        <w:keepNext/>
        <w:spacing w:before="120"/>
      </w:pPr>
      <w:r>
        <w:rPr>
          <w:b/>
          <w:i/>
          <w:sz w:val="22"/>
        </w:rPr>
        <w:t>4.1.1 Metals</w:t>
      </w:r>
    </w:p>
    <w:p w14:paraId="1C14AEA4" w14:textId="77777777" w:rsidR="00576CDE" w:rsidRDefault="00000000">
      <w:r>
        <w:rPr/>
        <w:t>Metals is the asset class in which Value, and only Value, has an edge. The Value sleeve earns an IR of 0.38 (return 4.1%, volatility 10.8%, maximum drawdown -27.3%) and is positive in each subperiod: 0.34 in P1, 0.08 in P2 and 0.76 in P3, the P2 figure being small. None of the other four sleeves has a comparable record (Table 5). Momentum has an IR of -0.32 and a maximum drawdown of -60.6%, Carry earns 0.13, Carry-Momentum -0.08 and Skewness -0.08, and each of these is positive in at least one subperiod and not positive in another. Figure 1 shows the same ordering in cumulative terms: the Value sleeve finishes the window far above its starting level, Momentum finishes furthest below, and the two portfolio lines stay close to zero. The paragraphs below take the sleeves in turn, starting with Momentum and then the two curve-based rules.</w:t>
      </w:r>
    </w:p>
    <w:p w14:paraId="1C14AEA4" w14:textId="77777777" w:rsidR="00576CDE" w:rsidRDefault="00000000">
      <w:r>
        <w:rPr/>
        <w:t>Momentum loses in two of the three subperiods, with an IR of -0.43 in P1 and -0.55 in P3, and is roughly flat in P2 (0.05). The loss is not spread evenly across the four metals. Over the full sample only Aluminium has a positive Momentum IR (0.22), against -0.31 in Copper, -0.16 in Zinc and -0.56 in Lead. In P3 the IR is 0.64 in Aluminium but -1.15 in Lead, -0.51 in Zinc and -0.32 in Copper. The P3 losses are consistent with the price path of 2021 to 2023. Aluminium peaked at $3,876 on 4 March 2022 in our series (the LME intraday record, about $4,073 in March, followed fears for European smelters under the energy crisis and for Russian supply) and was down to $2,076 by December 2023. Zinc fell from $4,523 in April 2022 to $2,240 in May 2023. A trend rule that follows a sharp rise is exposed to losses when the rise reverses at this speed.</w:t>
      </w:r>
    </w:p>
    <w:p w14:paraId="1C14AEA4" w14:textId="77777777" w:rsidR="00576CDE" w:rsidRDefault="00000000">
      <w:r>
        <w:rPr/>
        <w:t>Carry and Carry-Momentum earn a positive IR only in P1. Carry has an IR of 0.13 over the full sample (return 1.6%, volatility 12.3%) and Carry-Momentum -0.08 (return -1.0%, maximum drawdown -57.6%). In P1 they earn 0.43 and 0.76. In P2 Carry is flat (0.02) and Carry-Momentum is negative (-0.57), and in P3 both are negative (-0.05 and -0.43). The P1 Carry result comes from three metals: Aluminium (0.62), Zinc (0.36) and Lead (0.36). Their curves were in persistent contango, with an average F1-F13 slope of -4.3%, -2.3% and -1.8% and backwardation on only 1%, 3% and 1% of days. This is consistent with the years of large LME stocks, aluminium financing deals and warehouse queues of more than two years reported by Reuters and the LME, whose first queue report in May 2014 put the longest aluminium wait at 748 days. Copper, whose curve was close to flat (backwardated on 48% of days), lost in P1 (-0.29).</w:t>
      </w:r>
    </w:p>
    <w:p w14:paraId="1C14AEA4" w14:textId="77777777" w:rsidR="00576CDE" w:rsidRDefault="00000000">
      <w:r>
        <w:rPr/>
        <w:t>After P1 the curves changed, and the Carry record did not follow. Contango in Aluminium eased (average slope -4.3% in P1, -2.6% in P2 and -2.3% in P3). Zinc moved into backwardation (1.2% in P2 and 1.2% in P3), and the contango in Lead first eased and then deepened again (-1.8% in P1, -0.8% in P2 and -2.8% in P3). Carry-Momentum, which responds to changes in the slope, is negative in both later subperiods (-0.57 and -0.43), and none of these changes brought back the P1 result. The pattern is consistent with a class in which curve signals paid off while a few metals sat in a persistent and extreme contango, and then lost that edge. It does not support a claim that term-structure information is stable in Metals.</w:t>
      </w:r>
    </w:p>
    <w:p w14:paraId="1C14AEA4" w14:textId="77777777" w:rsidR="00576CDE" w:rsidRDefault="00000000">
      <w:r>
        <w:rPr/>
        <w:t>Value is the sleeve that works, and it works in every metal: the product-level IRs run from 0.09 to 0.42, all positive. Blending the four metals reduces risk, since the sleeve has a volatility of 10.8% against an average of 15.9% for the single-metal Value sleeves. The P3 result of 0.76 comes from the metals that rose far above their five-year averages and then fell back, Lead (0.89), Zinc (0.71) and Aluminium (0.58), the same declines from the 2022 peaks described above. Copper is the exception with 0.13, and its price path ran the other way. After falling to $7,162 in July 2022, its price rose to $14,851 on 22 September 2026, the highest value in our series (market sources report an LME three-month record of about $14,800 to $14,875 on 9 and 10 September), which market reports tie to US tariff turmoil, tight concentrate supply and demand from electrification and data centres. Value also diversifies the other sleeves: its correlation with Momentum is -0.50, the most negative among the five Metals sleeves (Section 4.4).</w:t>
      </w:r>
    </w:p>
    <w:p w14:paraId="1C14AEA4" w14:textId="77777777" w:rsidR="00576CDE" w:rsidRDefault="00000000">
      <w:r>
        <w:rPr/>
        <w:t>Skewness has no stable edge in Metals. Its IR is -0.08 over the full sample (return -1.0%, volatility 12.0%), negative in P1 (-0.23) and P3 (-0.33) and positive in P2 (0.35). No single metal carries a lasting signal: the full-sample IRs are 0.01 in Copper, -0.02 in Aluminium, 0.02 in Lead and -0.16 in Zinc, and every metal changes sign between P1 and P2 (Aluminium 0.45, -0.40 and -0.06 in P1, P2 and P3; Zinc -0.54, 0.46 and -0.36). The sleeve is long on 55% of days in Copper, 48% in Zinc and 47% in Lead but on only 23% in Aluminium. Before costs, the short legs lose in Copper (-0.24 in log return) and Zinc (-0.62) and earn in Lead (0.31) and Aluminium (0.06). Its returns in Metals therefore come from episodes and not from a premium that persists.</w:t>
      </w:r>
    </w:p>
    <w:p w14:paraId="1C14AEA4" w14:textId="77777777" w:rsidR="00576CDE" w:rsidRDefault="00000000">
      <w:r>
        <w:rPr/>
        <w:t>The two asset-class portfolios do not improve on the best sleeve. Equal Weight has an IR of -0.04 and Inverse Vol 0.08, both below the Value sleeve alone (0.38), and Section 4.2 examines the portfolios. The Metals result is consistent in direction with the observation in Virtual Barrels (2023, p. 86) that in a diversified commodity risk premia book the sectors other than energy mainly serve to diversify. The comparison has limits. That statement concerns the contribution of each sector to the profits of a combined portfolio, whereas Table 5 measures each class on its own, and whether Metals diversifies the other classes is a question for Sections 4.3 and 4.4. Energy, to which we turn next, is the class in which the same rules earn the positive IRs that Metals lacks.</w:t>
      </w:r>
    </w:p>
    <w:p w14:paraId="1C14AEA4" w14:textId="77777777" w:rsidR="00576CDE" w:rsidRDefault="00000000">
      <w:pPr>
        <w:keepNext/>
        <w:jc w:val="center"/>
      </w:pPr>
      <w:r>
        <w:drawing>
          <wp:inline xmlns:a="http://schemas.openxmlformats.org/drawingml/2006/main" xmlns:pic="http://schemas.openxmlformats.org/drawingml/2006/picture">
            <wp:extent cx="5486400" cy="3269673"/>
            <wp:docPr id="1" name="Picture 1"/>
            <wp:cNvGraphicFramePr>
              <a:graphicFrameLocks noChangeAspect="1"/>
            </wp:cNvGraphicFramePr>
            <a:graphic>
              <a:graphicData uri="http://schemas.openxmlformats.org/drawingml/2006/picture">
                <pic:pic>
                  <pic:nvPicPr>
                    <pic:cNvPr id="0" name="fig_metals_combined.png"/>
                    <pic:cNvPicPr/>
                  </pic:nvPicPr>
                  <pic:blipFill>
                    <a:blip r:embed="rId9"/>
                    <a:stretch>
                      <a:fillRect/>
                    </a:stretch>
                  </pic:blipFill>
                  <pic:spPr>
                    <a:xfrm>
                      <a:off x="0" y="0"/>
                      <a:ext cx="5486400" cy="3269673"/>
                    </a:xfrm>
                    <a:prstGeom prst="rect"/>
                  </pic:spPr>
                </pic:pic>
              </a:graphicData>
            </a:graphic>
          </wp:inline>
        </w:drawing>
      </w:r>
    </w:p>
    <w:p w14:paraId="1C14AEA4" w14:textId="77777777" w:rsidR="00576CDE" w:rsidRDefault="00000000">
      <w:pPr>
        <w:jc w:val="center"/>
      </w:pPr>
      <w:r>
        <w:rPr>
          <w:b/>
          <w:sz w:val="20"/>
        </w:rPr>
        <w:t>Figure 1. Metals: combined strategy performance (cumulative return, 2012 to 2026)</w:t>
      </w:r>
    </w:p>
    <w:p w14:paraId="1C14AEA4" w14:textId="77777777" w:rsidR="00576CDE" w:rsidRDefault="00000000">
      <w:pPr>
        <w:keepNext/>
        <w:spacing w:before="120"/>
      </w:pPr>
      <w:r>
        <w:rPr>
          <w:b/>
          <w:i/>
          <w:sz w:val="22"/>
        </w:rPr>
        <w:t>4.1.2 Energy</w:t>
      </w:r>
    </w:p>
    <w:p w14:paraId="1C14AEA4" w14:textId="77777777" w:rsidR="00576CDE" w:rsidRDefault="00000000">
      <w:r>
        <w:rPr/>
        <w:t>Energy is the first of the two classes in which the core signals earn a premium. Carry-Momentum has the highest IR of the five sleeves (0.78, return 18.9%, volatility 24.1%, maximum drawdown -34.0%), followed by Momentum (0.50) and Carry (0.46), and all three are positive in each subperiod (Carry-Momentum 0.81, 0.90 and 0.69 in P1, P2 and P3; Momentum 0.63, 0.64 and 0.24; Carry 0.68, 0.57 and 0.20). Value is the exception, with a full-sample IR of -0.14. The premium is large but not smooth: the three positive sleeves have volatilities of 24.1% to 28.5%, and the Momentum and Carry sleeves have maximum drawdowns of -55.4% and -49.6%. Momentum and Carry are also weakest in P3, the most recent subperiod. Figure 2 shows the ordering in cumulative terms, with Carry-Momentum finishing highest, Value below its starting level, and the Equal Weight and Inverse Vol portfolio lines almost on top of each other.</w:t>
      </w:r>
    </w:p>
    <w:p w14:paraId="1C14AEA4" w14:textId="77777777" w:rsidR="00576CDE" w:rsidRDefault="00000000">
      <w:r>
        <w:rPr/>
        <w:t>The Momentum return was earned in a few years. Calendar years 2014, 2015, 2020 and 2021 account for 95% of the sleeve's cumulative log return. They coincide with the fall in WTI from $107 on 20 June 2014 to $26 on 11 February 2016 in our series, which followed OPEC's decision of 27 November 2014 to hold output against rising US shale supply, with the demand collapse of 2020 and with the recovery of 2021. P3 is the weakest subperiod (0.24) even though it contains the March 2022 spike to $124 after Russia's invasion of Ukraine, a year that adds a further 14% of the total. The war between the United States, Israel and Iran that began on 28 February 2026 then disrupted Gulf supply on a scale that the International Energy Agency calls the largest in the history of the oil market, and Brent rose from $72 on 27 February to $118 on 31 March. The first nine months of 2026 alone account for 23% of the cumulative log return, and the remaining years together subtract 32%. The shares exceed 100% for that reason.</w:t>
      </w:r>
    </w:p>
    <w:p w14:paraId="1C14AEA4" w14:textId="77777777" w:rsidR="00576CDE" w:rsidRDefault="00000000">
      <w:r>
        <w:rPr/>
        <w:t>Carry is weakest in P3, at 0.20, and the weakness is in crude oil: the P3 IR is -0.30 in WTI and -0.37 in Brent, against 0.72 in Heating Oil. This occurs although the WTI curve was at its most backwardated in P3, with the first contract above the third on 87% of days, against 24% in P1 and 46% in P2. The rule of Section 3.3 explains why a steep curve is not enough. Each pair's slope is compared with its own trailing 252 observations, so a curve that stays backwardated for a long time ceases to look unusual, and the signal can turn short in the middle of a long backwardation. Carry is therefore a measure of how backwardated the curve is relative to its recent past and not of the level of backwardation. This reading of the P3 weakness is consistent with the product results but is not tested separately.</w:t>
      </w:r>
    </w:p>
    <w:p w14:paraId="1C14AEA4" w14:textId="77777777" w:rsidR="00576CDE" w:rsidRDefault="00000000">
      <w:r>
        <w:rPr/>
        <w:t>Value is the one core sleeve with a negative full-sample IR (-0.14, return -3.7%, maximum drawdown -70.4%). It is negative in P1 (-0.40) and P3 (-0.13) and marginally positive in P2 (0.09). The failure is broad. Value is negative in four of the five products, with IRs from -0.23 to -0.07, and flat in Brent (0.02), so no single product accounts for it. The P1 loss is consistent with the price path of 2014 to 2016. The fall of WTI from $107 to $26 behaved as a trend and not as a cycle that reverts, which is the environment in which a rule that buys cheap and sells dear loses. Value is also strongly negatively correlated with the two sleeves that work: -0.49 with Momentum and -0.51 with Carry, the same sign as in Metals (-0.50 with Momentum).</w:t>
      </w:r>
    </w:p>
    <w:p w14:paraId="1C14AEA4" w14:textId="77777777" w:rsidR="00576CDE" w:rsidRDefault="00000000">
      <w:r>
        <w:rPr/>
        <w:t>The decomposition by product shows that the Energy result is carried by the four oil products. Momentum and Carry-Momentum both have positive IRs in WTI, Brent, RBOB Gasoline and Heating Oil, between 0.29 and 0.85. Natural Gas is the outlier. Its Momentum has no edge (0.02) and its Carry-Momentum earns 0.30, almost all of it in P3 (-0.07 in P1, 0.08 in P2 and 0.86 in P3). The Natural Gas curve between the first and third contracts was in contango on 87%, 75% and 74% of days in the three subperiods, and Henry Hub averaged $2.77 in 2012, the lowest since 1999, on a mild winter, high storage and rising shale output (US Energy Information Administration). The Natural Gas result is consistent with a market whose price moves are driven by weather and regional basis more than by the term-structure logic that works in the oil products. It also suggests that the oil products and not the class as a whole are the better description of the sleeves above.</w:t>
      </w:r>
    </w:p>
    <w:p w14:paraId="1C14AEA4" w14:textId="77777777" w:rsidR="00576CDE" w:rsidRDefault="00000000">
      <w:r>
        <w:rPr/>
        <w:t>Skewness earns an IR of 0.17 in Energy (return 4.8%, volatility 28.0%, maximum drawdown -68.1%), negative in P1 (-0.46) and positive in P2 (0.34) and P3 (0.52). It works in the four oil products (WTI 0.32, Brent 0.39, RBOB Gasoline 0.33 and Heating Oil 0.24) and fails in Natural Gas (-0.39). The P2 and P3 results are largely one long position. The signal turned long in WTI on 11 March 2020, in the middle of the 2020 collapse (the May contract settled at -$37.63 on 20 April, a value that our series replaces with an imputed $16.01, Section 2.3). Before costs, the position lost 0.49 in log return over March and April 2020 and then earned 1.21 from May 2020 to December 2021 as prices recovered. The trailing-year skewness of oil returns then stayed negative for years, so the sleeve was long on 99% of P3 days in WTI, 100% in Brent and 100% in RBOB, and it captured both the 2022 spike and the 2026 rally (P3 IR of 0.75 in WTI and 0.85 in RBOB). In P1 the same rule was long on 50% of WTI days and lost on those days (-0.76 in log return) as oil fell.</w:t>
      </w:r>
    </w:p>
    <w:p w14:paraId="1C14AEA4" w14:textId="77777777" w:rsidR="00576CDE" w:rsidRDefault="00000000">
      <w:r>
        <w:rPr/>
        <w:t>Natural Gas offsets part of this gain. The long leg of its Skewness position loses 3.57 in log return over the sample before costs, and the sleeve ends 96% below its starting value. The Energy Skewness sleeve has low correlations with the other four sleeves (-0.15 with Momentum, -0.04 with Carry, -0.13 with Carry-Momentum and -0.15 with Value). Taken together, the Skewness result is that of a rule that happened to hold the right side of one extended oil recovery, and it differs in kind from the Momentum, Carry and Carry-Momentum results, which are positive in each subperiod. We therefore read it as episodic and do not count it as a premium of the same standing.</w:t>
      </w:r>
    </w:p>
    <w:p w14:paraId="1C14AEA4" w14:textId="77777777" w:rsidR="00576CDE" w:rsidRDefault="00000000">
      <w:r>
        <w:rPr/>
        <w:t>Two earlier studies allow a comparison, with differences in method and sample that limit it. Fernandez-Perez, Fuertes and Miffre (2021) sort energy futures contracts each month and hold long-short portfolios on seven signals over July 2001 to March 2019, in the cross-section and not, as here, with one position per product. They report premia from the slope of the term structure, hedging pressure, speculative pressure and momentum, and none from value, liquidity or skewness. Our Energy results agree in direction on the positive record of Momentum and of the curve-based signals and on the absence of a reliable result for Value or Skewness (their Value premium is positive but statistically insignificant, whereas our Energy Value IR is negative), but our sample is later and our design differs, so we do not compare the size of the premia.</w:t>
      </w:r>
    </w:p>
    <w:p w14:paraId="1C14AEA4" w14:textId="77777777" w:rsidR="00576CDE" w:rsidRDefault="00000000">
      <w:r>
        <w:rPr/>
        <w:t>Bogorad (2025a) applies momentum, carry and value rules to a six-contract energy universe that includes Gasoil, over January 2015 to December 2025, with short-horizon momentum crossovers and carry measured on later tenors. Its portfolio of these contracts has a Momentum IR of -0.08 and a Carry IR of 0.31, the latter positive in both of its subsamples. Our Carry agrees in sign, but our Momentum is positive. The sample start, the universe, the crossover horizons and the tenors differ, and our Momentum return is concentrated in 2014, 2015, 2020 and 2021 while Bogorad's window opens in January 2015, so we cannot attribute the difference to one of these.</w:t>
      </w:r>
    </w:p>
    <w:p w14:paraId="1C14AEA4" w14:textId="77777777" w:rsidR="00576CDE" w:rsidRDefault="00000000">
      <w:r>
        <w:rPr/>
        <w:t>The Energy result is also in line in direction with Virtual Barrels (2023, p. 86), who notes that the largest share of the profits of a diversified commodity risk premia book typically comes from energy futures. In Table 5 Energy is second only to NGL, which we treat as a separate class, on the Equal Weight IR. The record of Carry-Momentum in all three subperiods is consistent with changes in the slope of the curve carrying information in oil markets, as the theory of storage and the hedging pressure hypothesis of Section 1 would suggest, but our design cannot separate these explanations, and Section 5 returns to the question. The Equal Weight and Inverse Vol portfolios earn 0.76 and 0.78, almost the same, and both are positive in every subperiod (Equal Weight 0.46, 1.22 and 0.60; Inverse Vol 0.49, 1.27 and 0.60), as Section 4.2 discusses. Precious Metals, which we take next, is a class in which the same four rules produce a very different record.</w:t>
      </w:r>
    </w:p>
    <w:p w14:paraId="1C14AEA4" w14:textId="77777777" w:rsidR="00576CDE" w:rsidRDefault="00000000">
      <w:pPr>
        <w:keepNext/>
        <w:jc w:val="center"/>
      </w:pPr>
      <w:r>
        <w:drawing>
          <wp:inline xmlns:a="http://schemas.openxmlformats.org/drawingml/2006/main" xmlns:pic="http://schemas.openxmlformats.org/drawingml/2006/picture">
            <wp:extent cx="5486400" cy="3269673"/>
            <wp:docPr id="2" name="Picture 2"/>
            <wp:cNvGraphicFramePr>
              <a:graphicFrameLocks noChangeAspect="1"/>
            </wp:cNvGraphicFramePr>
            <a:graphic>
              <a:graphicData uri="http://schemas.openxmlformats.org/drawingml/2006/picture">
                <pic:pic>
                  <pic:nvPicPr>
                    <pic:cNvPr id="0" name="fig_energy_combined.png"/>
                    <pic:cNvPicPr/>
                  </pic:nvPicPr>
                  <pic:blipFill>
                    <a:blip r:embed="rId10"/>
                    <a:stretch>
                      <a:fillRect/>
                    </a:stretch>
                  </pic:blipFill>
                  <pic:spPr>
                    <a:xfrm>
                      <a:off x="0" y="0"/>
                      <a:ext cx="5486400" cy="3269673"/>
                    </a:xfrm>
                    <a:prstGeom prst="rect"/>
                  </pic:spPr>
                </pic:pic>
              </a:graphicData>
            </a:graphic>
          </wp:inline>
        </w:drawing>
      </w:r>
    </w:p>
    <w:p w14:paraId="1C14AEA4" w14:textId="77777777" w:rsidR="00576CDE" w:rsidRDefault="00000000">
      <w:pPr>
        <w:jc w:val="center"/>
      </w:pPr>
      <w:r>
        <w:rPr>
          <w:b/>
          <w:sz w:val="20"/>
        </w:rPr>
        <w:t>Figure 2. Energy: combined strategy performance (cumulative return, 2012 to 2026)</w:t>
      </w:r>
    </w:p>
    <w:p w14:paraId="1C14AEA4" w14:textId="77777777" w:rsidR="00576CDE" w:rsidRDefault="00000000">
      <w:pPr>
        <w:keepNext/>
        <w:spacing w:before="120"/>
      </w:pPr>
      <w:r>
        <w:rPr>
          <w:b/>
          <w:i/>
          <w:sz w:val="22"/>
        </w:rPr>
        <w:t>4.1.3 Precious Metals</w:t>
      </w:r>
    </w:p>
    <w:p w14:paraId="1C14AEA4" w14:textId="77777777" w:rsidR="00576CDE" w:rsidRDefault="00000000">
      <w:r>
        <w:rPr/>
        <w:t>Precious Metals shows no clear premium from the core signals. Momentum (IR -0.24), Carry (-0.08), Carry-Momentum (-0.23) and Value (-0.06) all have a negative information ratio over the sample window, and Skewness is the only sleeve with a positive one, a small 0.10. Table 5 sets these results against the other asset classes. Product by product, no core signal works across the four metals: the best core result in a single metal is Carry in Silver (IR 0.16), and Palladium is the weakest metal for Momentum, Carry and Carry-Momentum. The subsections that follow take the sleeves in turn and relate the subperiod pattern to the market context, wording each link as consistent with the results and not as a test.</w:t>
      </w:r>
    </w:p>
    <w:p w14:paraId="1C14AEA4" w14:textId="77777777" w:rsidR="00576CDE" w:rsidRDefault="00000000">
      <w:r>
        <w:rPr/>
        <w:t>Momentum earns an annualised return of -4.9% at a volatility of 20.6%, with a maximum drawdown of -73.2% and an IR of -0.24. It is flat in P1 (IR 0.06) and negative in P2 (-0.46) and P3 (-0.29), and no metal earns a clear positive result (Gold 0.03, Silver -0.05, Platinum -0.15, Palladium -0.37). Gold Momentum has two good years, 2013, when the front-month price fell by 28% and the position earned a log return of 0.25, and 2025 (0.36), and no other year above 0.11. A possible reason is that trend rules have little to extract when returns follow macro variables instead of their own history. The weekly correlation between gold returns and changes in the 10-year real yield (FRED series DFII10) is -0.39 over the sample, -0.64 in P2 and -0.24 in P3, which is consistent with that reading.</w:t>
      </w:r>
    </w:p>
    <w:p w14:paraId="1C14AEA4" w14:textId="77777777" w:rsidR="00576CDE" w:rsidRDefault="00000000">
      <w:r>
        <w:rPr/>
        <w:t>Carry (annualised return -1.3%, IR -0.08) and Carry-Momentum (-3.7%, IR -0.23) show no consistent edge. Carry is negative in P1 (IR -0.14) and P2 (-0.09) and close to zero in P3 (-0.02), while Carry-Momentum is slightly negative in P1 (-0.08), positive in P2 (0.31) and clearly negative in P3 (-0.75). The P3 result is consistent with a higher cost of carrying the physical metal when real yields are high, which pushes the curves of Gold and Silver deeper into contango. The 10-year real yield averaged 1.60% in P3 against 0.03% in P2, and the average slope of the long tenor pair (Table 3) was -4.5% for Gold (F1-F7) in P3 against -1.8% in P2 and -0.6% in P1, and -4.5% for Silver (F1-F6) in P3 against -2.3% and -1.1%.</w:t>
      </w:r>
    </w:p>
    <w:p w14:paraId="1C14AEA4" w14:textId="77777777" w:rsidR="00576CDE" w:rsidRDefault="00000000">
      <w:r>
        <w:rPr/>
        <w:t>The choice of tenor pairs does not change the conclusion. For reference, Carry has a negative IR on the short pair alone (F1-F2, -0.25), on the long pair alone (-0.18) and on their sum (-0.08), and Carry-Momentum is negative on the short pair (-0.21) and on the sum (-0.23) and only marginally positive on the long pair alone (0.04); the sum of Sections 3.3 and 3.4 remains the rule. At the product level, Carry is close to zero or slightly positive in Gold (0.01), Silver (0.16) and Platinum (0.06), and the negative sleeve result comes from Palladium (-0.31), which is also the weakest metal for Momentum (-0.37) and Carry-Momentum (-0.28).</w:t>
      </w:r>
    </w:p>
    <w:p w14:paraId="1C14AEA4" w14:textId="77777777" w:rsidR="00576CDE" w:rsidRDefault="00000000">
      <w:r>
        <w:rPr/>
        <w:t>Value (annualised return -1.1%, IR -0.06) has no full-sample edge, and the picture differs by metal: Platinum is the only metal with a positive IR (0.11), Silver (-0.06) and Palladium (-0.03) are close to zero and Gold is negative (-0.23). By subperiod the sleeve is flat in P1 (0.05) and negative in P2 (-0.07) and P3 (-0.13). Gold's loss comes from P3 (IR -0.61). The rule sells a metal whose third-contract price is more than 10% above its five-year average, and the front-month gold price rose from $1,662 at the end of September 2022 to $4,341 at the end of 2025, while central banks bought 863 tonnes in 2025 against an annual average of 473 tonnes in 2010 to 2021 (World Gold Council). Gold's Value position was short on more than 90% of the days of 2025 and lost 0.45 in log return in that year.</w:t>
      </w:r>
    </w:p>
    <w:p w14:paraId="1C14AEA4" w14:textId="77777777" w:rsidR="00576CDE" w:rsidRDefault="00000000">
      <w:r>
        <w:rPr/>
        <w:t>Skewness (annualised return 2.1%, volatility 20.3%, maximum drawdown -40.4%, IR 0.10) is the only positive sleeve of the class, and it is small. It is negative in P1 (IR -0.26) and positive in P2 (0.25) and P3 (0.26). Silver is the best metal (IR 0.15; Gold 0.02, Platinum 0.07, Palladium 0.03), so the sleeve result rests mainly on one metal. The gain in P3 comes from long positions: the sleeve was long on 71% of the days of P3 in Gold and 57% in Silver, and the long legs earned 0.51 and 0.91 in log return before costs. The gain is concentrated in 2025, when the sleeve returned 0.45 in Gold and 0.83 in Silver, and for Silver in 2026 (0.52 to 23 September), after a loss of 0.31 in 2022.</w:t>
      </w:r>
    </w:p>
    <w:p w14:paraId="1C14AEA4" w14:textId="77777777" w:rsidR="00576CDE" w:rsidRDefault="00000000">
      <w:r>
        <w:rPr/>
        <w:t>Because the position stayed long during the rally in gold, the result describes exposure to that rally more than a stable premium, a reading that agrees with the directional character of the Skewness sleeve noted in Section 3.6. The sleeve has a correlation of -0.62 with Value, the most negative pairing in the class, which is consistent with Value selling the metals that have risen while Skewness stays long in them, and of 0.20 with Carry. Because of these offsets, adding Skewness to the four core sleeves trims the loss of the class portfolios but does not make them positive.</w:t>
      </w:r>
    </w:p>
    <w:p w14:paraId="1C14AEA4" w14:textId="77777777" w:rsidR="00576CDE" w:rsidRDefault="00000000">
      <w:r>
        <w:rPr/>
        <w:t>The Equal Weight portfolio (EW PORT; annualised return -1.8%, volatility 7.8%, maximum drawdown -35.7%, IR -0.23) and the Inverse Vol portfolio (-2.3%, 7.7%, -39.1%, IR -0.29) are both negative in the full sample and in every subperiod (Equal Weight P1 -0.20, P2 -0.04, P3 -0.40; Inverse Vol -0.38, -0.11 and -0.39). Skewness reduces the loss from -0.31 to -0.23 for Equal Weight and from -0.36 to -0.29 for Inverse Vol. In Figure 3 the portfolio lines fall by less than the Momentum line, whose cumulative return peaks in 2020 and reaches its low in 2025, while the Skewness line rises through 2025 and early 2026 and then gives back part of the gain. Section 4.2 treats the asset-class portfolios in full.</w:t>
      </w:r>
    </w:p>
    <w:p w14:paraId="1C14AEA4" w14:textId="77777777" w:rsidR="00576CDE" w:rsidRDefault="00000000">
      <w:r>
        <w:rPr/>
        <w:t>Virtual Barrels (2023, p. 86) attributes the success of these factor strategies in energy to the role of storage and to the behaviour of large market participants. Gold offers little of the second ingredient: producers hedge little, the global producer hedge book standing at 218 tonnes in the third quarter of 2017 and below 200 tonnes at the end of 2024 (World Gold Council), so there are few commercial hedgers who would pay speculators for taking the other side. This is consistent with the absence of a premium in the core sleeves, although we do not test it. NGL, taken up next, is the opposite case: the core signals earn a positive IR in every subperiod, as they do in Energy, and earn more.</w:t>
      </w:r>
    </w:p>
    <w:p w14:paraId="1C14AEA4" w14:textId="77777777" w:rsidR="00576CDE" w:rsidRDefault="00000000">
      <w:pPr>
        <w:keepNext/>
        <w:jc w:val="center"/>
      </w:pPr>
      <w:r>
        <w:drawing>
          <wp:inline xmlns:a="http://schemas.openxmlformats.org/drawingml/2006/main" xmlns:pic="http://schemas.openxmlformats.org/drawingml/2006/picture">
            <wp:extent cx="5486400" cy="3269673"/>
            <wp:docPr id="3" name="Picture 3"/>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486400" cy="3269673"/>
                    </a:xfrm>
                    <a:prstGeom prst="rect"/>
                  </pic:spPr>
                </pic:pic>
              </a:graphicData>
            </a:graphic>
          </wp:inline>
        </w:drawing>
      </w:r>
    </w:p>
    <w:p w14:paraId="1C14AEA4" w14:textId="77777777" w:rsidR="00576CDE" w:rsidRDefault="00000000">
      <w:pPr>
        <w:jc w:val="center"/>
      </w:pPr>
      <w:r>
        <w:rPr>
          <w:b/>
          <w:sz w:val="20"/>
        </w:rPr>
        <w:t>Figure 3. Precious Metals: combined strategy performance (cumulative return, 2012 to 2026)</w:t>
      </w:r>
    </w:p>
    <w:p w14:paraId="1C14AEA4" w14:textId="77777777" w:rsidR="00576CDE" w:rsidRDefault="00000000">
      <w:pPr>
        <w:keepNext/>
        <w:spacing w:before="120"/>
      </w:pPr>
      <w:r>
        <w:rPr>
          <w:b/>
          <w:i/>
          <w:sz w:val="22"/>
        </w:rPr>
        <w:t>4.1.4 NGL</w:t>
      </w:r>
    </w:p>
    <w:p w14:paraId="1C14AEA4" w14:textId="77777777" w:rsidR="00576CDE" w:rsidRDefault="00000000">
      <w:r>
        <w:rPr/>
        <w:t>NGL is the strongest asset class in the study. Momentum (IR 1.13), Carry (1.08) and Carry-Momentum (0.71) are positive in the full sample and in each of P1 to P3, and the Equal Weight and Inverse Vol portfolios earn IRs of 1.25 and 1.16, against 0.76 and 0.78 for Energy, the next best class under either construction (Table 5). The portfolio IR is also the highest of the five classes in each subperiod under both constructions (Table 6), so the result does not come from one episode. Value and Skewness are the exceptions within the class: both are small in the full sample (IR 0.08 and 0.06), negative in P1 (Value -0.41, Skewness -0.89) and positive in P3 (0.87 and 0.12), and we show below that each rests on one regime.</w:t>
      </w:r>
    </w:p>
    <w:p w14:paraId="1C14AEA4" w14:textId="77777777" w:rsidR="00576CDE" w:rsidRDefault="00000000">
      <w:r>
        <w:rPr/>
        <w:t>Momentum earns an annualised return of 31.3% at a volatility of 27.8%, with a maximum drawdown of -54.2%. By subperiod the IR is 1.06 in P1, 1.87 in P2 and 0.41 in P3. It works in every product (IR 0.67 to 1.10), and its weakest product has the highest IR of any signal's weakest product in any asset class. The cumulative return of the sleeve peaks on 15 February 2024 and retraces part of the gain afterwards (Figure 4), which is why the P3 IR is the lowest of the three. The US export build-out is a possible backdrop for persistent trends: Mont Belvieu propane traded at an average discount of $0.89 per gallon to international prices in 2012, when export terminals were at capacity (EIA), and US propane exports averaged a record 1.8 million barrels per day in 2024 (EIA). Ethane exports reached 492,000 barrels per day in 2024 against 65,000 in 2015, and normal butane exports 491,000 against 97,000 (OPIS, citing EIA). This is consistent with the results but is not tested.</w:t>
      </w:r>
    </w:p>
    <w:p w14:paraId="1C14AEA4" w14:textId="77777777" w:rsidR="00576CDE" w:rsidRDefault="00000000">
      <w:r>
        <w:rPr/>
        <w:t>Bogorad (2025a) is the closest comparison. He studies an equally weighted Momentum portfolio of Propane, Ethane and Butane over January 2015 to December 2025 and reports an IR of 0.99 for the full period, 1.23 up to the end of 2021 and 0.46 from 2022 (his Table 2), so Momentum is profitable in both of his subsamples but weaker after 2022. Our Momentum IR of 1.13 and its decline to 0.41 in P3 point the same way. The two sets of figures are not like for like. His contracts are ICE-listed, his window is shorter, his crossovers are (1,5), (5,20) and (10,60) against our (1,20), (5,60) and (20,250), his split date is 2 January 2022, and our universe adds Isobutane and starts in 2012. He also excludes the average-settled front month and rolls into the nearest actively traded tenor, the same concern that leads us to use the second and third generic contracts as front and second contract (Section 2.3). Bogorad (2025b) studies processing spreads between an NGL and its petrochemical derivative, a different strategy that we do not replicate.</w:t>
      </w:r>
    </w:p>
    <w:p w14:paraId="1C14AEA4" w14:textId="77777777" w:rsidR="00576CDE" w:rsidRDefault="00000000">
      <w:r>
        <w:rPr/>
        <w:t>Carry (annualised return 28.2%, volatility 26.1%, maximum drawdown -46.5%, IR 1.08) is positive in every subperiod (P1 1.45, P2 1.28, P3 0.48) and in every product (IR 0.26 to 0.98). Averaged over the four products, the F2-F4 slope is 3.7% in December to March, a backwardated curve, and -1.7% in June to September, a contango, which is consistent with seasonal demand and inventory cycles that Carry can follow. Bogorad (2025a) finds NGL carry substantially weaker and of little stand-alone value, and attributes this to term structures that inventory hedgers do not dominate and that are shaped by fractionation constraints and regional bottlenecks. Our Carry result is much stronger. The methods and samples differ: he measures the slope between F4 and F15, we sum the z-scores of two slopes (F2-F4 and F2-F14, Table 3), and his window is 2015 to 2025. We do not go beyond these differences in explaining it.</w:t>
      </w:r>
    </w:p>
    <w:p w14:paraId="1C14AEA4" w14:textId="77777777" w:rsidR="00576CDE" w:rsidRDefault="00000000">
      <w:r>
        <w:rPr/>
        <w:t>Carry-Momentum (annualised return 18.6%, IR 0.71) is positive in every subperiod (0.54, 0.73 and 0.93) and in every product (IR 0.16 to 0.86). Unlike Momentum and Carry, its IR is highest in P3. Momentum and Carry weaken in P3 (IR 0.41 and 0.48) while Carry-Momentum (0.93) and Value (0.87) strengthen, and the class portfolios keep an IR of 1.00 (Equal Weight) and 1.00 (Inverse Vol) in P3 even though two of the sleeves weaken, which is consistent with this rotation. Value is the other source of the improvement and is the subject of the next paragraph.</w:t>
      </w:r>
    </w:p>
    <w:p w14:paraId="1C14AEA4" w14:textId="77777777" w:rsidR="00576CDE" w:rsidRDefault="00000000">
      <w:r>
        <w:rPr/>
        <w:t>The P3 result for Value (0.87) is not a one-year event: the sleeve earns a positive log return in each year from 2022 to 2026, and 2026 is its best year of the period (0.36, against 0.09 in 2025). It is led by Propane (IR 1.47 in P3) and Butane (1.09). Over the full sample the edge sits in Butane (0.26) and Isobutane (0.17), while Ethane (-0.10) and Propane (0.01) show none, and Propane's IR is -0.34 in P1, -0.42 in P2 and 1.47 in P3, so the class result is one of the P3 regime. The war that began on 28 February 2026 and the closure of the Strait of Hormuz disrupted around 30% of global LPG supply (Veson Nautical estimate) and sent US LPG exports to a record 3.3 million barrels per day in April 2026 (S&amp;P Global). In our series the Propane contract held by the strategy rose from $0.67 per gallon on 27 February to $0.90 on 27 March, which is consistent with the gain in 2026.</w:t>
      </w:r>
    </w:p>
    <w:p w14:paraId="1C14AEA4" w14:textId="77777777" w:rsidR="00576CDE" w:rsidRDefault="00000000">
      <w:r>
        <w:rPr/>
        <w:t>Skewness (annualised return 1.7%, volatility 27.2%, maximum drawdown -82.9%, IR 0.06) is a single-regime result. It is negative in all four products in P1 (IR -0.26 to -0.81) and positive in all four in P2 (0.16 to 1.82). By calendar year it loses 0.66 in 2012 and earns 1.09 in 2020 and 0.55 in 2021. The sleeve was short in all four products on 24 February 2020, before the collapse of that spring. Ethane's position earned 1.10 in log return before costs in March and April 2020, turning long on 20 March, and the other three products turned long on 11 March and earned 1.51 in Propane, 1.46 in Butane and 1.37 in Isobutane from May 2020 to December 2021, after which the sleeve stayed long on 79% or more of the days of P3 in every product. Its P3 IR of 0.12 is small beside the 2020 to 2021 gain.</w:t>
      </w:r>
    </w:p>
    <w:p w14:paraId="1C14AEA4" w14:textId="77777777" w:rsidR="00576CDE" w:rsidRDefault="00000000">
      <w:r>
        <w:rPr/>
        <w:t>The sleeve correlates at -0.25 with Momentum and -0.31 with Carry, the most negative pairings of any asset class for those two, and at 0.27 with Value. At the product level Skewness is positive in Ethane (0.27), about flat in Isobutane (0.05) and slightly negative in Propane (-0.08) and Butane (-0.08). The weak full-sample result is compatible with Fernandez-Perez, Fuertes and Miffre (2021), who find no skewness premium in energy futures; their sort is cross-sectional and runs over a different window, so the two results are not a like-for-like test. Here the sleeve matters mainly through diversification: adding it to the four core sleeves lowers the volatility of the Equal Weight portfolio from 15.4% to 12.5%, while the full-sample IR is almost unchanged (1.27 to 1.25; Inverse Vol 1.19 to 1.16).</w:t>
      </w:r>
    </w:p>
    <w:p w14:paraId="1C14AEA4" w14:textId="77777777" w:rsidR="00576CDE" w:rsidRDefault="00000000">
      <w:r>
        <w:rPr/>
        <w:t>The two portfolio constructions are close, with Equal Weight ahead on return, IR and drawdown: it earns 15.7% a year at a volatility of 12.5% with a maximum drawdown of -20.9%, against 14.2%, 12.3% and -21.5% for Inverse Vol. The Equal Weight IR is 0.66 in P1, 1.99 in P2 and 1.00 in P3, and the Inverse Vol IR 0.53, 1.83 and 1.00. Skewness moves the profile between subperiods: the Equal Weight IR falls in P1 from 1.15 to 0.66 and rises in P2 from 1.58 to 1.99. In Figure 4 the Momentum and Carry sleeves accumulate most of their gain after 2018 and dominate the scale of the chart, while the portfolio lines are smoother and sit far below them because they average five sleeves, two of which are close to zero. Section 4.2 sets the portfolios against those of the other classes. Agriculture, the last class, resembles Precious Metals: the core signals earn no premium and Skewness is the only positive sleeve.</w:t>
      </w:r>
    </w:p>
    <w:p w14:paraId="1C14AEA4" w14:textId="77777777" w:rsidR="00576CDE" w:rsidRDefault="00000000">
      <w:pPr>
        <w:keepNext/>
        <w:jc w:val="center"/>
      </w:pPr>
      <w:r>
        <w:drawing>
          <wp:inline xmlns:a="http://schemas.openxmlformats.org/drawingml/2006/main" xmlns:pic="http://schemas.openxmlformats.org/drawingml/2006/picture">
            <wp:extent cx="5486400" cy="3269673"/>
            <wp:docPr id="4" name="Picture 4"/>
            <wp:cNvGraphicFramePr>
              <a:graphicFrameLocks noChangeAspect="1"/>
            </wp:cNvGraphicFramePr>
            <a:graphic>
              <a:graphicData uri="http://schemas.openxmlformats.org/drawingml/2006/picture">
                <pic:pic>
                  <pic:nvPicPr>
                    <pic:cNvPr id="0" name="fig_ngl_combined.png"/>
                    <pic:cNvPicPr/>
                  </pic:nvPicPr>
                  <pic:blipFill>
                    <a:blip r:embed="rId11"/>
                    <a:stretch>
                      <a:fillRect/>
                    </a:stretch>
                  </pic:blipFill>
                  <pic:spPr>
                    <a:xfrm>
                      <a:off x="0" y="0"/>
                      <a:ext cx="5486400" cy="3269673"/>
                    </a:xfrm>
                    <a:prstGeom prst="rect"/>
                  </pic:spPr>
                </pic:pic>
              </a:graphicData>
            </a:graphic>
          </wp:inline>
        </w:drawing>
      </w:r>
    </w:p>
    <w:p w14:paraId="1C14AEA4" w14:textId="77777777" w:rsidR="00576CDE" w:rsidRDefault="00000000">
      <w:pPr>
        <w:jc w:val="center"/>
      </w:pPr>
      <w:r>
        <w:rPr>
          <w:b/>
          <w:sz w:val="20"/>
        </w:rPr>
        <w:t>Figure 4. NGL: combined strategy performance (cumulative return, 2012 to 2026)</w:t>
      </w:r>
    </w:p>
    <w:p w14:paraId="1C14AEA4" w14:textId="77777777" w:rsidR="00576CDE" w:rsidRDefault="00000000">
      <w:pPr>
        <w:keepNext/>
        <w:spacing w:before="120"/>
      </w:pPr>
      <w:r>
        <w:rPr>
          <w:b/>
          <w:i/>
          <w:sz w:val="22"/>
        </w:rPr>
        <w:t>4.1.5 Agriculture</w:t>
      </w:r>
    </w:p>
    <w:p w14:paraId="1C14AEA4" w14:textId="77777777" w:rsidR="00576CDE" w:rsidRDefault="00000000">
      <w:r>
        <w:rPr/>
        <w:t>Agriculture is, with Precious Metals, one of the two classes in which neither portfolio earns a positive IR, and none of its four core sleeves has an edge. Momentum (-0.12), Carry-Momentum (-0.34) and Value (-0.10) are negative over the full sample and Carry is flat (0.01). Skewness is the only sleeve with a positive IR of any size (0.25). The Equal Weight portfolio earns -0.15 (annualised return -0.8%, volatility 5.5%, maximum drawdown -26.5%) and the Inverse Vol portfolio -0.18 (-0.9%, 5.4%, -24.2%). The decomposition by product gives the same answer. The best core result in a single product is Carry in Soybean Oil (IR 0.22), and the weakest are Wheat Carry-Momentum (-0.53), Corn Value (-0.30) and Corn Momentum (-0.25). Figure 5 shows the same ordering in cumulative terms: Skewness finishes highest, Carry-Momentum finishes lowest, and the two portfolio lines rise to a peak in October 2014 and end below their starting level. The paragraphs below take the sleeves in turn.</w:t>
      </w:r>
    </w:p>
    <w:p w14:paraId="1C14AEA4" w14:textId="77777777" w:rsidR="00576CDE" w:rsidRDefault="00000000">
      <w:r>
        <w:rPr/>
        <w:t>Momentum earns an annualised return of -1.6% at a volatility of 12.8%, with a maximum drawdown of -47.7%. Its IR is -0.16 in P1, 0.11 in P2 and -0.31 in P3, so it loses in two of the three subperiods, and its cumulative return peaks in October 2014 and ends below its starting level. By product it is negative in Corn (-0.25), Wheat (-0.22), Soybean (-0.09) and Sugar (-0.07) and modestly positive in Soybean Oil (0.12) and Coffee (0.12). The P3 loss is consistent with the price path that opened that subperiod. Wheat peaked at $14.25 per bushel on 7 March 2022 after Russia's invasion of Ukraine and stood at $7.09 on 23 September 2026, Corn fell from $8.18 on 29 April 2022 to $5.29, and Soybean Oil from 90.6 cents per pound on 28 April 2022 to 67.3. The FAO food price index peaked in March 2022 at 159.3 points, the highest since 1990, and its 2023 average was 13.7% below that of 2022. A trend rule that follows a spike is exposed to a reversal of this kind, as it was in Metals.</w:t>
      </w:r>
    </w:p>
    <w:p w14:paraId="1C14AEA4" w14:textId="77777777" w:rsidR="00576CDE" w:rsidRDefault="00000000">
      <w:r>
        <w:rPr/>
        <w:t>Carry (annualised return 0.1%, volatility 11.6%, IR 0.01) and Carry-Momentum (-4.0%, volatility 11.7%, maximum drawdown -53.4%, IR -0.34) are negative in P1 (-0.13 and -0.23), positive in P2 (0.47 and 0.07) and weakest in P3 (-0.34 and -0.85). The P2 and P3 results turn on Coffee. Carry-Momentum in Coffee has an IR of 0.88 in P2, the period of the Brazilian frosts of July 2021, when arabica rose by 34% in a week in our series (19 to 26 July) to its highest front-month price since October 2014, and -0.64 in P3, with Carry at -0.61, after the price reached $4.39 per pound on 13 February 2025 in our front-month series and fell to $2.76 by 23 September 2026. Without Coffee, the class Carry-Momentum sleeve has an IR of -0.30 in P2, and the class Carry sleeve has an IR of 0.02 in P3 against -0.34 with it. Repeated spikes and retracements of this kind are consistent with slope signals that change sign without a lasting trend to follow.</w:t>
      </w:r>
    </w:p>
    <w:p w14:paraId="1C14AEA4" w14:textId="77777777" w:rsidR="00576CDE" w:rsidRDefault="00000000">
      <w:r>
        <w:rPr/>
        <w:t>The two-pair rule of Sections 3.3 and 3.4 does not rescue either sleeve. The Carry IR is -0.23 on the short pair (F1-F2) alone, 0.14 on the long pair alone and 0.01 on their sum. The Carry-Momentum IR is 0.03 on the short pair, -0.20 on the long pair and -0.34 on their sum. The sum therefore lifts Carry above the short pair but lowers Carry-Momentum below either single pair. Because we chose the combination by comparing results on this sample, we read these figures as a description of the sample and not as evidence for or against the rule, a point to which Section 5.5 returns.</w:t>
      </w:r>
    </w:p>
    <w:p w14:paraId="1C14AEA4" w14:textId="77777777" w:rsidR="00576CDE" w:rsidRDefault="00000000">
      <w:r>
        <w:rPr/>
        <w:t>Value (annualised return -1.3%, volatility 12.9%, maximum drawdown -47.9%, IR -0.10) is flat in P1 (-0.01), negative in P2 (-0.24) and slightly negative in P3 (-0.07). The P1 figure hides a split. Coffee earns 0.58 in that period, while Corn is the weakest product, with an IR of -0.50 and a loss in every year from 2012 to 2016 (log returns of -0.03, -0.20, -0.05, -0.19, -0.12). This is consistent with the US drought of 2012, which pushed corn to a record ($8.31 per bushel on 21 August in our series, with USDA projecting record season-average prices of $7.50 to $8.90 in August 2012). The rule sells a market that trades more than 10% above its five-year average, and it lost in each year from 2012 to 2016.</w:t>
      </w:r>
    </w:p>
    <w:p w14:paraId="1C14AEA4" w14:textId="77777777" w:rsidR="00576CDE" w:rsidRDefault="00000000">
      <w:r>
        <w:rPr/>
        <w:t>Skewness (annualised return 2.7%, volatility 11.1%, maximum drawdown -31.0%, IR 0.25) is the one clearly positive sleeve, with an IR of 0.32 in P1, -0.19 in P2 and 0.56 in P3. It works in four of the six products (Soybean Oil 0.41, Soybean 0.36, Corn 0.28 and Wheat 0.21) and is negative in Coffee (-0.28) and Sugar (-0.08). The clearest case is Wheat. Its returns are spike-prone, so the trailing-year skewness is positive for most of the sample and the sleeve is short on 86% of days, as Section 3.6 prescribes after spike-prone returns. That short leg earns 1.01 in log return before costs over the sample, of which 0.55 falls in P3 as Wheat declined from its March 2022 peak. In 2022, Corn, Soybean Oil and Soybean add 0.50, 0.46 and 0.37, and Wheat adds 0.36 in 2023. In Coffee, whose 2021 frost and 2025 record were both followed by sharp reversals, the signal loses on both legs (long leg -0.72, short leg -0.70).</w:t>
      </w:r>
    </w:p>
    <w:p w14:paraId="1C14AEA4" w14:textId="77777777" w:rsidR="00576CDE" w:rsidRDefault="00000000">
      <w:r>
        <w:rPr/>
        <w:t>The Skewness record is not a steady premium. The sleeve gains in 2014 and 2015 (log returns of 0.18 and 0.16), loses 0.16 in 2016, earns 0.27 in 2022 and reaches its cumulative high in January 2026 before giving back part of the gain, as Figure 5 shows. It is nearly uncorrelated with the other four sleeves (-0.04 with Momentum, -0.04 with Carry, -0.08 with Carry-Momentum and -0.14 with Value), which fits its role in the portfolios, where it trims the losses without removing them. The full-sample IRs improve from -0.26 to -0.15 for Equal Weight and from -0.27 to -0.18 for Inverse Vol when Skewness is added to the four core sleeves, and the P3 IRs from -0.69 to -0.44 and from -0.59 to -0.29. We read its gains as the product of particular episodes in grains and oilseeds and not as a premium of the kind found in NGL and Energy.</w:t>
      </w:r>
    </w:p>
    <w:p w14:paraId="1C14AEA4" w14:textId="77777777" w:rsidR="00576CDE" w:rsidRDefault="00000000">
      <w:r>
        <w:rPr/>
        <w:t>The two portfolios lose in P1 and P3 and gain slightly in P2. The Equal Weight IR is -0.09 in P1, 0.11 in P2 and -0.44 in P3, and the Inverse Vol IR -0.26, 0.05 and -0.29. The P3 losses are the main drag on the full-sample result: Equal Weight returns -2.7% a year in P3 against -0.5% in P1, and Inverse Vol loses more than Equal Weight in P1. The results are consistent with the view that spikes followed by reversals, in grains in 2022 and in coffee in 2024 and 2025, are the case that signals built on trend and curve slope handle worst. The reading is descriptive: we have run no significance tests, and the class rests on six products and a handful of episodes. Section 4.2 places the portfolios of all five classes side by side.</w:t>
      </w:r>
    </w:p>
    <w:p w14:paraId="1C14AEA4" w14:textId="77777777" w:rsidR="00576CDE" w:rsidRDefault="00000000">
      <w:pPr>
        <w:keepNext/>
        <w:jc w:val="center"/>
      </w:pPr>
      <w:r>
        <w:drawing>
          <wp:inline xmlns:a="http://schemas.openxmlformats.org/drawingml/2006/main" xmlns:pic="http://schemas.openxmlformats.org/drawingml/2006/picture">
            <wp:extent cx="5486400" cy="3269673"/>
            <wp:docPr id="5" name="Picture 5"/>
            <wp:cNvGraphicFramePr>
              <a:graphicFrameLocks noChangeAspect="1"/>
            </wp:cNvGraphicFramePr>
            <a:graphic>
              <a:graphicData uri="http://schemas.openxmlformats.org/drawingml/2006/picture">
                <pic:pic>
                  <pic:nvPicPr>
                    <pic:cNvPr id="0" name="fig_agri_combined.png"/>
                    <pic:cNvPicPr/>
                  </pic:nvPicPr>
                  <pic:blipFill>
                    <a:blip r:embed="rId12"/>
                    <a:stretch>
                      <a:fillRect/>
                    </a:stretch>
                  </pic:blipFill>
                  <pic:spPr>
                    <a:xfrm>
                      <a:off x="0" y="0"/>
                      <a:ext cx="5486400" cy="3269673"/>
                    </a:xfrm>
                    <a:prstGeom prst="rect"/>
                  </pic:spPr>
                </pic:pic>
              </a:graphicData>
            </a:graphic>
          </wp:inline>
        </w:drawing>
      </w:r>
    </w:p>
    <w:p w14:paraId="1C14AEA4" w14:textId="77777777" w:rsidR="00576CDE" w:rsidRDefault="00000000">
      <w:pPr>
        <w:jc w:val="center"/>
      </w:pPr>
      <w:r>
        <w:rPr>
          <w:b/>
          <w:sz w:val="20"/>
        </w:rPr>
        <w:t>Figure 5. Agriculture: combined strategy performance (cumulative return, 2012 to 2026)</w:t>
      </w:r>
    </w:p>
    <w:p w14:paraId="1C14AEA4" w14:textId="77777777" w:rsidR="00576CDE" w:rsidRDefault="00000000">
      <w:pPr>
        <w:keepNext/>
        <w:spacing w:before="160"/>
      </w:pPr>
      <w:r>
        <w:rPr>
          <w:b/>
          <w:sz w:val="24"/>
        </w:rPr>
        <w:t>4.2 Asset-Class Portfolios</w:t>
      </w:r>
    </w:p>
    <w:p w14:paraId="1C14AEA4" w14:textId="77777777" w:rsidR="00576CDE" w:rsidRDefault="00000000">
      <w:r>
        <w:rPr/>
        <w:t>Section 4.1 examined the five sleeves of each asset class one at a time. We now combine them into asset-class portfolios, under Equal Weight (EW PORT) and under Inverse Vol as defined in Section 3.9, and ask how the construction changes the picture. Table 7 gives the full-sample statistics and Table 6 the IR in each subperiod. The ranking of the classes does not depend on the construction. NGL is first (IR 1.25 under Equal Weight and 1.16 under Inverse Vol), followed by Energy (0.76 and 0.78), Metals (-0.04 and 0.08), Agriculture (-0.15 and -0.18) and Precious Metals (-0.23 and -0.29). Only NGL and Energy are clearly positive. Their volatilities are close (12.5% for NGL and 11.8% for Energy under Equal Weight), so the lead of NGL comes from return (15.7% against 9.0%).</w:t>
      </w:r>
    </w:p>
    <w:p w14:paraId="1C14AEA4" w14:textId="77777777" w:rsidR="00576CDE" w:rsidRDefault="00000000">
      <w:pPr>
        <w:keepNext/>
      </w:pPr>
      <w:r>
        <w:rPr>
          <w:b/>
          <w:sz w:val="22"/>
        </w:rPr>
        <w:t>Table 7: Asset-class portfolios: return, volatility, maximum drawdown and IR, full sample</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2160"/>
          </w:tcPr>
          <w:p>
            <w:pPr>
              <w:spacing w:after="0"/>
            </w:pPr>
            <w:r>
              <w:rPr>
                <w:b/>
                <w:sz w:val="19"/>
              </w:rPr>
              <w:t>Asset class</w:t>
            </w:r>
          </w:p>
        </w:tc>
        <w:tc>
          <w:tcPr>
            <w:tcW w:type="dxa" w:w="1872"/>
          </w:tcPr>
          <w:p>
            <w:pPr>
              <w:spacing w:after="0"/>
            </w:pPr>
            <w:r>
              <w:rPr>
                <w:b/>
                <w:sz w:val="19"/>
              </w:rPr>
              <w:t>Construction</w:t>
            </w:r>
          </w:p>
        </w:tc>
        <w:tc>
          <w:tcPr>
            <w:tcW w:type="dxa" w:w="1296"/>
          </w:tcPr>
          <w:p>
            <w:pPr>
              <w:spacing w:after="0"/>
            </w:pPr>
            <w:r>
              <w:rPr>
                <w:b/>
                <w:sz w:val="19"/>
              </w:rPr>
              <w:t>Return</w:t>
            </w:r>
          </w:p>
        </w:tc>
        <w:tc>
          <w:tcPr>
            <w:tcW w:type="dxa" w:w="1152"/>
          </w:tcPr>
          <w:p>
            <w:pPr>
              <w:spacing w:after="0"/>
            </w:pPr>
            <w:r>
              <w:rPr>
                <w:b/>
                <w:sz w:val="19"/>
              </w:rPr>
              <w:t>Vol</w:t>
            </w:r>
          </w:p>
        </w:tc>
        <w:tc>
          <w:tcPr>
            <w:tcW w:type="dxa" w:w="1728"/>
          </w:tcPr>
          <w:p>
            <w:pPr>
              <w:spacing w:after="0"/>
            </w:pPr>
            <w:r>
              <w:rPr>
                <w:b/>
                <w:sz w:val="19"/>
              </w:rPr>
              <w:t>Max Drawdown</w:t>
            </w:r>
          </w:p>
        </w:tc>
        <w:tc>
          <w:tcPr>
            <w:tcW w:type="dxa" w:w="1152"/>
          </w:tcPr>
          <w:p>
            <w:pPr>
              <w:spacing w:after="0"/>
            </w:pPr>
            <w:r>
              <w:rPr>
                <w:b/>
                <w:sz w:val="19"/>
              </w:rPr>
              <w:t>IR</w:t>
            </w:r>
          </w:p>
        </w:tc>
      </w:tr>
      <w:tr>
        <w:tc>
          <w:tcPr>
            <w:tcW w:type="dxa" w:w="2160"/>
          </w:tcPr>
          <w:p>
            <w:pPr>
              <w:spacing w:after="0"/>
            </w:pPr>
            <w:r>
              <w:rPr>
                <w:sz w:val="19"/>
              </w:rPr>
              <w:t>Metals</w:t>
            </w:r>
          </w:p>
        </w:tc>
        <w:tc>
          <w:tcPr>
            <w:tcW w:type="dxa" w:w="1872"/>
          </w:tcPr>
          <w:p>
            <w:pPr>
              <w:spacing w:after="0"/>
            </w:pPr>
            <w:r>
              <w:rPr>
                <w:sz w:val="19"/>
              </w:rPr>
              <w:t>Equal Weight</w:t>
            </w:r>
          </w:p>
        </w:tc>
        <w:tc>
          <w:tcPr>
            <w:tcW w:type="dxa" w:w="1296"/>
          </w:tcPr>
          <w:p>
            <w:pPr>
              <w:spacing w:after="0"/>
              <w:jc w:val="right"/>
            </w:pPr>
            <w:r>
              <w:rPr>
                <w:sz w:val="19"/>
              </w:rPr>
              <w:t>-0.2%</w:t>
            </w:r>
          </w:p>
        </w:tc>
        <w:tc>
          <w:tcPr>
            <w:tcW w:type="dxa" w:w="1152"/>
          </w:tcPr>
          <w:p>
            <w:pPr>
              <w:spacing w:after="0"/>
              <w:jc w:val="right"/>
            </w:pPr>
            <w:r>
              <w:rPr>
                <w:sz w:val="19"/>
              </w:rPr>
              <w:t>5.7%</w:t>
            </w:r>
          </w:p>
        </w:tc>
        <w:tc>
          <w:tcPr>
            <w:tcW w:type="dxa" w:w="1728"/>
          </w:tcPr>
          <w:p>
            <w:pPr>
              <w:spacing w:after="0"/>
              <w:jc w:val="right"/>
            </w:pPr>
            <w:r>
              <w:rPr>
                <w:sz w:val="19"/>
              </w:rPr>
              <w:t>-25.2%</w:t>
            </w:r>
          </w:p>
        </w:tc>
        <w:tc>
          <w:tcPr>
            <w:tcW w:type="dxa" w:w="1152"/>
          </w:tcPr>
          <w:p>
            <w:pPr>
              <w:spacing w:after="0"/>
              <w:jc w:val="right"/>
            </w:pPr>
            <w:r>
              <w:rPr>
                <w:sz w:val="19"/>
              </w:rPr>
              <w:t>-0.04</w:t>
            </w:r>
          </w:p>
        </w:tc>
      </w:tr>
      <w:tr>
        <w:tc>
          <w:tcPr>
            <w:tcW w:type="dxa" w:w="2160"/>
          </w:tcPr>
          <w:p>
            <w:pPr>
              <w:spacing w:after="0"/>
            </w:pPr>
            <w:r>
              <w:rPr>
                <w:sz w:val="19"/>
              </w:rPr>
              <w:t>Metals</w:t>
            </w:r>
          </w:p>
        </w:tc>
        <w:tc>
          <w:tcPr>
            <w:tcW w:type="dxa" w:w="1872"/>
          </w:tcPr>
          <w:p>
            <w:pPr>
              <w:spacing w:after="0"/>
            </w:pPr>
            <w:r>
              <w:rPr>
                <w:sz w:val="19"/>
              </w:rPr>
              <w:t>Inverse Vol</w:t>
            </w:r>
          </w:p>
        </w:tc>
        <w:tc>
          <w:tcPr>
            <w:tcW w:type="dxa" w:w="1296"/>
          </w:tcPr>
          <w:p>
            <w:pPr>
              <w:spacing w:after="0"/>
              <w:jc w:val="right"/>
            </w:pPr>
            <w:r>
              <w:rPr>
                <w:sz w:val="19"/>
              </w:rPr>
              <w:t>0.4%</w:t>
            </w:r>
          </w:p>
        </w:tc>
        <w:tc>
          <w:tcPr>
            <w:tcW w:type="dxa" w:w="1152"/>
          </w:tcPr>
          <w:p>
            <w:pPr>
              <w:spacing w:after="0"/>
              <w:jc w:val="right"/>
            </w:pPr>
            <w:r>
              <w:rPr>
                <w:sz w:val="19"/>
              </w:rPr>
              <w:t>5.1%</w:t>
            </w:r>
          </w:p>
        </w:tc>
        <w:tc>
          <w:tcPr>
            <w:tcW w:type="dxa" w:w="1728"/>
          </w:tcPr>
          <w:p>
            <w:pPr>
              <w:spacing w:after="0"/>
              <w:jc w:val="right"/>
            </w:pPr>
            <w:r>
              <w:rPr>
                <w:sz w:val="19"/>
              </w:rPr>
              <w:t>-20.4%</w:t>
            </w:r>
          </w:p>
        </w:tc>
        <w:tc>
          <w:tcPr>
            <w:tcW w:type="dxa" w:w="1152"/>
          </w:tcPr>
          <w:p>
            <w:pPr>
              <w:spacing w:after="0"/>
              <w:jc w:val="right"/>
            </w:pPr>
            <w:r>
              <w:rPr>
                <w:sz w:val="19"/>
              </w:rPr>
              <w:t>0.08</w:t>
            </w:r>
          </w:p>
        </w:tc>
      </w:tr>
      <w:tr>
        <w:tc>
          <w:tcPr>
            <w:tcW w:type="dxa" w:w="2160"/>
          </w:tcPr>
          <w:p>
            <w:pPr>
              <w:spacing w:after="0"/>
            </w:pPr>
            <w:r>
              <w:rPr>
                <w:sz w:val="19"/>
              </w:rPr>
              <w:t>Energy</w:t>
            </w:r>
          </w:p>
        </w:tc>
        <w:tc>
          <w:tcPr>
            <w:tcW w:type="dxa" w:w="1872"/>
          </w:tcPr>
          <w:p>
            <w:pPr>
              <w:spacing w:after="0"/>
            </w:pPr>
            <w:r>
              <w:rPr>
                <w:sz w:val="19"/>
              </w:rPr>
              <w:t>Equal Weight</w:t>
            </w:r>
          </w:p>
        </w:tc>
        <w:tc>
          <w:tcPr>
            <w:tcW w:type="dxa" w:w="1296"/>
          </w:tcPr>
          <w:p>
            <w:pPr>
              <w:spacing w:after="0"/>
              <w:jc w:val="right"/>
            </w:pPr>
            <w:r>
              <w:rPr>
                <w:sz w:val="19"/>
              </w:rPr>
              <w:t>9.0%</w:t>
            </w:r>
          </w:p>
        </w:tc>
        <w:tc>
          <w:tcPr>
            <w:tcW w:type="dxa" w:w="1152"/>
          </w:tcPr>
          <w:p>
            <w:pPr>
              <w:spacing w:after="0"/>
              <w:jc w:val="right"/>
            </w:pPr>
            <w:r>
              <w:rPr>
                <w:sz w:val="19"/>
              </w:rPr>
              <w:t>11.8%</w:t>
            </w:r>
          </w:p>
        </w:tc>
        <w:tc>
          <w:tcPr>
            <w:tcW w:type="dxa" w:w="1728"/>
          </w:tcPr>
          <w:p>
            <w:pPr>
              <w:spacing w:after="0"/>
              <w:jc w:val="right"/>
            </w:pPr>
            <w:r>
              <w:rPr>
                <w:sz w:val="19"/>
              </w:rPr>
              <w:t>-22.9%</w:t>
            </w:r>
          </w:p>
        </w:tc>
        <w:tc>
          <w:tcPr>
            <w:tcW w:type="dxa" w:w="1152"/>
          </w:tcPr>
          <w:p>
            <w:pPr>
              <w:spacing w:after="0"/>
              <w:jc w:val="right"/>
            </w:pPr>
            <w:r>
              <w:rPr>
                <w:sz w:val="19"/>
              </w:rPr>
              <w:t>0.76</w:t>
            </w:r>
          </w:p>
        </w:tc>
      </w:tr>
      <w:tr>
        <w:tc>
          <w:tcPr>
            <w:tcW w:type="dxa" w:w="2160"/>
          </w:tcPr>
          <w:p>
            <w:pPr>
              <w:spacing w:after="0"/>
            </w:pPr>
            <w:r>
              <w:rPr>
                <w:sz w:val="19"/>
              </w:rPr>
              <w:t>Energy</w:t>
            </w:r>
          </w:p>
        </w:tc>
        <w:tc>
          <w:tcPr>
            <w:tcW w:type="dxa" w:w="1872"/>
          </w:tcPr>
          <w:p>
            <w:pPr>
              <w:spacing w:after="0"/>
            </w:pPr>
            <w:r>
              <w:rPr>
                <w:sz w:val="19"/>
              </w:rPr>
              <w:t>Inverse Vol</w:t>
            </w:r>
          </w:p>
        </w:tc>
        <w:tc>
          <w:tcPr>
            <w:tcW w:type="dxa" w:w="1296"/>
          </w:tcPr>
          <w:p>
            <w:pPr>
              <w:spacing w:after="0"/>
              <w:jc w:val="right"/>
            </w:pPr>
            <w:r>
              <w:rPr>
                <w:sz w:val="19"/>
              </w:rPr>
              <w:t>9.2%</w:t>
            </w:r>
          </w:p>
        </w:tc>
        <w:tc>
          <w:tcPr>
            <w:tcW w:type="dxa" w:w="1152"/>
          </w:tcPr>
          <w:p>
            <w:pPr>
              <w:spacing w:after="0"/>
              <w:jc w:val="right"/>
            </w:pPr>
            <w:r>
              <w:rPr>
                <w:sz w:val="19"/>
              </w:rPr>
              <w:t>11.7%</w:t>
            </w:r>
          </w:p>
        </w:tc>
        <w:tc>
          <w:tcPr>
            <w:tcW w:type="dxa" w:w="1728"/>
          </w:tcPr>
          <w:p>
            <w:pPr>
              <w:spacing w:after="0"/>
              <w:jc w:val="right"/>
            </w:pPr>
            <w:r>
              <w:rPr>
                <w:sz w:val="19"/>
              </w:rPr>
              <w:t>-21.0%</w:t>
            </w:r>
          </w:p>
        </w:tc>
        <w:tc>
          <w:tcPr>
            <w:tcW w:type="dxa" w:w="1152"/>
          </w:tcPr>
          <w:p>
            <w:pPr>
              <w:spacing w:after="0"/>
              <w:jc w:val="right"/>
            </w:pPr>
            <w:r>
              <w:rPr>
                <w:sz w:val="19"/>
              </w:rPr>
              <w:t>0.78</w:t>
            </w:r>
          </w:p>
        </w:tc>
      </w:tr>
      <w:tr>
        <w:tc>
          <w:tcPr>
            <w:tcW w:type="dxa" w:w="2160"/>
          </w:tcPr>
          <w:p>
            <w:pPr>
              <w:spacing w:after="0"/>
            </w:pPr>
            <w:r>
              <w:rPr>
                <w:sz w:val="19"/>
              </w:rPr>
              <w:t>NGL</w:t>
            </w:r>
          </w:p>
        </w:tc>
        <w:tc>
          <w:tcPr>
            <w:tcW w:type="dxa" w:w="1872"/>
          </w:tcPr>
          <w:p>
            <w:pPr>
              <w:spacing w:after="0"/>
            </w:pPr>
            <w:r>
              <w:rPr>
                <w:sz w:val="19"/>
              </w:rPr>
              <w:t>Equal Weight</w:t>
            </w:r>
          </w:p>
        </w:tc>
        <w:tc>
          <w:tcPr>
            <w:tcW w:type="dxa" w:w="1296"/>
          </w:tcPr>
          <w:p>
            <w:pPr>
              <w:spacing w:after="0"/>
              <w:jc w:val="right"/>
            </w:pPr>
            <w:r>
              <w:rPr>
                <w:sz w:val="19"/>
              </w:rPr>
              <w:t>15.7%</w:t>
            </w:r>
          </w:p>
        </w:tc>
        <w:tc>
          <w:tcPr>
            <w:tcW w:type="dxa" w:w="1152"/>
          </w:tcPr>
          <w:p>
            <w:pPr>
              <w:spacing w:after="0"/>
              <w:jc w:val="right"/>
            </w:pPr>
            <w:r>
              <w:rPr>
                <w:sz w:val="19"/>
              </w:rPr>
              <w:t>12.5%</w:t>
            </w:r>
          </w:p>
        </w:tc>
        <w:tc>
          <w:tcPr>
            <w:tcW w:type="dxa" w:w="1728"/>
          </w:tcPr>
          <w:p>
            <w:pPr>
              <w:spacing w:after="0"/>
              <w:jc w:val="right"/>
            </w:pPr>
            <w:r>
              <w:rPr>
                <w:sz w:val="19"/>
              </w:rPr>
              <w:t>-20.9%</w:t>
            </w:r>
          </w:p>
        </w:tc>
        <w:tc>
          <w:tcPr>
            <w:tcW w:type="dxa" w:w="1152"/>
          </w:tcPr>
          <w:p>
            <w:pPr>
              <w:spacing w:after="0"/>
              <w:jc w:val="right"/>
            </w:pPr>
            <w:r>
              <w:rPr>
                <w:sz w:val="19"/>
              </w:rPr>
              <w:t>1.25</w:t>
            </w:r>
          </w:p>
        </w:tc>
      </w:tr>
      <w:tr>
        <w:tc>
          <w:tcPr>
            <w:tcW w:type="dxa" w:w="2160"/>
          </w:tcPr>
          <w:p>
            <w:pPr>
              <w:spacing w:after="0"/>
            </w:pPr>
            <w:r>
              <w:rPr>
                <w:sz w:val="19"/>
              </w:rPr>
              <w:t>NGL</w:t>
            </w:r>
          </w:p>
        </w:tc>
        <w:tc>
          <w:tcPr>
            <w:tcW w:type="dxa" w:w="1872"/>
          </w:tcPr>
          <w:p>
            <w:pPr>
              <w:spacing w:after="0"/>
            </w:pPr>
            <w:r>
              <w:rPr>
                <w:sz w:val="19"/>
              </w:rPr>
              <w:t>Inverse Vol</w:t>
            </w:r>
          </w:p>
        </w:tc>
        <w:tc>
          <w:tcPr>
            <w:tcW w:type="dxa" w:w="1296"/>
          </w:tcPr>
          <w:p>
            <w:pPr>
              <w:spacing w:after="0"/>
              <w:jc w:val="right"/>
            </w:pPr>
            <w:r>
              <w:rPr>
                <w:sz w:val="19"/>
              </w:rPr>
              <w:t>14.2%</w:t>
            </w:r>
          </w:p>
        </w:tc>
        <w:tc>
          <w:tcPr>
            <w:tcW w:type="dxa" w:w="1152"/>
          </w:tcPr>
          <w:p>
            <w:pPr>
              <w:spacing w:after="0"/>
              <w:jc w:val="right"/>
            </w:pPr>
            <w:r>
              <w:rPr>
                <w:sz w:val="19"/>
              </w:rPr>
              <w:t>12.3%</w:t>
            </w:r>
          </w:p>
        </w:tc>
        <w:tc>
          <w:tcPr>
            <w:tcW w:type="dxa" w:w="1728"/>
          </w:tcPr>
          <w:p>
            <w:pPr>
              <w:spacing w:after="0"/>
              <w:jc w:val="right"/>
            </w:pPr>
            <w:r>
              <w:rPr>
                <w:sz w:val="19"/>
              </w:rPr>
              <w:t>-21.5%</w:t>
            </w:r>
          </w:p>
        </w:tc>
        <w:tc>
          <w:tcPr>
            <w:tcW w:type="dxa" w:w="1152"/>
          </w:tcPr>
          <w:p>
            <w:pPr>
              <w:spacing w:after="0"/>
              <w:jc w:val="right"/>
            </w:pPr>
            <w:r>
              <w:rPr>
                <w:sz w:val="19"/>
              </w:rPr>
              <w:t>1.16</w:t>
            </w:r>
          </w:p>
        </w:tc>
      </w:tr>
      <w:tr>
        <w:tc>
          <w:tcPr>
            <w:tcW w:type="dxa" w:w="2160"/>
          </w:tcPr>
          <w:p>
            <w:pPr>
              <w:spacing w:after="0"/>
            </w:pPr>
            <w:r>
              <w:rPr>
                <w:sz w:val="19"/>
              </w:rPr>
              <w:t>Precious Metals</w:t>
            </w:r>
          </w:p>
        </w:tc>
        <w:tc>
          <w:tcPr>
            <w:tcW w:type="dxa" w:w="1872"/>
          </w:tcPr>
          <w:p>
            <w:pPr>
              <w:spacing w:after="0"/>
            </w:pPr>
            <w:r>
              <w:rPr>
                <w:sz w:val="19"/>
              </w:rPr>
              <w:t>Equal Weight</w:t>
            </w:r>
          </w:p>
        </w:tc>
        <w:tc>
          <w:tcPr>
            <w:tcW w:type="dxa" w:w="1296"/>
          </w:tcPr>
          <w:p>
            <w:pPr>
              <w:spacing w:after="0"/>
              <w:jc w:val="right"/>
            </w:pPr>
            <w:r>
              <w:rPr>
                <w:sz w:val="19"/>
              </w:rPr>
              <w:t>-1.8%</w:t>
            </w:r>
          </w:p>
        </w:tc>
        <w:tc>
          <w:tcPr>
            <w:tcW w:type="dxa" w:w="1152"/>
          </w:tcPr>
          <w:p>
            <w:pPr>
              <w:spacing w:after="0"/>
              <w:jc w:val="right"/>
            </w:pPr>
            <w:r>
              <w:rPr>
                <w:sz w:val="19"/>
              </w:rPr>
              <w:t>7.8%</w:t>
            </w:r>
          </w:p>
        </w:tc>
        <w:tc>
          <w:tcPr>
            <w:tcW w:type="dxa" w:w="1728"/>
          </w:tcPr>
          <w:p>
            <w:pPr>
              <w:spacing w:after="0"/>
              <w:jc w:val="right"/>
            </w:pPr>
            <w:r>
              <w:rPr>
                <w:sz w:val="19"/>
              </w:rPr>
              <w:t>-35.7%</w:t>
            </w:r>
          </w:p>
        </w:tc>
        <w:tc>
          <w:tcPr>
            <w:tcW w:type="dxa" w:w="1152"/>
          </w:tcPr>
          <w:p>
            <w:pPr>
              <w:spacing w:after="0"/>
              <w:jc w:val="right"/>
            </w:pPr>
            <w:r>
              <w:rPr>
                <w:sz w:val="19"/>
              </w:rPr>
              <w:t>-0.23</w:t>
            </w:r>
          </w:p>
        </w:tc>
      </w:tr>
      <w:tr>
        <w:tc>
          <w:tcPr>
            <w:tcW w:type="dxa" w:w="2160"/>
          </w:tcPr>
          <w:p>
            <w:pPr>
              <w:spacing w:after="0"/>
            </w:pPr>
            <w:r>
              <w:rPr>
                <w:sz w:val="19"/>
              </w:rPr>
              <w:t>Precious Metals</w:t>
            </w:r>
          </w:p>
        </w:tc>
        <w:tc>
          <w:tcPr>
            <w:tcW w:type="dxa" w:w="1872"/>
          </w:tcPr>
          <w:p>
            <w:pPr>
              <w:spacing w:after="0"/>
            </w:pPr>
            <w:r>
              <w:rPr>
                <w:sz w:val="19"/>
              </w:rPr>
              <w:t>Inverse Vol</w:t>
            </w:r>
          </w:p>
        </w:tc>
        <w:tc>
          <w:tcPr>
            <w:tcW w:type="dxa" w:w="1296"/>
          </w:tcPr>
          <w:p>
            <w:pPr>
              <w:spacing w:after="0"/>
              <w:jc w:val="right"/>
            </w:pPr>
            <w:r>
              <w:rPr>
                <w:sz w:val="19"/>
              </w:rPr>
              <w:t>-2.3%</w:t>
            </w:r>
          </w:p>
        </w:tc>
        <w:tc>
          <w:tcPr>
            <w:tcW w:type="dxa" w:w="1152"/>
          </w:tcPr>
          <w:p>
            <w:pPr>
              <w:spacing w:after="0"/>
              <w:jc w:val="right"/>
            </w:pPr>
            <w:r>
              <w:rPr>
                <w:sz w:val="19"/>
              </w:rPr>
              <w:t>7.7%</w:t>
            </w:r>
          </w:p>
        </w:tc>
        <w:tc>
          <w:tcPr>
            <w:tcW w:type="dxa" w:w="1728"/>
          </w:tcPr>
          <w:p>
            <w:pPr>
              <w:spacing w:after="0"/>
              <w:jc w:val="right"/>
            </w:pPr>
            <w:r>
              <w:rPr>
                <w:sz w:val="19"/>
              </w:rPr>
              <w:t>-39.1%</w:t>
            </w:r>
          </w:p>
        </w:tc>
        <w:tc>
          <w:tcPr>
            <w:tcW w:type="dxa" w:w="1152"/>
          </w:tcPr>
          <w:p>
            <w:pPr>
              <w:spacing w:after="0"/>
              <w:jc w:val="right"/>
            </w:pPr>
            <w:r>
              <w:rPr>
                <w:sz w:val="19"/>
              </w:rPr>
              <w:t>-0.29</w:t>
            </w:r>
          </w:p>
        </w:tc>
      </w:tr>
      <w:tr>
        <w:tc>
          <w:tcPr>
            <w:tcW w:type="dxa" w:w="2160"/>
          </w:tcPr>
          <w:p>
            <w:pPr>
              <w:spacing w:after="0"/>
            </w:pPr>
            <w:r>
              <w:rPr>
                <w:sz w:val="19"/>
              </w:rPr>
              <w:t>Agriculture</w:t>
            </w:r>
          </w:p>
        </w:tc>
        <w:tc>
          <w:tcPr>
            <w:tcW w:type="dxa" w:w="1872"/>
          </w:tcPr>
          <w:p>
            <w:pPr>
              <w:spacing w:after="0"/>
            </w:pPr>
            <w:r>
              <w:rPr>
                <w:sz w:val="19"/>
              </w:rPr>
              <w:t>Equal Weight</w:t>
            </w:r>
          </w:p>
        </w:tc>
        <w:tc>
          <w:tcPr>
            <w:tcW w:type="dxa" w:w="1296"/>
          </w:tcPr>
          <w:p>
            <w:pPr>
              <w:spacing w:after="0"/>
              <w:jc w:val="right"/>
            </w:pPr>
            <w:r>
              <w:rPr>
                <w:sz w:val="19"/>
              </w:rPr>
              <w:t>-0.8%</w:t>
            </w:r>
          </w:p>
        </w:tc>
        <w:tc>
          <w:tcPr>
            <w:tcW w:type="dxa" w:w="1152"/>
          </w:tcPr>
          <w:p>
            <w:pPr>
              <w:spacing w:after="0"/>
              <w:jc w:val="right"/>
            </w:pPr>
            <w:r>
              <w:rPr>
                <w:sz w:val="19"/>
              </w:rPr>
              <w:t>5.5%</w:t>
            </w:r>
          </w:p>
        </w:tc>
        <w:tc>
          <w:tcPr>
            <w:tcW w:type="dxa" w:w="1728"/>
          </w:tcPr>
          <w:p>
            <w:pPr>
              <w:spacing w:after="0"/>
              <w:jc w:val="right"/>
            </w:pPr>
            <w:r>
              <w:rPr>
                <w:sz w:val="19"/>
              </w:rPr>
              <w:t>-26.5%</w:t>
            </w:r>
          </w:p>
        </w:tc>
        <w:tc>
          <w:tcPr>
            <w:tcW w:type="dxa" w:w="1152"/>
          </w:tcPr>
          <w:p>
            <w:pPr>
              <w:spacing w:after="0"/>
              <w:jc w:val="right"/>
            </w:pPr>
            <w:r>
              <w:rPr>
                <w:sz w:val="19"/>
              </w:rPr>
              <w:t>-0.15</w:t>
            </w:r>
          </w:p>
        </w:tc>
      </w:tr>
      <w:tr>
        <w:tc>
          <w:tcPr>
            <w:tcW w:type="dxa" w:w="2160"/>
          </w:tcPr>
          <w:p>
            <w:pPr>
              <w:spacing w:after="0"/>
            </w:pPr>
            <w:r>
              <w:rPr>
                <w:sz w:val="19"/>
              </w:rPr>
              <w:t>Agriculture</w:t>
            </w:r>
          </w:p>
        </w:tc>
        <w:tc>
          <w:tcPr>
            <w:tcW w:type="dxa" w:w="1872"/>
          </w:tcPr>
          <w:p>
            <w:pPr>
              <w:spacing w:after="0"/>
            </w:pPr>
            <w:r>
              <w:rPr>
                <w:sz w:val="19"/>
              </w:rPr>
              <w:t>Inverse Vol</w:t>
            </w:r>
          </w:p>
        </w:tc>
        <w:tc>
          <w:tcPr>
            <w:tcW w:type="dxa" w:w="1296"/>
          </w:tcPr>
          <w:p>
            <w:pPr>
              <w:spacing w:after="0"/>
              <w:jc w:val="right"/>
            </w:pPr>
            <w:r>
              <w:rPr>
                <w:sz w:val="19"/>
              </w:rPr>
              <w:t>-0.9%</w:t>
            </w:r>
          </w:p>
        </w:tc>
        <w:tc>
          <w:tcPr>
            <w:tcW w:type="dxa" w:w="1152"/>
          </w:tcPr>
          <w:p>
            <w:pPr>
              <w:spacing w:after="0"/>
              <w:jc w:val="right"/>
            </w:pPr>
            <w:r>
              <w:rPr>
                <w:sz w:val="19"/>
              </w:rPr>
              <w:t>5.4%</w:t>
            </w:r>
          </w:p>
        </w:tc>
        <w:tc>
          <w:tcPr>
            <w:tcW w:type="dxa" w:w="1728"/>
          </w:tcPr>
          <w:p>
            <w:pPr>
              <w:spacing w:after="0"/>
              <w:jc w:val="right"/>
            </w:pPr>
            <w:r>
              <w:rPr>
                <w:sz w:val="19"/>
              </w:rPr>
              <w:t>-24.2%</w:t>
            </w:r>
          </w:p>
        </w:tc>
        <w:tc>
          <w:tcPr>
            <w:tcW w:type="dxa" w:w="1152"/>
          </w:tcPr>
          <w:p>
            <w:pPr>
              <w:spacing w:after="0"/>
              <w:jc w:val="right"/>
            </w:pPr>
            <w:r>
              <w:rPr>
                <w:sz w:val="19"/>
              </w:rPr>
              <w:t>-0.18</w:t>
            </w:r>
          </w:p>
        </w:tc>
      </w:tr>
    </w:tbl>
    <w:p w14:paraId="1C14AEA4" w14:textId="77777777" w:rsidR="00576CDE" w:rsidRDefault="00000000"/>
    <w:p w14:paraId="1C14AEA4" w14:textId="77777777" w:rsidR="00576CDE" w:rsidRDefault="00000000">
      <w:r>
        <w:rPr>
          <w:i/>
          <w:sz w:val="19"/>
        </w:rPr>
        <w:t>Note: Statistics for the sample window, 1 January 2012 to 23 September 2026, net of 5 bp round-trip costs, as defined in Section 3.7. Each portfolio combines the five sleeves of the asset class. Energy includes Natural Gas.</w:t>
      </w:r>
    </w:p>
    <w:p w14:paraId="1C14AEA4" w14:textId="77777777" w:rsidR="00576CDE" w:rsidRDefault="00000000">
      <w:r>
        <w:rPr/>
        <w:t>The two constructions are close in four of the five classes. Inverse Vol is ahead in Metals (0.08 against -0.04, a difference of 0.12, the largest of the five) and marginally in Energy (0.02), while Equal Weight is ahead in NGL (0.09), Precious Metals (0.06) and Agriculture (0.03). Inverse Vol lowers volatility in every class, but by no more than 0.6 percentage points (Metals 5.7% against 5.1%), so the differences in IR come mostly from return; in NGL, for example, Equal Weight returns 15.7% against 14.2%. Drawdowns split in the same way. Inverse Vol is shallower in Metals (-20.4% against -25.2%), Energy (-21.0% against -22.9%) and Agriculture (-24.2% against -26.5%), and deeper in NGL (-21.5% against -20.9%) and Precious Metals (-39.1% against -35.7%). Precious Metals has the deepest drawdown of the five classes under both constructions despite a volatility of only 7.8%, while NGL, the most volatile class, has the shallowest under Equal Weight.</w:t>
      </w:r>
    </w:p>
    <w:p w14:paraId="1C14AEA4" w14:textId="77777777" w:rsidR="00576CDE" w:rsidRDefault="00000000">
      <w:r>
        <w:rPr/>
        <w:t>The reason is that the five sleeves of a class have similar volatilities, so Inverse Vol stays close to equal weights: in Energy, NGL, Precious Metals and Agriculture the average weight on a sleeve lies between 0.17 and 0.23, against one fifth under Equal Weight. Metals has the widest spread of sleeve volatilities (Value 10.8% against Momentum 14.7%), and the average weights range from 0.15 on Momentum to 0.28 on Value, its only sleeve with a clearly positive IR, which is consistent with Metals gaining most from Inverse Vol. The small differences accord with Fernandez-Perez, Fuertes and Miffre (2021), who find in energy futures that equal-weight integration of styles ranks first among their integration methods, which include a weighting by inverse variance. Bogorad (2025a), by contrast, reports a modestly higher IR (1.03 against 0.91) for dynamic risk parity, which scales the exposures to the underlying commodities by their 20-day volatilities, than for equal weights in a portfolio of energy strategies. Both samples and methods differ from ours (long-short portfolios formed monthly across energy contracts, and energy strategies including statistical arbitrage), and we run no test, so we read the evidence only as showing that the weighting matters little here, with Metals the exception.</w:t>
      </w:r>
    </w:p>
    <w:p w14:paraId="1C14AEA4" w14:textId="77777777" w:rsidR="00576CDE" w:rsidRDefault="00000000">
      <w:r>
        <w:rPr/>
        <w:t>Table 6 shows how stable these results are across the subperiods. NGL and Energy are the only classes whose portfolios are positive in all three, under both constructions, and in both P2 is the strongest period and P1 the weakest. For NGL the IR runs from 0.66 in P1 to 1.99 in P2 and 1.00 in P3 under Equal Weight (Inverse Vol 0.53, 1.83 and 1.00), and for Energy from 0.46 to 1.22 and 0.60 (Inverse Vol 0.49, 1.27 and 0.60). The other three classes do not hold up. Metals is positive in P1 (0.27 and 0.48), close to zero in P2 and negative in P3 (-0.32 and -0.15). Precious Metals is negative in every subperiod under both constructions. Agriculture is slightly positive only in P2 (0.11 and 0.05) and clearly negative in P3 (-0.44 and -0.29). The full-sample ranking therefore does not rest on one window: NGL and Energy are positive throughout, and Precious Metals is negative throughout.</w:t>
      </w:r>
    </w:p>
    <w:p w14:paraId="1C14AEA4" w14:textId="77777777" w:rsidR="00576CDE" w:rsidRDefault="00000000">
      <w:r>
        <w:rPr/>
        <w:t>Skewness is the fifth sleeve of every portfolio in Table 7. Compared with portfolios built from the four core sleeves alone, adding it lowers volatility in every class under both constructions. Under Equal Weight the fall is from 6.6% to 5.7% in Metals, 14.6% to 11.8% in Energy, 15.4% to 12.5% in NGL, 9.0% to 7.8% in Precious Metals and 6.7% to 5.5% in Agriculture. The effect on the IR depends on the class. It rises in Energy (0.69 to 0.76 under Equal Weight, 0.70 to 0.78 under Inverse Vol), Precious Metals (-0.31 to -0.23; -0.36 to -0.29) and Agriculture (-0.26 to -0.15; -0.27 to -0.18). It is slightly lower in NGL (1.27 to 1.25; 1.19 to 1.16) and lower in Metals (-0.01 to -0.04; 0.16 to 0.08). In Energy and NGL the return falls with the volatility (Energy 10.1% to 9.0%, NGL 19.5% to 15.7% under Equal Weight), whereas in Precious Metals and Agriculture the loss shrinks and the maximum drawdown is much shallower (Precious Metals -45.1% to -35.7%, Agriculture -35.3% to -26.5%).</w:t>
      </w:r>
    </w:p>
    <w:p w14:paraId="1C14AEA4" w14:textId="77777777" w:rsidR="00576CDE" w:rsidRDefault="00000000">
      <w:r>
        <w:rPr/>
        <w:t>The period pattern of the effect is more uniform than the full-sample one. In four of the five classes, Metals, Energy, NGL and Precious Metals, Skewness lowers the P1 IR and raises the P2 IR under both constructions. In NGL, for example, the Equal Weight IR falls from 1.15 to 0.66 in P1 and rises from 1.58 to 1.99 in P2; in Energy it falls from 0.70 to 0.46 in P1 and rises from 1.04 to 1.22 in P2. Agriculture is the reverse, with a gain in P1 (-0.23 to -0.09) and a loss in P2 (0.18 to 0.11). In P3 the sleeve raises the IR in Energy (0.39 to 0.60), Precious Metals (-0.57 to -0.40) and Agriculture (-0.69 to -0.44), leaves NGL almost unchanged (1.05 to 1.00) and lowers it in Metals (-0.23 to -0.32). Skewness therefore shifts the profile of the portfolios across periods more than it lifts their level, in line with the episodic gains of the Skewness sleeve described in Section 4.1.</w:t>
      </w:r>
    </w:p>
    <w:p w14:paraId="1C14AEA4" w14:textId="77777777" w:rsidR="00576CDE" w:rsidRDefault="00000000">
      <w:r>
        <w:rPr/>
        <w:t>Blending helps most where several sleeves carry an edge. In NGL, Momentum (1.13), Carry (1.08) and Carry-Momentum (0.71) all earn a clearly positive IR on their own, and the portfolio is above each of the five sleeves under both constructions (Equal Weight 1.25, Inverse Vol 1.16). Its volatility (12.5%) is less than half that of any single sleeve (26.0% to 27.8%), which is what one expects when the sleeves are far from perfectly correlated (Section 4.4). In Energy the portfolio matches the best sleeve, Carry-Momentum (0.78; portfolio 0.76 and 0.78), and is above Momentum (0.50) and Carry (0.46), again at less than half the volatility of any sleeve (11.8% against 24.1% to 28.5%). The two weakest sleeves in both classes, Value and Skewness, do not prevent this; their IRs (-0.14 and 0.17 in Energy, 0.08 and 0.06 in NGL) are well below those of the leading sleeves, and each carries about a fifth of the weight.</w:t>
      </w:r>
    </w:p>
    <w:p w14:paraId="1C14AEA4" w14:textId="77777777" w:rsidR="00576CDE" w:rsidRDefault="00000000">
      <w:r>
        <w:rPr/>
        <w:t>Where one sleeve carries the edge, blending dilutes it. In Metals, Value alone has an IR of 0.38 (return 4.1%, volatility 10.8%), far above both portfolios (-0.04 and 0.08), because the other four sleeves are at best marginal (Carry 0.13; Momentum -0.32, Carry-Momentum -0.08 and Skewness -0.08). Equal weights give Value a fifth of the portfolio, and Inverse Vol gives it 0.28 on average. Where no sleeve carries an edge, blending cannot create one. In Precious Metals and Agriculture none of the four core sleeves has an IR above 0.01. Skewness is the only sleeve with a positive IR in either class (0.10 in Precious Metals and 0.25 in Agriculture), but it is too weak to carry four sleeves with no edge, and both portfolios stay negative (Precious Metals -0.23 and -0.29; Agriculture -0.15 and -0.18). The portfolios therefore reproduce at asset-class level the concentration seen in the sleeves: the combination of five signals produces a premium of any size only in NGL and Energy, whichever of the two weightings is used. Section 4.3 asks whether combining the five classes preserves, dilutes or improves on that result.</w:t>
      </w:r>
    </w:p>
    <w:p w14:paraId="1C14AEA4" w14:textId="77777777" w:rsidR="00576CDE" w:rsidRDefault="00000000">
      <w:pPr>
        <w:keepNext/>
        <w:spacing w:before="160"/>
      </w:pPr>
      <w:r>
        <w:rPr>
          <w:b/>
          <w:sz w:val="24"/>
        </w:rPr>
        <w:t>4.3 Cross-Commodity Portfolio and Best Pairs</w:t>
      </w:r>
    </w:p>
    <w:p w14:paraId="1C14AEA4" w14:textId="77777777" w:rsidR="00576CDE" w:rsidRDefault="00000000">
      <w:r>
        <w:rPr/>
        <w:t>The asset-class portfolios are next combined across classes. Section 3.9 defines four cross-commodity portfolios, according to whether Equal Weight or Inverse Vol is used within each class and across the five classes, and a by-signal construction that first equal-weights each signal across classes and then combines the five resulting strategies. Table 8 reports the four portfolios, the by-signal Inverse Vol portfolio and the five strategies. The by-signal Equal Weight portfolio is identical to the portfolio with Equal Weight at both stages and is not listed twice. The weighting across classes matters more than the weighting within them. With Equal Weight across classes the IR is 0.87 (Equal Weight within) and 0.85 (Inverse Vol within); with Inverse Vol across classes it is 0.66 and 0.60. Inverse Vol across classes lowers volatility (from 4.9% to 3.7% when classes are equal-weighted within) but lowers return by more (from 4.2% to 2.4%), and the maximum drawdown is no shallower (-13.7% against -15.2%).</w:t>
      </w:r>
    </w:p>
    <w:p w14:paraId="1C14AEA4" w14:textId="77777777" w:rsidR="00576CDE" w:rsidRDefault="00000000">
      <w:pPr>
        <w:keepNext/>
      </w:pPr>
      <w:r>
        <w:rPr>
          <w:b/>
          <w:sz w:val="22"/>
        </w:rPr>
        <w:t>Table 8: Cross-commodity portfolios</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3600"/>
          </w:tcPr>
          <w:p>
            <w:pPr>
              <w:spacing w:after="0"/>
            </w:pPr>
            <w:r>
              <w:rPr>
                <w:b/>
                <w:sz w:val="19"/>
              </w:rPr>
              <w:t>Portfolio</w:t>
            </w:r>
          </w:p>
        </w:tc>
        <w:tc>
          <w:tcPr>
            <w:tcW w:type="dxa" w:w="1008"/>
          </w:tcPr>
          <w:p>
            <w:pPr>
              <w:spacing w:after="0"/>
            </w:pPr>
            <w:r>
              <w:rPr>
                <w:b/>
                <w:sz w:val="19"/>
              </w:rPr>
              <w:t>Return</w:t>
            </w:r>
          </w:p>
        </w:tc>
        <w:tc>
          <w:tcPr>
            <w:tcW w:type="dxa" w:w="864"/>
          </w:tcPr>
          <w:p>
            <w:pPr>
              <w:spacing w:after="0"/>
            </w:pPr>
            <w:r>
              <w:rPr>
                <w:b/>
                <w:sz w:val="19"/>
              </w:rPr>
              <w:t>Vol</w:t>
            </w:r>
          </w:p>
        </w:tc>
        <w:tc>
          <w:tcPr>
            <w:tcW w:type="dxa" w:w="1296"/>
          </w:tcPr>
          <w:p>
            <w:pPr>
              <w:spacing w:after="0"/>
            </w:pPr>
            <w:r>
              <w:rPr>
                <w:b/>
                <w:sz w:val="19"/>
              </w:rPr>
              <w:t>Max Drawdown</w:t>
            </w:r>
          </w:p>
        </w:tc>
        <w:tc>
          <w:tcPr>
            <w:tcW w:type="dxa" w:w="864"/>
          </w:tcPr>
          <w:p>
            <w:pPr>
              <w:spacing w:after="0"/>
            </w:pPr>
            <w:r>
              <w:rPr>
                <w:b/>
                <w:sz w:val="19"/>
              </w:rPr>
              <w:t>IR</w:t>
            </w:r>
          </w:p>
        </w:tc>
        <w:tc>
          <w:tcPr>
            <w:tcW w:type="dxa" w:w="864"/>
          </w:tcPr>
          <w:p>
            <w:pPr>
              <w:spacing w:after="0"/>
            </w:pPr>
            <w:r>
              <w:rPr>
                <w:b/>
                <w:sz w:val="19"/>
              </w:rPr>
              <w:t>IR P1</w:t>
            </w:r>
          </w:p>
        </w:tc>
        <w:tc>
          <w:tcPr>
            <w:tcW w:type="dxa" w:w="864"/>
          </w:tcPr>
          <w:p>
            <w:pPr>
              <w:spacing w:after="0"/>
            </w:pPr>
            <w:r>
              <w:rPr>
                <w:b/>
                <w:sz w:val="19"/>
              </w:rPr>
              <w:t>IR P2</w:t>
            </w:r>
          </w:p>
        </w:tc>
        <w:tc>
          <w:tcPr>
            <w:tcW w:type="dxa" w:w="864"/>
          </w:tcPr>
          <w:p>
            <w:pPr>
              <w:spacing w:after="0"/>
            </w:pPr>
            <w:r>
              <w:rPr>
                <w:b/>
                <w:sz w:val="19"/>
              </w:rPr>
              <w:t>IR P3</w:t>
            </w:r>
          </w:p>
        </w:tc>
      </w:tr>
      <w:tr>
        <w:tc>
          <w:tcPr>
            <w:tcW w:type="dxa" w:w="3600"/>
          </w:tcPr>
          <w:p>
            <w:pPr>
              <w:spacing w:after="0"/>
            </w:pPr>
            <w:r>
              <w:rPr>
                <w:sz w:val="19"/>
              </w:rPr>
              <w:t>Equal Weight within, Equal Weight across</w:t>
            </w:r>
          </w:p>
        </w:tc>
        <w:tc>
          <w:tcPr>
            <w:tcW w:type="dxa" w:w="1008"/>
          </w:tcPr>
          <w:p>
            <w:pPr>
              <w:spacing w:after="0"/>
              <w:jc w:val="right"/>
            </w:pPr>
            <w:r>
              <w:rPr>
                <w:sz w:val="19"/>
              </w:rPr>
              <w:t>4.2%</w:t>
            </w:r>
          </w:p>
        </w:tc>
        <w:tc>
          <w:tcPr>
            <w:tcW w:type="dxa" w:w="864"/>
          </w:tcPr>
          <w:p>
            <w:pPr>
              <w:spacing w:after="0"/>
              <w:jc w:val="right"/>
            </w:pPr>
            <w:r>
              <w:rPr>
                <w:sz w:val="19"/>
              </w:rPr>
              <w:t>4.9%</w:t>
            </w:r>
          </w:p>
        </w:tc>
        <w:tc>
          <w:tcPr>
            <w:tcW w:type="dxa" w:w="1296"/>
          </w:tcPr>
          <w:p>
            <w:pPr>
              <w:spacing w:after="0"/>
              <w:jc w:val="right"/>
            </w:pPr>
            <w:r>
              <w:rPr>
                <w:sz w:val="19"/>
              </w:rPr>
              <w:t>-13.7%</w:t>
            </w:r>
          </w:p>
        </w:tc>
        <w:tc>
          <w:tcPr>
            <w:tcW w:type="dxa" w:w="864"/>
          </w:tcPr>
          <w:p>
            <w:pPr>
              <w:spacing w:after="0"/>
              <w:jc w:val="right"/>
            </w:pPr>
            <w:r>
              <w:rPr>
                <w:sz w:val="19"/>
              </w:rPr>
              <w:t>0.87</w:t>
            </w:r>
          </w:p>
        </w:tc>
        <w:tc>
          <w:tcPr>
            <w:tcW w:type="dxa" w:w="864"/>
          </w:tcPr>
          <w:p>
            <w:pPr>
              <w:spacing w:after="0"/>
              <w:jc w:val="right"/>
            </w:pPr>
            <w:r>
              <w:rPr>
                <w:sz w:val="19"/>
              </w:rPr>
              <w:t>0.59</w:t>
            </w:r>
          </w:p>
        </w:tc>
        <w:tc>
          <w:tcPr>
            <w:tcW w:type="dxa" w:w="864"/>
          </w:tcPr>
          <w:p>
            <w:pPr>
              <w:spacing w:after="0"/>
              <w:jc w:val="right"/>
            </w:pPr>
            <w:r>
              <w:rPr>
                <w:sz w:val="19"/>
              </w:rPr>
              <w:t>1.65</w:t>
            </w:r>
          </w:p>
        </w:tc>
        <w:tc>
          <w:tcPr>
            <w:tcW w:type="dxa" w:w="864"/>
          </w:tcPr>
          <w:p>
            <w:pPr>
              <w:spacing w:after="0"/>
              <w:jc w:val="right"/>
            </w:pPr>
            <w:r>
              <w:rPr>
                <w:sz w:val="19"/>
              </w:rPr>
              <w:t>0.39</w:t>
            </w:r>
          </w:p>
        </w:tc>
      </w:tr>
      <w:tr>
        <w:tc>
          <w:tcPr>
            <w:tcW w:type="dxa" w:w="3600"/>
          </w:tcPr>
          <w:p>
            <w:pPr>
              <w:spacing w:after="0"/>
            </w:pPr>
            <w:r>
              <w:rPr>
                <w:sz w:val="19"/>
              </w:rPr>
              <w:t>Equal Weight within, Inverse Vol across</w:t>
            </w:r>
          </w:p>
        </w:tc>
        <w:tc>
          <w:tcPr>
            <w:tcW w:type="dxa" w:w="1008"/>
          </w:tcPr>
          <w:p>
            <w:pPr>
              <w:spacing w:after="0"/>
              <w:jc w:val="right"/>
            </w:pPr>
            <w:r>
              <w:rPr>
                <w:sz w:val="19"/>
              </w:rPr>
              <w:t>2.4%</w:t>
            </w:r>
          </w:p>
        </w:tc>
        <w:tc>
          <w:tcPr>
            <w:tcW w:type="dxa" w:w="864"/>
          </w:tcPr>
          <w:p>
            <w:pPr>
              <w:spacing w:after="0"/>
              <w:jc w:val="right"/>
            </w:pPr>
            <w:r>
              <w:rPr>
                <w:sz w:val="19"/>
              </w:rPr>
              <w:t>3.7%</w:t>
            </w:r>
          </w:p>
        </w:tc>
        <w:tc>
          <w:tcPr>
            <w:tcW w:type="dxa" w:w="1296"/>
          </w:tcPr>
          <w:p>
            <w:pPr>
              <w:spacing w:after="0"/>
              <w:jc w:val="right"/>
            </w:pPr>
            <w:r>
              <w:rPr>
                <w:sz w:val="19"/>
              </w:rPr>
              <w:t>-15.2%</w:t>
            </w:r>
          </w:p>
        </w:tc>
        <w:tc>
          <w:tcPr>
            <w:tcW w:type="dxa" w:w="864"/>
          </w:tcPr>
          <w:p>
            <w:pPr>
              <w:spacing w:after="0"/>
              <w:jc w:val="right"/>
            </w:pPr>
            <w:r>
              <w:rPr>
                <w:sz w:val="19"/>
              </w:rPr>
              <w:t>0.66</w:t>
            </w:r>
          </w:p>
        </w:tc>
        <w:tc>
          <w:tcPr>
            <w:tcW w:type="dxa" w:w="864"/>
          </w:tcPr>
          <w:p>
            <w:pPr>
              <w:spacing w:after="0"/>
              <w:jc w:val="right"/>
            </w:pPr>
            <w:r>
              <w:rPr>
                <w:sz w:val="19"/>
              </w:rPr>
              <w:t>0.65</w:t>
            </w:r>
          </w:p>
        </w:tc>
        <w:tc>
          <w:tcPr>
            <w:tcW w:type="dxa" w:w="864"/>
          </w:tcPr>
          <w:p>
            <w:pPr>
              <w:spacing w:after="0"/>
              <w:jc w:val="right"/>
            </w:pPr>
            <w:r>
              <w:rPr>
                <w:sz w:val="19"/>
              </w:rPr>
              <w:t>1.51</w:t>
            </w:r>
          </w:p>
        </w:tc>
        <w:tc>
          <w:tcPr>
            <w:tcW w:type="dxa" w:w="864"/>
          </w:tcPr>
          <w:p>
            <w:pPr>
              <w:spacing w:after="0"/>
              <w:jc w:val="right"/>
            </w:pPr>
            <w:r>
              <w:rPr>
                <w:sz w:val="19"/>
              </w:rPr>
              <w:t>-0.06</w:t>
            </w:r>
          </w:p>
        </w:tc>
      </w:tr>
      <w:tr>
        <w:tc>
          <w:tcPr>
            <w:tcW w:type="dxa" w:w="3600"/>
          </w:tcPr>
          <w:p>
            <w:pPr>
              <w:spacing w:after="0"/>
            </w:pPr>
            <w:r>
              <w:rPr>
                <w:sz w:val="19"/>
              </w:rPr>
              <w:t>Inverse Vol within, Equal Weight across</w:t>
            </w:r>
          </w:p>
        </w:tc>
        <w:tc>
          <w:tcPr>
            <w:tcW w:type="dxa" w:w="1008"/>
          </w:tcPr>
          <w:p>
            <w:pPr>
              <w:spacing w:after="0"/>
              <w:jc w:val="right"/>
            </w:pPr>
            <w:r>
              <w:rPr>
                <w:sz w:val="19"/>
              </w:rPr>
              <w:t>4.0%</w:t>
            </w:r>
          </w:p>
        </w:tc>
        <w:tc>
          <w:tcPr>
            <w:tcW w:type="dxa" w:w="864"/>
          </w:tcPr>
          <w:p>
            <w:pPr>
              <w:spacing w:after="0"/>
              <w:jc w:val="right"/>
            </w:pPr>
            <w:r>
              <w:rPr>
                <w:sz w:val="19"/>
              </w:rPr>
              <w:t>4.7%</w:t>
            </w:r>
          </w:p>
        </w:tc>
        <w:tc>
          <w:tcPr>
            <w:tcW w:type="dxa" w:w="1296"/>
          </w:tcPr>
          <w:p>
            <w:pPr>
              <w:spacing w:after="0"/>
              <w:jc w:val="right"/>
            </w:pPr>
            <w:r>
              <w:rPr>
                <w:sz w:val="19"/>
              </w:rPr>
              <w:t>-13.1%</w:t>
            </w:r>
          </w:p>
        </w:tc>
        <w:tc>
          <w:tcPr>
            <w:tcW w:type="dxa" w:w="864"/>
          </w:tcPr>
          <w:p>
            <w:pPr>
              <w:spacing w:after="0"/>
              <w:jc w:val="right"/>
            </w:pPr>
            <w:r>
              <w:rPr>
                <w:sz w:val="19"/>
              </w:rPr>
              <w:t>0.85</w:t>
            </w:r>
          </w:p>
        </w:tc>
        <w:tc>
          <w:tcPr>
            <w:tcW w:type="dxa" w:w="864"/>
          </w:tcPr>
          <w:p>
            <w:pPr>
              <w:spacing w:after="0"/>
              <w:jc w:val="right"/>
            </w:pPr>
            <w:r>
              <w:rPr>
                <w:sz w:val="19"/>
              </w:rPr>
              <w:t>0.48</w:t>
            </w:r>
          </w:p>
        </w:tc>
        <w:tc>
          <w:tcPr>
            <w:tcW w:type="dxa" w:w="864"/>
          </w:tcPr>
          <w:p>
            <w:pPr>
              <w:spacing w:after="0"/>
              <w:jc w:val="right"/>
            </w:pPr>
            <w:r>
              <w:rPr>
                <w:sz w:val="19"/>
              </w:rPr>
              <w:t>1.59</w:t>
            </w:r>
          </w:p>
        </w:tc>
        <w:tc>
          <w:tcPr>
            <w:tcW w:type="dxa" w:w="864"/>
          </w:tcPr>
          <w:p>
            <w:pPr>
              <w:spacing w:after="0"/>
              <w:jc w:val="right"/>
            </w:pPr>
            <w:r>
              <w:rPr>
                <w:sz w:val="19"/>
              </w:rPr>
              <w:t>0.47</w:t>
            </w:r>
          </w:p>
        </w:tc>
      </w:tr>
      <w:tr>
        <w:tc>
          <w:tcPr>
            <w:tcW w:type="dxa" w:w="3600"/>
          </w:tcPr>
          <w:p>
            <w:pPr>
              <w:spacing w:after="0"/>
            </w:pPr>
            <w:r>
              <w:rPr>
                <w:sz w:val="19"/>
              </w:rPr>
              <w:t>Inverse Vol within, Inverse Vol across</w:t>
            </w:r>
          </w:p>
        </w:tc>
        <w:tc>
          <w:tcPr>
            <w:tcW w:type="dxa" w:w="1008"/>
          </w:tcPr>
          <w:p>
            <w:pPr>
              <w:spacing w:after="0"/>
              <w:jc w:val="right"/>
            </w:pPr>
            <w:r>
              <w:rPr>
                <w:sz w:val="19"/>
              </w:rPr>
              <w:t>2.1%</w:t>
            </w:r>
          </w:p>
        </w:tc>
        <w:tc>
          <w:tcPr>
            <w:tcW w:type="dxa" w:w="864"/>
          </w:tcPr>
          <w:p>
            <w:pPr>
              <w:spacing w:after="0"/>
              <w:jc w:val="right"/>
            </w:pPr>
            <w:r>
              <w:rPr>
                <w:sz w:val="19"/>
              </w:rPr>
              <w:t>3.5%</w:t>
            </w:r>
          </w:p>
        </w:tc>
        <w:tc>
          <w:tcPr>
            <w:tcW w:type="dxa" w:w="1296"/>
          </w:tcPr>
          <w:p>
            <w:pPr>
              <w:spacing w:after="0"/>
              <w:jc w:val="right"/>
            </w:pPr>
            <w:r>
              <w:rPr>
                <w:sz w:val="19"/>
              </w:rPr>
              <w:t>-14.4%</w:t>
            </w:r>
          </w:p>
        </w:tc>
        <w:tc>
          <w:tcPr>
            <w:tcW w:type="dxa" w:w="864"/>
          </w:tcPr>
          <w:p>
            <w:pPr>
              <w:spacing w:after="0"/>
              <w:jc w:val="right"/>
            </w:pPr>
            <w:r>
              <w:rPr>
                <w:sz w:val="19"/>
              </w:rPr>
              <w:t>0.60</w:t>
            </w:r>
          </w:p>
        </w:tc>
        <w:tc>
          <w:tcPr>
            <w:tcW w:type="dxa" w:w="864"/>
          </w:tcPr>
          <w:p>
            <w:pPr>
              <w:spacing w:after="0"/>
              <w:jc w:val="right"/>
            </w:pPr>
            <w:r>
              <w:rPr>
                <w:sz w:val="19"/>
              </w:rPr>
              <w:t>0.46</w:t>
            </w:r>
          </w:p>
        </w:tc>
        <w:tc>
          <w:tcPr>
            <w:tcW w:type="dxa" w:w="864"/>
          </w:tcPr>
          <w:p>
            <w:pPr>
              <w:spacing w:after="0"/>
              <w:jc w:val="right"/>
            </w:pPr>
            <w:r>
              <w:rPr>
                <w:sz w:val="19"/>
              </w:rPr>
              <w:t>1.41</w:t>
            </w:r>
          </w:p>
        </w:tc>
        <w:tc>
          <w:tcPr>
            <w:tcW w:type="dxa" w:w="864"/>
          </w:tcPr>
          <w:p>
            <w:pPr>
              <w:spacing w:after="0"/>
              <w:jc w:val="right"/>
            </w:pPr>
            <w:r>
              <w:rPr>
                <w:sz w:val="19"/>
              </w:rPr>
              <w:t>0.04</w:t>
            </w:r>
          </w:p>
        </w:tc>
      </w:tr>
      <w:tr>
        <w:tc>
          <w:tcPr>
            <w:tcW w:type="dxa" w:w="3600"/>
          </w:tcPr>
          <w:p>
            <w:pPr>
              <w:spacing w:after="0"/>
            </w:pPr>
            <w:r>
              <w:rPr>
                <w:sz w:val="19"/>
              </w:rPr>
              <w:t>By signal, Inverse Vol</w:t>
            </w:r>
          </w:p>
        </w:tc>
        <w:tc>
          <w:tcPr>
            <w:tcW w:type="dxa" w:w="1008"/>
          </w:tcPr>
          <w:p>
            <w:pPr>
              <w:spacing w:after="0"/>
              <w:jc w:val="right"/>
            </w:pPr>
            <w:r>
              <w:rPr>
                <w:sz w:val="19"/>
              </w:rPr>
              <w:t>4.5%</w:t>
            </w:r>
          </w:p>
        </w:tc>
        <w:tc>
          <w:tcPr>
            <w:tcW w:type="dxa" w:w="864"/>
          </w:tcPr>
          <w:p>
            <w:pPr>
              <w:spacing w:after="0"/>
              <w:jc w:val="right"/>
            </w:pPr>
            <w:r>
              <w:rPr>
                <w:sz w:val="19"/>
              </w:rPr>
              <w:t>5.0%</w:t>
            </w:r>
          </w:p>
        </w:tc>
        <w:tc>
          <w:tcPr>
            <w:tcW w:type="dxa" w:w="1296"/>
          </w:tcPr>
          <w:p>
            <w:pPr>
              <w:spacing w:after="0"/>
              <w:jc w:val="right"/>
            </w:pPr>
            <w:r>
              <w:rPr>
                <w:sz w:val="19"/>
              </w:rPr>
              <w:t>-12.7%</w:t>
            </w:r>
          </w:p>
        </w:tc>
        <w:tc>
          <w:tcPr>
            <w:tcW w:type="dxa" w:w="864"/>
          </w:tcPr>
          <w:p>
            <w:pPr>
              <w:spacing w:after="0"/>
              <w:jc w:val="right"/>
            </w:pPr>
            <w:r>
              <w:rPr>
                <w:sz w:val="19"/>
              </w:rPr>
              <w:t>0.91</w:t>
            </w:r>
          </w:p>
        </w:tc>
        <w:tc>
          <w:tcPr>
            <w:tcW w:type="dxa" w:w="864"/>
          </w:tcPr>
          <w:p>
            <w:pPr>
              <w:spacing w:after="0"/>
              <w:jc w:val="right"/>
            </w:pPr>
            <w:r>
              <w:rPr>
                <w:sz w:val="19"/>
              </w:rPr>
              <w:t>0.75</w:t>
            </w:r>
          </w:p>
        </w:tc>
        <w:tc>
          <w:tcPr>
            <w:tcW w:type="dxa" w:w="864"/>
          </w:tcPr>
          <w:p>
            <w:pPr>
              <w:spacing w:after="0"/>
              <w:jc w:val="right"/>
            </w:pPr>
            <w:r>
              <w:rPr>
                <w:sz w:val="19"/>
              </w:rPr>
              <w:t>1.57</w:t>
            </w:r>
          </w:p>
        </w:tc>
        <w:tc>
          <w:tcPr>
            <w:tcW w:type="dxa" w:w="864"/>
          </w:tcPr>
          <w:p>
            <w:pPr>
              <w:spacing w:after="0"/>
              <w:jc w:val="right"/>
            </w:pPr>
            <w:r>
              <w:rPr>
                <w:sz w:val="19"/>
              </w:rPr>
              <w:t>0.47</w:t>
            </w:r>
          </w:p>
        </w:tc>
      </w:tr>
      <w:tr>
        <w:tc>
          <w:tcPr>
            <w:tcW w:type="dxa" w:w="3600"/>
          </w:tcPr>
          <w:p>
            <w:pPr>
              <w:spacing w:after="0"/>
            </w:pPr>
            <w:r>
              <w:rPr>
                <w:sz w:val="19"/>
              </w:rPr>
              <w:t>Momentum, equal-weighted across classes</w:t>
            </w:r>
          </w:p>
        </w:tc>
        <w:tc>
          <w:tcPr>
            <w:tcW w:type="dxa" w:w="1008"/>
          </w:tcPr>
          <w:p>
            <w:pPr>
              <w:spacing w:after="0"/>
              <w:jc w:val="right"/>
            </w:pPr>
            <w:r>
              <w:rPr>
                <w:sz w:val="19"/>
              </w:rPr>
              <w:t>6.1%</w:t>
            </w:r>
          </w:p>
        </w:tc>
        <w:tc>
          <w:tcPr>
            <w:tcW w:type="dxa" w:w="864"/>
          </w:tcPr>
          <w:p>
            <w:pPr>
              <w:spacing w:after="0"/>
              <w:jc w:val="right"/>
            </w:pPr>
            <w:r>
              <w:rPr>
                <w:sz w:val="19"/>
              </w:rPr>
              <w:t>12.5%</w:t>
            </w:r>
          </w:p>
        </w:tc>
        <w:tc>
          <w:tcPr>
            <w:tcW w:type="dxa" w:w="1296"/>
          </w:tcPr>
          <w:p>
            <w:pPr>
              <w:spacing w:after="0"/>
              <w:jc w:val="right"/>
            </w:pPr>
            <w:r>
              <w:rPr>
                <w:sz w:val="19"/>
              </w:rPr>
              <w:t>-36.0%</w:t>
            </w:r>
          </w:p>
        </w:tc>
        <w:tc>
          <w:tcPr>
            <w:tcW w:type="dxa" w:w="864"/>
          </w:tcPr>
          <w:p>
            <w:pPr>
              <w:spacing w:after="0"/>
              <w:jc w:val="right"/>
            </w:pPr>
            <w:r>
              <w:rPr>
                <w:sz w:val="19"/>
              </w:rPr>
              <w:t>0.49</w:t>
            </w:r>
          </w:p>
        </w:tc>
        <w:tc>
          <w:tcPr>
            <w:tcW w:type="dxa" w:w="864"/>
          </w:tcPr>
          <w:p>
            <w:pPr>
              <w:spacing w:after="0"/>
              <w:jc w:val="right"/>
            </w:pPr>
            <w:r>
              <w:rPr>
                <w:sz w:val="19"/>
              </w:rPr>
              <w:t>0.56</w:t>
            </w:r>
          </w:p>
        </w:tc>
        <w:tc>
          <w:tcPr>
            <w:tcW w:type="dxa" w:w="864"/>
          </w:tcPr>
          <w:p>
            <w:pPr>
              <w:spacing w:after="0"/>
              <w:jc w:val="right"/>
            </w:pPr>
            <w:r>
              <w:rPr>
                <w:sz w:val="19"/>
              </w:rPr>
              <w:t>0.96</w:t>
            </w:r>
          </w:p>
        </w:tc>
        <w:tc>
          <w:tcPr>
            <w:tcW w:type="dxa" w:w="864"/>
          </w:tcPr>
          <w:p>
            <w:pPr>
              <w:spacing w:after="0"/>
              <w:jc w:val="right"/>
            </w:pPr>
            <w:r>
              <w:rPr>
                <w:sz w:val="19"/>
              </w:rPr>
              <w:t>-0.07</w:t>
            </w:r>
          </w:p>
        </w:tc>
      </w:tr>
      <w:tr>
        <w:tc>
          <w:tcPr>
            <w:tcW w:type="dxa" w:w="3600"/>
          </w:tcPr>
          <w:p>
            <w:pPr>
              <w:spacing w:after="0"/>
            </w:pPr>
            <w:r>
              <w:rPr>
                <w:sz w:val="19"/>
              </w:rPr>
              <w:t>Carry, equal-weighted across classes</w:t>
            </w:r>
          </w:p>
        </w:tc>
        <w:tc>
          <w:tcPr>
            <w:tcW w:type="dxa" w:w="1008"/>
          </w:tcPr>
          <w:p>
            <w:pPr>
              <w:spacing w:after="0"/>
              <w:jc w:val="right"/>
            </w:pPr>
            <w:r>
              <w:rPr>
                <w:sz w:val="19"/>
              </w:rPr>
              <w:t>7.9%</w:t>
            </w:r>
          </w:p>
        </w:tc>
        <w:tc>
          <w:tcPr>
            <w:tcW w:type="dxa" w:w="864"/>
          </w:tcPr>
          <w:p>
            <w:pPr>
              <w:spacing w:after="0"/>
              <w:jc w:val="right"/>
            </w:pPr>
            <w:r>
              <w:rPr>
                <w:sz w:val="19"/>
              </w:rPr>
              <w:t>10.1%</w:t>
            </w:r>
          </w:p>
        </w:tc>
        <w:tc>
          <w:tcPr>
            <w:tcW w:type="dxa" w:w="1296"/>
          </w:tcPr>
          <w:p>
            <w:pPr>
              <w:spacing w:after="0"/>
              <w:jc w:val="right"/>
            </w:pPr>
            <w:r>
              <w:rPr>
                <w:sz w:val="19"/>
              </w:rPr>
              <w:t>-23.4%</w:t>
            </w:r>
          </w:p>
        </w:tc>
        <w:tc>
          <w:tcPr>
            <w:tcW w:type="dxa" w:w="864"/>
          </w:tcPr>
          <w:p>
            <w:pPr>
              <w:spacing w:after="0"/>
              <w:jc w:val="right"/>
            </w:pPr>
            <w:r>
              <w:rPr>
                <w:sz w:val="19"/>
              </w:rPr>
              <w:t>0.78</w:t>
            </w:r>
          </w:p>
        </w:tc>
        <w:tc>
          <w:tcPr>
            <w:tcW w:type="dxa" w:w="864"/>
          </w:tcPr>
          <w:p>
            <w:pPr>
              <w:spacing w:after="0"/>
              <w:jc w:val="right"/>
            </w:pPr>
            <w:r>
              <w:rPr>
                <w:sz w:val="19"/>
              </w:rPr>
              <w:t>1.21</w:t>
            </w:r>
          </w:p>
        </w:tc>
        <w:tc>
          <w:tcPr>
            <w:tcW w:type="dxa" w:w="864"/>
          </w:tcPr>
          <w:p>
            <w:pPr>
              <w:spacing w:after="0"/>
              <w:jc w:val="right"/>
            </w:pPr>
            <w:r>
              <w:rPr>
                <w:sz w:val="19"/>
              </w:rPr>
              <w:t>1.05</w:t>
            </w:r>
          </w:p>
        </w:tc>
        <w:tc>
          <w:tcPr>
            <w:tcW w:type="dxa" w:w="864"/>
          </w:tcPr>
          <w:p>
            <w:pPr>
              <w:spacing w:after="0"/>
              <w:jc w:val="right"/>
            </w:pPr>
            <w:r>
              <w:rPr>
                <w:sz w:val="19"/>
              </w:rPr>
              <w:t>0.21</w:t>
            </w:r>
          </w:p>
        </w:tc>
      </w:tr>
      <w:tr>
        <w:tc>
          <w:tcPr>
            <w:tcW w:type="dxa" w:w="3600"/>
          </w:tcPr>
          <w:p>
            <w:pPr>
              <w:spacing w:after="0"/>
            </w:pPr>
            <w:r>
              <w:rPr>
                <w:sz w:val="19"/>
              </w:rPr>
              <w:t>Carry-Momentum, equal-weighted across classes</w:t>
            </w:r>
          </w:p>
        </w:tc>
        <w:tc>
          <w:tcPr>
            <w:tcW w:type="dxa" w:w="1008"/>
          </w:tcPr>
          <w:p>
            <w:pPr>
              <w:spacing w:after="0"/>
              <w:jc w:val="right"/>
            </w:pPr>
            <w:r>
              <w:rPr>
                <w:sz w:val="19"/>
              </w:rPr>
              <w:t>5.3%</w:t>
            </w:r>
          </w:p>
        </w:tc>
        <w:tc>
          <w:tcPr>
            <w:tcW w:type="dxa" w:w="864"/>
          </w:tcPr>
          <w:p>
            <w:pPr>
              <w:spacing w:after="0"/>
              <w:jc w:val="right"/>
            </w:pPr>
            <w:r>
              <w:rPr>
                <w:sz w:val="19"/>
              </w:rPr>
              <w:t>9.2%</w:t>
            </w:r>
          </w:p>
        </w:tc>
        <w:tc>
          <w:tcPr>
            <w:tcW w:type="dxa" w:w="1296"/>
          </w:tcPr>
          <w:p>
            <w:pPr>
              <w:spacing w:after="0"/>
              <w:jc w:val="right"/>
            </w:pPr>
            <w:r>
              <w:rPr>
                <w:sz w:val="19"/>
              </w:rPr>
              <w:t>-27.8%</w:t>
            </w:r>
          </w:p>
        </w:tc>
        <w:tc>
          <w:tcPr>
            <w:tcW w:type="dxa" w:w="864"/>
          </w:tcPr>
          <w:p>
            <w:pPr>
              <w:spacing w:after="0"/>
              <w:jc w:val="right"/>
            </w:pPr>
            <w:r>
              <w:rPr>
                <w:sz w:val="19"/>
              </w:rPr>
              <w:t>0.58</w:t>
            </w:r>
          </w:p>
        </w:tc>
        <w:tc>
          <w:tcPr>
            <w:tcW w:type="dxa" w:w="864"/>
          </w:tcPr>
          <w:p>
            <w:pPr>
              <w:spacing w:after="0"/>
              <w:jc w:val="right"/>
            </w:pPr>
            <w:r>
              <w:rPr>
                <w:sz w:val="19"/>
              </w:rPr>
              <w:t>0.84</w:t>
            </w:r>
          </w:p>
        </w:tc>
        <w:tc>
          <w:tcPr>
            <w:tcW w:type="dxa" w:w="864"/>
          </w:tcPr>
          <w:p>
            <w:pPr>
              <w:spacing w:after="0"/>
              <w:jc w:val="right"/>
            </w:pPr>
            <w:r>
              <w:rPr>
                <w:sz w:val="19"/>
              </w:rPr>
              <w:t>0.88</w:t>
            </w:r>
          </w:p>
        </w:tc>
        <w:tc>
          <w:tcPr>
            <w:tcW w:type="dxa" w:w="864"/>
          </w:tcPr>
          <w:p>
            <w:pPr>
              <w:spacing w:after="0"/>
              <w:jc w:val="right"/>
            </w:pPr>
            <w:r>
              <w:rPr>
                <w:sz w:val="19"/>
              </w:rPr>
              <w:t>0.08</w:t>
            </w:r>
          </w:p>
        </w:tc>
      </w:tr>
      <w:tr>
        <w:tc>
          <w:tcPr>
            <w:tcW w:type="dxa" w:w="3600"/>
          </w:tcPr>
          <w:p>
            <w:pPr>
              <w:spacing w:after="0"/>
            </w:pPr>
            <w:r>
              <w:rPr>
                <w:sz w:val="19"/>
              </w:rPr>
              <w:t>Value, equal-weighted across classes</w:t>
            </w:r>
          </w:p>
        </w:tc>
        <w:tc>
          <w:tcPr>
            <w:tcW w:type="dxa" w:w="1008"/>
          </w:tcPr>
          <w:p>
            <w:pPr>
              <w:spacing w:after="0"/>
              <w:jc w:val="right"/>
            </w:pPr>
            <w:r>
              <w:rPr>
                <w:sz w:val="19"/>
              </w:rPr>
              <w:t>0.0%</w:t>
            </w:r>
          </w:p>
        </w:tc>
        <w:tc>
          <w:tcPr>
            <w:tcW w:type="dxa" w:w="864"/>
          </w:tcPr>
          <w:p>
            <w:pPr>
              <w:spacing w:after="0"/>
              <w:jc w:val="right"/>
            </w:pPr>
            <w:r>
              <w:rPr>
                <w:sz w:val="19"/>
              </w:rPr>
              <w:t>12.1%</w:t>
            </w:r>
          </w:p>
        </w:tc>
        <w:tc>
          <w:tcPr>
            <w:tcW w:type="dxa" w:w="1296"/>
          </w:tcPr>
          <w:p>
            <w:pPr>
              <w:spacing w:after="0"/>
              <w:jc w:val="right"/>
            </w:pPr>
            <w:r>
              <w:rPr>
                <w:sz w:val="19"/>
              </w:rPr>
              <w:t>-44.6%</w:t>
            </w:r>
          </w:p>
        </w:tc>
        <w:tc>
          <w:tcPr>
            <w:tcW w:type="dxa" w:w="864"/>
          </w:tcPr>
          <w:p>
            <w:pPr>
              <w:spacing w:after="0"/>
              <w:jc w:val="right"/>
            </w:pPr>
            <w:r>
              <w:rPr>
                <w:sz w:val="19"/>
              </w:rPr>
              <w:t>0.00</w:t>
            </w:r>
          </w:p>
        </w:tc>
        <w:tc>
          <w:tcPr>
            <w:tcW w:type="dxa" w:w="864"/>
          </w:tcPr>
          <w:p>
            <w:pPr>
              <w:spacing w:after="0"/>
              <w:jc w:val="right"/>
            </w:pPr>
            <w:r>
              <w:rPr>
                <w:sz w:val="19"/>
              </w:rPr>
              <w:t>-0.30</w:t>
            </w:r>
          </w:p>
        </w:tc>
        <w:tc>
          <w:tcPr>
            <w:tcW w:type="dxa" w:w="864"/>
          </w:tcPr>
          <w:p>
            <w:pPr>
              <w:spacing w:after="0"/>
              <w:jc w:val="right"/>
            </w:pPr>
            <w:r>
              <w:rPr>
                <w:sz w:val="19"/>
              </w:rPr>
              <w:t>0.01</w:t>
            </w:r>
          </w:p>
        </w:tc>
        <w:tc>
          <w:tcPr>
            <w:tcW w:type="dxa" w:w="864"/>
          </w:tcPr>
          <w:p>
            <w:pPr>
              <w:spacing w:after="0"/>
              <w:jc w:val="right"/>
            </w:pPr>
            <w:r>
              <w:rPr>
                <w:sz w:val="19"/>
              </w:rPr>
              <w:t>0.30</w:t>
            </w:r>
          </w:p>
        </w:tc>
      </w:tr>
      <w:tr>
        <w:tc>
          <w:tcPr>
            <w:tcW w:type="dxa" w:w="3600"/>
          </w:tcPr>
          <w:p>
            <w:pPr>
              <w:spacing w:after="0"/>
            </w:pPr>
            <w:r>
              <w:rPr>
                <w:sz w:val="19"/>
              </w:rPr>
              <w:t>Skewness, equal-weighted across classes</w:t>
            </w:r>
          </w:p>
        </w:tc>
        <w:tc>
          <w:tcPr>
            <w:tcW w:type="dxa" w:w="1008"/>
          </w:tcPr>
          <w:p>
            <w:pPr>
              <w:spacing w:after="0"/>
              <w:jc w:val="right"/>
            </w:pPr>
            <w:r>
              <w:rPr>
                <w:sz w:val="19"/>
              </w:rPr>
              <w:t>2.1%</w:t>
            </w:r>
          </w:p>
        </w:tc>
        <w:tc>
          <w:tcPr>
            <w:tcW w:type="dxa" w:w="864"/>
          </w:tcPr>
          <w:p>
            <w:pPr>
              <w:spacing w:after="0"/>
              <w:jc w:val="right"/>
            </w:pPr>
            <w:r>
              <w:rPr>
                <w:sz w:val="19"/>
              </w:rPr>
              <w:t>11.8%</w:t>
            </w:r>
          </w:p>
        </w:tc>
        <w:tc>
          <w:tcPr>
            <w:tcW w:type="dxa" w:w="1296"/>
          </w:tcPr>
          <w:p>
            <w:pPr>
              <w:spacing w:after="0"/>
              <w:jc w:val="right"/>
            </w:pPr>
            <w:r>
              <w:rPr>
                <w:sz w:val="19"/>
              </w:rPr>
              <w:t>-44.0%</w:t>
            </w:r>
          </w:p>
        </w:tc>
        <w:tc>
          <w:tcPr>
            <w:tcW w:type="dxa" w:w="864"/>
          </w:tcPr>
          <w:p>
            <w:pPr>
              <w:spacing w:after="0"/>
              <w:jc w:val="right"/>
            </w:pPr>
            <w:r>
              <w:rPr>
                <w:sz w:val="19"/>
              </w:rPr>
              <w:t>0.18</w:t>
            </w:r>
          </w:p>
        </w:tc>
        <w:tc>
          <w:tcPr>
            <w:tcW w:type="dxa" w:w="864"/>
          </w:tcPr>
          <w:p>
            <w:pPr>
              <w:spacing w:after="0"/>
              <w:jc w:val="right"/>
            </w:pPr>
            <w:r>
              <w:rPr>
                <w:sz w:val="19"/>
              </w:rPr>
              <w:t>-0.79</w:t>
            </w:r>
          </w:p>
        </w:tc>
        <w:tc>
          <w:tcPr>
            <w:tcW w:type="dxa" w:w="864"/>
          </w:tcPr>
          <w:p>
            <w:pPr>
              <w:spacing w:after="0"/>
              <w:jc w:val="right"/>
            </w:pPr>
            <w:r>
              <w:rPr>
                <w:sz w:val="19"/>
              </w:rPr>
              <w:t>0.66</w:t>
            </w:r>
          </w:p>
        </w:tc>
        <w:tc>
          <w:tcPr>
            <w:tcW w:type="dxa" w:w="864"/>
          </w:tcPr>
          <w:p>
            <w:pPr>
              <w:spacing w:after="0"/>
              <w:jc w:val="right"/>
            </w:pPr>
            <w:r>
              <w:rPr>
                <w:sz w:val="19"/>
              </w:rPr>
              <w:t>0.46</w:t>
            </w:r>
          </w:p>
        </w:tc>
      </w:tr>
    </w:tbl>
    <w:p w14:paraId="1C14AEA4" w14:textId="77777777" w:rsidR="00576CDE" w:rsidRDefault="00000000"/>
    <w:p w14:paraId="1C14AEA4" w14:textId="77777777" w:rsidR="00576CDE" w:rsidRDefault="00000000">
      <w:r>
        <w:rPr>
          <w:i/>
          <w:sz w:val="19"/>
        </w:rPr>
        <w:t>Note: Full-sample statistics (1 January 2012 to 23 September 2026, net of 5 bp round-trip costs) and IR by subperiod. The first four rows are the portfolios of Section 3.9; the fifth combines the five by-signal strategies by Inverse Vol, and the by-signal Equal Weight portfolio equals the first row. The last five rows are the strategies that the by-signal construction combines. Energy includes Natural Gas.</w:t>
      </w:r>
    </w:p>
    <w:p w14:paraId="1C14AEA4" w14:textId="77777777" w:rsidR="00576CDE" w:rsidRDefault="00000000">
      <w:r>
        <w:rPr/>
        <w:t>The reason lies in the weights. The class portfolios differ widely in volatility (5.5% in Agriculture to 12.5% in NGL under Equal Weight), so Inverse Vol across classes gives the two classes with a premium an average weight of 0.15 for Energy and 0.13 for NGL, against one fifth, and gives more to the classes without one (0.26 for Metals, 0.25 for Agriculture and 0.22 for Precious Metals). This is consistent with the loss of return, which we do not test. The by-signal Inverse Vol portfolio behaves differently because the five strategies it combines have similar volatilities (9.2% to 12.5%), so its weights stay close to equal. It is marginally ahead of the Equal Weight portfolio on every measure except volatility (return 4.5% against 4.2%, IR 0.91 against 0.87, maximum drawdown -12.7% against -13.7%). We take the Equal Weight portfolio and this by-signal Inverse Vol portfolio as the two reference cross-commodity portfolios in what follows.</w:t>
      </w:r>
    </w:p>
    <w:p w14:paraId="1C14AEA4" w14:textId="77777777" w:rsidR="00576CDE" w:rsidRDefault="00000000">
      <w:r>
        <w:rPr/>
        <w:t>The pattern across subperiods is the same for all of them. Each of the first five portfolios in Table 8 is strongest in P2 (IR 1.41 to 1.65) and weakest in P3, except for Inverse Vol within and Equal Weight across, where P3 (0.47) is level with P1 (0.48). The two reference portfolios are positive in every subperiod (Equal Weight P1 0.59, P2 1.65, P3 0.39; by-signal Inverse Vol 0.75, 1.57 and 0.47), as are the portfolio with Inverse Vol within and Equal Weight across and the one with Inverse Vol at both stages (the latter barely, 0.04 in P3). The only exception is Equal Weight within with Inverse Vol across, which is slightly negative in P3 (-0.06). Among the single asset classes, only Energy and NGL are positive in every subperiod under both constructions, but they run at more than twice the volatility of the cross-commodity portfolio (11.8% and 12.5% under Equal Weight against 4.9%). The cross-commodity portfolio is thus steadier than most of its parts without matching the two that carry the premium.</w:t>
      </w:r>
    </w:p>
    <w:p w14:paraId="1C14AEA4" w14:textId="77777777" w:rsidR="00576CDE" w:rsidRDefault="00000000">
      <w:r>
        <w:rPr/>
        <w:t>The strategies show where the pattern comes from. Combined across the five classes, Carry has the highest full-sample IR (0.78), followed by Carry-Momentum (0.58), Momentum (0.49), Skewness (0.18) and Value (0.00), and each is above the IR of its weakest asset class in Table 5. Carry, Carry-Momentum and Momentum carry the book in P1 and P2 (P2 IRs 1.05, 0.88 and 0.96) and fade in P3. The order then reverses. In P3 Skewness (0.46) and Value (0.30) lead, followed by Carry (0.21) and Carry-Momentum (0.08), and Momentum is negative (-0.07); in P1, Skewness (-0.79) and Value (-0.30) were the two weakest. Skewness and Value therefore hold the book in P3 while the three signals built on trend and curve shape fade, as Figure 6 shows: both reference portfolios rise through 2022 and peak in 2024, and give back part of the gain afterwards, Carry ends the sample highest of the five strategies, and the Skewness curve is below its starting level from 2013 to 2019 and ends above it.</w:t>
      </w:r>
    </w:p>
    <w:p w14:paraId="1C14AEA4" w14:textId="77777777" w:rsidR="00576CDE" w:rsidRDefault="00000000">
      <w:pPr>
        <w:keepNext/>
        <w:jc w:val="center"/>
      </w:pPr>
      <w:r>
        <w:drawing>
          <wp:inline xmlns:a="http://schemas.openxmlformats.org/drawingml/2006/main" xmlns:pic="http://schemas.openxmlformats.org/drawingml/2006/picture">
            <wp:extent cx="5486400" cy="3269673"/>
            <wp:docPr id="6" name="Picture 6"/>
            <wp:cNvGraphicFramePr>
              <a:graphicFrameLocks noChangeAspect="1"/>
            </wp:cNvGraphicFramePr>
            <a:graphic>
              <a:graphicData uri="http://schemas.openxmlformats.org/drawingml/2006/picture">
                <pic:pic>
                  <pic:nvPicPr>
                    <pic:cNvPr id="0" name="fig_cross_combined.png"/>
                    <pic:cNvPicPr/>
                  </pic:nvPicPr>
                  <pic:blipFill>
                    <a:blip r:embed="rId13"/>
                    <a:stretch>
                      <a:fillRect/>
                    </a:stretch>
                  </pic:blipFill>
                  <pic:spPr>
                    <a:xfrm>
                      <a:off x="0" y="0"/>
                      <a:ext cx="5486400" cy="3269673"/>
                    </a:xfrm>
                    <a:prstGeom prst="rect"/>
                  </pic:spPr>
                </pic:pic>
              </a:graphicData>
            </a:graphic>
          </wp:inline>
        </w:drawing>
      </w:r>
    </w:p>
    <w:p w14:paraId="1C14AEA4" w14:textId="77777777" w:rsidR="00576CDE" w:rsidRDefault="00000000">
      <w:pPr>
        <w:jc w:val="center"/>
      </w:pPr>
      <w:r>
        <w:rPr>
          <w:b/>
          <w:sz w:val="20"/>
        </w:rPr>
        <w:t>Figure 6. Cross-commodity portfolio: combined strategy performance (cumulative return, 2012 to 2026)</w:t>
      </w:r>
    </w:p>
    <w:p w14:paraId="1C14AEA4" w14:textId="77777777" w:rsidR="00576CDE" w:rsidRDefault="00000000">
      <w:r>
        <w:rPr/>
        <w:t>Skewness changes the book in three ways. It lifts the full-sample IR (Equal Weight 0.79 to 0.87, by-signal Inverse Vol 0.86 to 0.91), and it lowers volatility (6.0% to 4.9% under Equal Weight) and maximum drawdown (-18.5% to -13.7%), with a lower return (4.8% to 4.2%). It also shifts the IR from P1 to P3: under Equal Weight P1 falls from 0.91 to 0.59 and P3 rises from 0.21 to 0.39 (by-signal Inverse Vol P1 1.02 to 0.75, P3 0.35 to 0.47). The book without Skewness is already positive in every subperiod, so the sleeve changes the profile of the book more than its sign. It also adds commodity beta, which Section 4.4 documents.</w:t>
      </w:r>
    </w:p>
    <w:p w14:paraId="1C14AEA4" w14:textId="77777777" w:rsidR="00576CDE" w:rsidRDefault="00000000">
      <w:pPr>
        <w:keepNext/>
      </w:pPr>
      <w:r>
        <w:rPr>
          <w:b/>
          <w:sz w:val="22"/>
        </w:rPr>
        <w:t>Table 9: Asset-class pairs</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3456"/>
          </w:tcPr>
          <w:p>
            <w:pPr>
              <w:spacing w:after="0"/>
            </w:pPr>
            <w:r>
              <w:rPr>
                <w:b/>
                <w:sz w:val="19"/>
              </w:rPr>
              <w:t>Pair</w:t>
            </w:r>
          </w:p>
        </w:tc>
        <w:tc>
          <w:tcPr>
            <w:tcW w:type="dxa" w:w="2304"/>
          </w:tcPr>
          <w:p>
            <w:pPr>
              <w:spacing w:after="0"/>
            </w:pPr>
            <w:r>
              <w:rPr>
                <w:b/>
                <w:sz w:val="19"/>
              </w:rPr>
              <w:t>EW PORT correlation</w:t>
            </w:r>
          </w:p>
        </w:tc>
        <w:tc>
          <w:tcPr>
            <w:tcW w:type="dxa" w:w="2160"/>
          </w:tcPr>
          <w:p>
            <w:pPr>
              <w:spacing w:after="0"/>
            </w:pPr>
            <w:r>
              <w:rPr>
                <w:b/>
                <w:sz w:val="19"/>
              </w:rPr>
              <w:t>Equal Weight IR</w:t>
            </w:r>
          </w:p>
        </w:tc>
        <w:tc>
          <w:tcPr>
            <w:tcW w:type="dxa" w:w="2160"/>
          </w:tcPr>
          <w:p>
            <w:pPr>
              <w:spacing w:after="0"/>
            </w:pPr>
            <w:r>
              <w:rPr>
                <w:b/>
                <w:sz w:val="19"/>
              </w:rPr>
              <w:t>Inverse Vol IR</w:t>
            </w:r>
          </w:p>
        </w:tc>
      </w:tr>
      <w:tr>
        <w:tc>
          <w:tcPr>
            <w:tcW w:type="dxa" w:w="3456"/>
          </w:tcPr>
          <w:p>
            <w:pPr>
              <w:spacing w:after="0"/>
            </w:pPr>
            <w:r>
              <w:rPr>
                <w:sz w:val="19"/>
              </w:rPr>
              <w:t>Energy-NGL</w:t>
            </w:r>
          </w:p>
        </w:tc>
        <w:tc>
          <w:tcPr>
            <w:tcW w:type="dxa" w:w="2304"/>
          </w:tcPr>
          <w:p>
            <w:pPr>
              <w:spacing w:after="0"/>
              <w:jc w:val="right"/>
            </w:pPr>
            <w:r>
              <w:rPr>
                <w:sz w:val="19"/>
              </w:rPr>
              <w:t>0.35</w:t>
            </w:r>
          </w:p>
        </w:tc>
        <w:tc>
          <w:tcPr>
            <w:tcW w:type="dxa" w:w="2160"/>
          </w:tcPr>
          <w:p>
            <w:pPr>
              <w:spacing w:after="0"/>
              <w:jc w:val="right"/>
            </w:pPr>
            <w:r>
              <w:rPr>
                <w:sz w:val="19"/>
              </w:rPr>
              <w:t>1.23</w:t>
            </w:r>
          </w:p>
        </w:tc>
        <w:tc>
          <w:tcPr>
            <w:tcW w:type="dxa" w:w="2160"/>
          </w:tcPr>
          <w:p>
            <w:pPr>
              <w:spacing w:after="0"/>
              <w:jc w:val="right"/>
            </w:pPr>
            <w:r>
              <w:rPr>
                <w:sz w:val="19"/>
              </w:rPr>
              <w:t>1.21</w:t>
            </w:r>
          </w:p>
        </w:tc>
      </w:tr>
      <w:tr>
        <w:tc>
          <w:tcPr>
            <w:tcW w:type="dxa" w:w="3456"/>
          </w:tcPr>
          <w:p>
            <w:pPr>
              <w:spacing w:after="0"/>
            </w:pPr>
            <w:r>
              <w:rPr>
                <w:sz w:val="19"/>
              </w:rPr>
              <w:t>Metals-NGL</w:t>
            </w:r>
          </w:p>
        </w:tc>
        <w:tc>
          <w:tcPr>
            <w:tcW w:type="dxa" w:w="2304"/>
          </w:tcPr>
          <w:p>
            <w:pPr>
              <w:spacing w:after="0"/>
              <w:jc w:val="right"/>
            </w:pPr>
            <w:r>
              <w:rPr>
                <w:sz w:val="19"/>
              </w:rPr>
              <w:t>0.06</w:t>
            </w:r>
          </w:p>
        </w:tc>
        <w:tc>
          <w:tcPr>
            <w:tcW w:type="dxa" w:w="2160"/>
          </w:tcPr>
          <w:p>
            <w:pPr>
              <w:spacing w:after="0"/>
              <w:jc w:val="right"/>
            </w:pPr>
            <w:r>
              <w:rPr>
                <w:sz w:val="19"/>
              </w:rPr>
              <w:t>1.07</w:t>
            </w:r>
          </w:p>
        </w:tc>
        <w:tc>
          <w:tcPr>
            <w:tcW w:type="dxa" w:w="2160"/>
          </w:tcPr>
          <w:p>
            <w:pPr>
              <w:spacing w:after="0"/>
              <w:jc w:val="right"/>
            </w:pPr>
            <w:r>
              <w:rPr>
                <w:sz w:val="19"/>
              </w:rPr>
              <w:t>0.85</w:t>
            </w:r>
          </w:p>
        </w:tc>
      </w:tr>
      <w:tr>
        <w:tc>
          <w:tcPr>
            <w:tcW w:type="dxa" w:w="3456"/>
          </w:tcPr>
          <w:p>
            <w:pPr>
              <w:spacing w:after="0"/>
            </w:pPr>
            <w:r>
              <w:rPr>
                <w:sz w:val="19"/>
              </w:rPr>
              <w:t>NGL-Agriculture</w:t>
            </w:r>
          </w:p>
        </w:tc>
        <w:tc>
          <w:tcPr>
            <w:tcW w:type="dxa" w:w="2304"/>
          </w:tcPr>
          <w:p>
            <w:pPr>
              <w:spacing w:after="0"/>
              <w:jc w:val="right"/>
            </w:pPr>
            <w:r>
              <w:rPr>
                <w:sz w:val="19"/>
              </w:rPr>
              <w:t>0.06</w:t>
            </w:r>
          </w:p>
        </w:tc>
        <w:tc>
          <w:tcPr>
            <w:tcW w:type="dxa" w:w="2160"/>
          </w:tcPr>
          <w:p>
            <w:pPr>
              <w:spacing w:after="0"/>
              <w:jc w:val="right"/>
            </w:pPr>
            <w:r>
              <w:rPr>
                <w:sz w:val="19"/>
              </w:rPr>
              <w:t>1.02</w:t>
            </w:r>
          </w:p>
        </w:tc>
        <w:tc>
          <w:tcPr>
            <w:tcW w:type="dxa" w:w="2160"/>
          </w:tcPr>
          <w:p>
            <w:pPr>
              <w:spacing w:after="0"/>
              <w:jc w:val="right"/>
            </w:pPr>
            <w:r>
              <w:rPr>
                <w:sz w:val="19"/>
              </w:rPr>
              <w:t>0.72</w:t>
            </w:r>
          </w:p>
        </w:tc>
      </w:tr>
      <w:tr>
        <w:tc>
          <w:tcPr>
            <w:tcW w:type="dxa" w:w="3456"/>
          </w:tcPr>
          <w:p>
            <w:pPr>
              <w:spacing w:after="0"/>
            </w:pPr>
            <w:r>
              <w:rPr>
                <w:sz w:val="19"/>
              </w:rPr>
              <w:t>Precious Metals-NGL</w:t>
            </w:r>
          </w:p>
        </w:tc>
        <w:tc>
          <w:tcPr>
            <w:tcW w:type="dxa" w:w="2304"/>
          </w:tcPr>
          <w:p>
            <w:pPr>
              <w:spacing w:after="0"/>
              <w:jc w:val="right"/>
            </w:pPr>
            <w:r>
              <w:rPr>
                <w:sz w:val="19"/>
              </w:rPr>
              <w:t>0.02</w:t>
            </w:r>
          </w:p>
        </w:tc>
        <w:tc>
          <w:tcPr>
            <w:tcW w:type="dxa" w:w="2160"/>
          </w:tcPr>
          <w:p>
            <w:pPr>
              <w:spacing w:after="0"/>
              <w:jc w:val="right"/>
            </w:pPr>
            <w:r>
              <w:rPr>
                <w:sz w:val="19"/>
              </w:rPr>
              <w:t>0.89</w:t>
            </w:r>
          </w:p>
        </w:tc>
        <w:tc>
          <w:tcPr>
            <w:tcW w:type="dxa" w:w="2160"/>
          </w:tcPr>
          <w:p>
            <w:pPr>
              <w:spacing w:after="0"/>
              <w:jc w:val="right"/>
            </w:pPr>
            <w:r>
              <w:rPr>
                <w:sz w:val="19"/>
              </w:rPr>
              <w:t>0.61</w:t>
            </w:r>
          </w:p>
        </w:tc>
      </w:tr>
      <w:tr>
        <w:tc>
          <w:tcPr>
            <w:tcW w:type="dxa" w:w="3456"/>
          </w:tcPr>
          <w:p>
            <w:pPr>
              <w:spacing w:after="0"/>
            </w:pPr>
            <w:r>
              <w:rPr>
                <w:sz w:val="19"/>
              </w:rPr>
              <w:t>Metals-Energy</w:t>
            </w:r>
          </w:p>
        </w:tc>
        <w:tc>
          <w:tcPr>
            <w:tcW w:type="dxa" w:w="2304"/>
          </w:tcPr>
          <w:p>
            <w:pPr>
              <w:spacing w:after="0"/>
              <w:jc w:val="right"/>
            </w:pPr>
            <w:r>
              <w:rPr>
                <w:sz w:val="19"/>
              </w:rPr>
              <w:t>0.06</w:t>
            </w:r>
          </w:p>
        </w:tc>
        <w:tc>
          <w:tcPr>
            <w:tcW w:type="dxa" w:w="2160"/>
          </w:tcPr>
          <w:p>
            <w:pPr>
              <w:spacing w:after="0"/>
              <w:jc w:val="right"/>
            </w:pPr>
            <w:r>
              <w:rPr>
                <w:sz w:val="19"/>
              </w:rPr>
              <w:t>0.65</w:t>
            </w:r>
          </w:p>
        </w:tc>
        <w:tc>
          <w:tcPr>
            <w:tcW w:type="dxa" w:w="2160"/>
          </w:tcPr>
          <w:p>
            <w:pPr>
              <w:spacing w:after="0"/>
              <w:jc w:val="right"/>
            </w:pPr>
            <w:r>
              <w:rPr>
                <w:sz w:val="19"/>
              </w:rPr>
              <w:t>0.57</w:t>
            </w:r>
          </w:p>
        </w:tc>
      </w:tr>
      <w:tr>
        <w:tc>
          <w:tcPr>
            <w:tcW w:type="dxa" w:w="3456"/>
          </w:tcPr>
          <w:p>
            <w:pPr>
              <w:spacing w:after="0"/>
            </w:pPr>
            <w:r>
              <w:rPr>
                <w:sz w:val="19"/>
              </w:rPr>
              <w:t>Energy-Agriculture</w:t>
            </w:r>
          </w:p>
        </w:tc>
        <w:tc>
          <w:tcPr>
            <w:tcW w:type="dxa" w:w="2304"/>
          </w:tcPr>
          <w:p>
            <w:pPr>
              <w:spacing w:after="0"/>
              <w:jc w:val="right"/>
            </w:pPr>
            <w:r>
              <w:rPr>
                <w:sz w:val="19"/>
              </w:rPr>
              <w:t>0.08</w:t>
            </w:r>
          </w:p>
        </w:tc>
        <w:tc>
          <w:tcPr>
            <w:tcW w:type="dxa" w:w="2160"/>
          </w:tcPr>
          <w:p>
            <w:pPr>
              <w:spacing w:after="0"/>
              <w:jc w:val="right"/>
            </w:pPr>
            <w:r>
              <w:rPr>
                <w:sz w:val="19"/>
              </w:rPr>
              <w:t>0.59</w:t>
            </w:r>
          </w:p>
        </w:tc>
        <w:tc>
          <w:tcPr>
            <w:tcW w:type="dxa" w:w="2160"/>
          </w:tcPr>
          <w:p>
            <w:pPr>
              <w:spacing w:after="0"/>
              <w:jc w:val="right"/>
            </w:pPr>
            <w:r>
              <w:rPr>
                <w:sz w:val="19"/>
              </w:rPr>
              <w:t>0.38</w:t>
            </w:r>
          </w:p>
        </w:tc>
      </w:tr>
      <w:tr>
        <w:tc>
          <w:tcPr>
            <w:tcW w:type="dxa" w:w="3456"/>
          </w:tcPr>
          <w:p>
            <w:pPr>
              <w:spacing w:after="0"/>
            </w:pPr>
            <w:r>
              <w:rPr>
                <w:sz w:val="19"/>
              </w:rPr>
              <w:t>Energy-Precious Metals</w:t>
            </w:r>
          </w:p>
        </w:tc>
        <w:tc>
          <w:tcPr>
            <w:tcW w:type="dxa" w:w="2304"/>
          </w:tcPr>
          <w:p>
            <w:pPr>
              <w:spacing w:after="0"/>
              <w:jc w:val="right"/>
            </w:pPr>
            <w:r>
              <w:rPr>
                <w:sz w:val="19"/>
              </w:rPr>
              <w:t>0.03</w:t>
            </w:r>
          </w:p>
        </w:tc>
        <w:tc>
          <w:tcPr>
            <w:tcW w:type="dxa" w:w="2160"/>
          </w:tcPr>
          <w:p>
            <w:pPr>
              <w:spacing w:after="0"/>
              <w:jc w:val="right"/>
            </w:pPr>
            <w:r>
              <w:rPr>
                <w:sz w:val="19"/>
              </w:rPr>
              <w:t>0.48</w:t>
            </w:r>
          </w:p>
        </w:tc>
        <w:tc>
          <w:tcPr>
            <w:tcW w:type="dxa" w:w="2160"/>
          </w:tcPr>
          <w:p>
            <w:pPr>
              <w:spacing w:after="0"/>
              <w:jc w:val="right"/>
            </w:pPr>
            <w:r>
              <w:rPr>
                <w:sz w:val="19"/>
              </w:rPr>
              <w:t>0.38</w:t>
            </w:r>
          </w:p>
        </w:tc>
      </w:tr>
      <w:tr>
        <w:tc>
          <w:tcPr>
            <w:tcW w:type="dxa" w:w="3456"/>
          </w:tcPr>
          <w:p>
            <w:pPr>
              <w:spacing w:after="0"/>
            </w:pPr>
            <w:r>
              <w:rPr>
                <w:sz w:val="19"/>
              </w:rPr>
              <w:t>Metals-Agriculture</w:t>
            </w:r>
          </w:p>
        </w:tc>
        <w:tc>
          <w:tcPr>
            <w:tcW w:type="dxa" w:w="2304"/>
          </w:tcPr>
          <w:p>
            <w:pPr>
              <w:spacing w:after="0"/>
              <w:jc w:val="right"/>
            </w:pPr>
            <w:r>
              <w:rPr>
                <w:sz w:val="19"/>
              </w:rPr>
              <w:t>0.03</w:t>
            </w:r>
          </w:p>
        </w:tc>
        <w:tc>
          <w:tcPr>
            <w:tcW w:type="dxa" w:w="2160"/>
          </w:tcPr>
          <w:p>
            <w:pPr>
              <w:spacing w:after="0"/>
              <w:jc w:val="right"/>
            </w:pPr>
            <w:r>
              <w:rPr>
                <w:sz w:val="19"/>
              </w:rPr>
              <w:t>-0.13</w:t>
            </w:r>
          </w:p>
        </w:tc>
        <w:tc>
          <w:tcPr>
            <w:tcW w:type="dxa" w:w="2160"/>
          </w:tcPr>
          <w:p>
            <w:pPr>
              <w:spacing w:after="0"/>
              <w:jc w:val="right"/>
            </w:pPr>
            <w:r>
              <w:rPr>
                <w:sz w:val="19"/>
              </w:rPr>
              <w:t>-0.09</w:t>
            </w:r>
          </w:p>
        </w:tc>
      </w:tr>
      <w:tr>
        <w:tc>
          <w:tcPr>
            <w:tcW w:type="dxa" w:w="3456"/>
          </w:tcPr>
          <w:p>
            <w:pPr>
              <w:spacing w:after="0"/>
            </w:pPr>
            <w:r>
              <w:rPr>
                <w:sz w:val="19"/>
              </w:rPr>
              <w:t>Metals-Precious Metals</w:t>
            </w:r>
          </w:p>
        </w:tc>
        <w:tc>
          <w:tcPr>
            <w:tcW w:type="dxa" w:w="2304"/>
          </w:tcPr>
          <w:p>
            <w:pPr>
              <w:spacing w:after="0"/>
              <w:jc w:val="right"/>
            </w:pPr>
            <w:r>
              <w:rPr>
                <w:sz w:val="19"/>
              </w:rPr>
              <w:t>0.12</w:t>
            </w:r>
          </w:p>
        </w:tc>
        <w:tc>
          <w:tcPr>
            <w:tcW w:type="dxa" w:w="2160"/>
          </w:tcPr>
          <w:p>
            <w:pPr>
              <w:spacing w:after="0"/>
              <w:jc w:val="right"/>
            </w:pPr>
            <w:r>
              <w:rPr>
                <w:sz w:val="19"/>
              </w:rPr>
              <w:t>-0.20</w:t>
            </w:r>
          </w:p>
        </w:tc>
        <w:tc>
          <w:tcPr>
            <w:tcW w:type="dxa" w:w="2160"/>
          </w:tcPr>
          <w:p>
            <w:pPr>
              <w:spacing w:after="0"/>
              <w:jc w:val="right"/>
            </w:pPr>
            <w:r>
              <w:rPr>
                <w:sz w:val="19"/>
              </w:rPr>
              <w:t>-0.13</w:t>
            </w:r>
          </w:p>
        </w:tc>
      </w:tr>
      <w:tr>
        <w:tc>
          <w:tcPr>
            <w:tcW w:type="dxa" w:w="3456"/>
          </w:tcPr>
          <w:p>
            <w:pPr>
              <w:spacing w:after="0"/>
            </w:pPr>
            <w:r>
              <w:rPr>
                <w:sz w:val="19"/>
              </w:rPr>
              <w:t>Precious Metals-Agriculture</w:t>
            </w:r>
          </w:p>
        </w:tc>
        <w:tc>
          <w:tcPr>
            <w:tcW w:type="dxa" w:w="2304"/>
          </w:tcPr>
          <w:p>
            <w:pPr>
              <w:spacing w:after="0"/>
              <w:jc w:val="right"/>
            </w:pPr>
            <w:r>
              <w:rPr>
                <w:sz w:val="19"/>
              </w:rPr>
              <w:t>0.04</w:t>
            </w:r>
          </w:p>
        </w:tc>
        <w:tc>
          <w:tcPr>
            <w:tcW w:type="dxa" w:w="2160"/>
          </w:tcPr>
          <w:p>
            <w:pPr>
              <w:spacing w:after="0"/>
              <w:jc w:val="right"/>
            </w:pPr>
            <w:r>
              <w:rPr>
                <w:sz w:val="19"/>
              </w:rPr>
              <w:t>-0.27</w:t>
            </w:r>
          </w:p>
        </w:tc>
        <w:tc>
          <w:tcPr>
            <w:tcW w:type="dxa" w:w="2160"/>
          </w:tcPr>
          <w:p>
            <w:pPr>
              <w:spacing w:after="0"/>
              <w:jc w:val="right"/>
            </w:pPr>
            <w:r>
              <w:rPr>
                <w:sz w:val="19"/>
              </w:rPr>
              <w:t>-0.41</w:t>
            </w:r>
          </w:p>
        </w:tc>
      </w:tr>
    </w:tbl>
    <w:p w14:paraId="1C14AEA4" w14:textId="77777777" w:rsidR="00576CDE" w:rsidRDefault="00000000"/>
    <w:p w14:paraId="1C14AEA4" w14:textId="77777777" w:rsidR="00576CDE" w:rsidRDefault="00000000">
      <w:r>
        <w:rPr>
          <w:i/>
          <w:sz w:val="19"/>
        </w:rPr>
        <w:t>Note: The ten two-class pairs are formed as in Section 3.9: Equal Weight is Equal Weight within and across the two classes, Inverse Vol is Inverse Vol at both stages. IR is for the sample window, 1 January 2012 to 23 September 2026, net of 5 bp round-trip costs. The EW PORT correlation is the correlation of the two classes' Equal Weight portfolios (Section 4.4). Rows are sorted by Equal Weight IR. Energy includes Natural Gas.</w:t>
      </w:r>
    </w:p>
    <w:p w14:paraId="1C14AEA4" w14:textId="77777777" w:rsidR="00576CDE" w:rsidRDefault="00000000">
      <w:r>
        <w:rPr/>
        <w:t>Table 9 turns to the ten pairs of asset classes. Energy-NGL is the best pair under both constructions (IR 1.23 under Equal Weight and 1.21 under Inverse Vol), even though it is the most correlated pair, with an EW PORT correlation of 0.35; the second most correlated pair, Metals-Precious Metals, is at 0.12 and no other pair exceeds 0.08. High correlation therefore does not make Energy-NGL a poor combination. Its IR is close to that of NGL alone under Equal Weight (1.25) and above it under Inverse Vol (1.21 against 1.16), and it is well above Energy alone (0.76 and 0.78), at a volatility of 10.0% against 12.5% for NGL and 11.8% for Energy. The four best pairs under both constructions are the four that contain NGL, so every pair that includes the class with the strongest premium ranks above every pair that does not. The mechanism is the one in Section 4.2: the combination is as good as the classes in it.</w:t>
      </w:r>
    </w:p>
    <w:p w14:paraId="1C14AEA4" w14:textId="77777777" w:rsidR="00576CDE" w:rsidRDefault="00000000">
      <w:r>
        <w:rPr/>
        <w:t>The three weakest pairs are Metals-Precious Metals (-0.20 under Equal Weight, -0.13 under Inverse Vol), Metals-Agriculture (-0.13, -0.09) and Precious Metals-Agriculture (-0.27, -0.41, the lowest of the ten under both constructions). They are the only pairs with a negative IR under either construction, and each is negative in P3 under both (Equal Weight -0.48, -0.53, -0.56; Inverse Vol -0.41, -0.36, -0.67 for the three pairs in the order above). They are built from the three classes with no positive full-sample IR of their own (Metals -0.04, Precious Metals -0.23, Agriculture -0.15 under Equal Weight), and their EW PORT correlations are low (0.03 to 0.12). Low correlation reduces their volatility, which is the lowest of the ten pairs (5.2% or less under Equal Weight), but there is no premium to diversify. Inverse Vol pulls one pair down more than any other, NGL-Agriculture (1.02 to 0.72). This is consistent with the weighting: NGL's portfolio is more than twice as volatile as Agriculture's (12.5% against 5.5%), and Inverse Vol gives NGL an average weight of only 0.35 in the pair.</w:t>
      </w:r>
    </w:p>
    <w:p w14:paraId="1C14AEA4" w14:textId="77777777" w:rsidR="00576CDE" w:rsidRDefault="00000000">
      <w:r>
        <w:rPr/>
        <w:t>The central result of the section is that diversifying across all five classes lowers volatility but does not beat concentration. The five-class portfolios have a volatility of 3.5% to 5.0%, below that of every single class (Agriculture, the lowest, is at 5.5%). Their return, however, is 4.2% for Equal Weight and 4.5% for by-signal Inverse Vol, against 15.7% for NGL, 9.0% for Energy and 12.3% for Energy-NGL under Equal Weight. On IR, no five-class portfolio beats NGL alone (1.25 under Equal Weight, 1.16 under Inverse Vol) or the Energy-NGL pair (1.23 and 1.21), whereas the Equal Weight and by-signal Inverse Vol portfolios (0.87 and 0.91) are ahead of Energy alone (0.76 and 0.78) and the portfolio with Inverse Vol at both stages (0.60) is not. These comparisons use the same sample on which the concentration was found, so they describe the data and are not a test. The results are consistent with Virtual Barrels (2023, p. 86), who observes for practitioner commodity risk premia books that the largest share of the profit typically comes from energy futures and that the other sectors mostly provide diversification and reduce the denominator of the risk-adjusted return; his statement refers to diversified cross-sectional factor portfolios and gives no figures comparable to ours.</w:t>
      </w:r>
    </w:p>
    <w:p w14:paraId="1C14AEA4" w14:textId="77777777" w:rsidR="00576CDE" w:rsidRDefault="00000000">
      <w:r>
        <w:rPr/>
        <w:t>Bogorad (2025a) finds, in an energy-only study, that low correlations across economically distinct strategies give strong risk-adjusted performance under simple aggregation. Our classes are also weakly correlated (Table 9), yet aggregation does not lift the IR above that of NGL alone, which is consistent with most of the classes added having no premium of their own. Equal Weight across classes also beats Inverse Vol across classes in this sample (Table 8), which parallels the finding of Fernandez-Perez, Fuertes and Miffre (2021) that equal-weight integration of styles is hard to beat in energy futures, although their comparison concerns styles and not asset classes. The universe, signals and period differ between the studies, so we compare only the pattern. Section 4.4 turns from performance to correlations.</w:t>
      </w:r>
    </w:p>
    <w:p w14:paraId="1C14AEA4" w14:textId="77777777" w:rsidR="00576CDE" w:rsidRDefault="00000000">
      <w:pPr>
        <w:keepNext/>
        <w:spacing w:before="160"/>
      </w:pPr>
      <w:r>
        <w:rPr>
          <w:b/>
          <w:sz w:val="24"/>
        </w:rPr>
        <w:t>4.4 Correlations</w:t>
      </w:r>
    </w:p>
    <w:p w14:paraId="1C14AEA4" w14:textId="77777777" w:rsidR="00576CDE" w:rsidRDefault="00000000">
      <w:r>
        <w:rPr/>
        <w:t>This section looks at how the signals and portfolios move together. Correlations are Pearson correlations of daily net log returns over the sample window (Section 3.9). We report them to complement the performance results of Section 4.3, because they show which sleeves and classes add diversification, and because they bear on the interpretation of the Skewness sleeve in Section 5.3. We look first within each asset class, among its five sleeves and two portfolios, then across asset classes for each series type, and finally between the cross-commodity portfolio and traditional assets. The correlation matrices themselves are not reproduced here. The correlations describe co-movement in this sample and the explanations we offer for them are consistent with the patterns, not tests of them.</w:t>
      </w:r>
    </w:p>
    <w:p w14:paraId="1C14AEA4" w14:textId="77777777" w:rsidR="00576CDE" w:rsidRDefault="00000000">
      <w:r>
        <w:rPr/>
        <w:t>Within each class, the two sleeves that are not built on trend or curve shape are the least correlated with the portfolio. Value has the lowest correlation with the Equal Weight portfolio (EW PORT) of the five sleeves in every class: -0.07 in Metals, -0.21 in Energy, 0.12 in NGL, -0.29 in Precious Metals and 0.13 in Agriculture. Skewness has the second lowest in every class (0.36 in Metals, 0.27 in Energy, 0.26 in NGL, 0.40 in Precious Metals and 0.27 in Agriculture). Momentum, Carry and Carry-Momentum all correlate at 0.54 or more with the portfolio in every class. Value is negative in Metals, Energy and Precious Metals, and positive in NGL and Agriculture, where it is still the lowest of the five. This is consistent with Value and Skewness acting as diversifiers inside the portfolio, and it agrees with Section 4.2, where adding Skewness cuts volatility in every class.</w:t>
      </w:r>
    </w:p>
    <w:p w14:paraId="1C14AEA4" w14:textId="77777777" w:rsidR="00576CDE" w:rsidRDefault="00000000">
      <w:r>
        <w:rPr/>
        <w:t>Value is negatively correlated with Momentum in all five classes (-0.50 in Metals, -0.49 in Energy, -0.46 in NGL, -0.41 in Precious Metals and -0.29 in Agriculture). This is consistent with a rule that buys products far below their five-year average opposing one that follows the recent trend. Among the other pairs, Momentum and Carry are the most correlated in Energy (0.67), NGL (0.68) and Agriculture (0.40), consistent with a common driver behind the two signals that we do not test. In Metals and Precious Metals the closest pair is instead Carry and Carry-Momentum (0.41 and 0.50).</w:t>
      </w:r>
    </w:p>
    <w:p w14:paraId="1C14AEA4" w14:textId="77777777" w:rsidR="00576CDE" w:rsidRDefault="00000000">
      <w:r>
        <w:rPr/>
        <w:t>Skewness pairs differently from class to class. Its correlation with Value is negative in four classes and strongest in Precious Metals (-0.20 in Metals, -0.15 in Energy, 0.27 in NGL, -0.62 in Precious Metals and -0.14 in Agriculture); NGL is the exception, where it is positive. In Precious Metals the two sleeves tend to hold opposite positions (daily position correlation -0.81 in Palladium and -0.33 in Gold): Value is short when a metal trades well above its five-year average, and Skewness is then long on 67% to 99% of those days across the four metals, which is consistent with Value shorting rallies that Skewness stays long. With Momentum and Carry, Skewness is close to zero in Metals and Agriculture, and most negative in NGL (-0.25 with Momentum and -0.31 with Carry); in Precious Metals it is positive with Carry (0.20). Finally, Inverse Vol tracks its own EW PORT closely in every class, with correlations between 0.95 and 0.99, as expected for two weightings of the same five sleeves.</w:t>
      </w:r>
    </w:p>
    <w:p w14:paraId="1C14AEA4" w14:textId="77777777" w:rsidR="00576CDE" w:rsidRDefault="00000000">
      <w:r>
        <w:rPr/>
        <w:t>Across asset classes, Energy and NGL are the most correlated pair for all seven series: Momentum (0.46), Carry (0.26), Carry-Momentum (0.21), Value (0.55), Skewness (0.51), EW PORT (0.35) and Inverse Vol (0.34), consistent with both classes trading the same hydrocarbon complex. Metals and Precious Metals are the second most correlated pair for Momentum (0.23), Value (0.27), Skewness (0.15), EW PORT (0.12) and Inverse Vol (0.10), a link between the two metal groups that we do not explain; for Carry the second place is Metals-NGL (0.09) and for Carry-Momentum Energy-Agriculture (0.06), with Metals-Precious Metals essentially uncorrelated in Carry-Momentum (0.01). Every other pairwise correlation is below 0.23. Carry-Momentum has the lowest cross-commodity correlations of the seven series: its correlations with the same strategy in other classes average 0.05 in magnitude (Carry 0.07), and none of its ten pairwise readings exceeds 0.21. In Section 4.3 the pair with the highest correlation, Energy-NGL, was also the best pair, so a low correlation is not what makes a combination work.</w:t>
      </w:r>
    </w:p>
    <w:p w14:paraId="1C14AEA4" w14:textId="77777777" w:rsidR="00576CDE" w:rsidRDefault="00000000">
      <w:r>
        <w:rPr/>
        <w:t>The last comparison is with traditional assets. We use daily returns of four exchange-traded funds as proxies: SPY for Equity, AGG for Fixed Income, DBC for a Commodity Index and GLD for Gold, and a 60/40 portfolio of SPY and AGG rebalanced daily. Prices are adjusted closing prices from Yahoo Finance, downloaded on 12 October 2026, and correlations use the days on which the ETF series and the strategy series are both available, 3,636 days from 2012 to 23 September 2026. Table 10 gives the correlations of the five by-signal strategies and of the two reference cross-commodity portfolios.</w:t>
      </w:r>
    </w:p>
    <w:p w14:paraId="1C14AEA4" w14:textId="77777777" w:rsidR="00576CDE" w:rsidRDefault="00000000">
      <w:pPr>
        <w:keepNext/>
      </w:pPr>
      <w:r>
        <w:rPr>
          <w:b/>
          <w:sz w:val="22"/>
        </w:rPr>
        <w:t>Table 10: Correlation of the cross-commodity portfolio and its signals with traditional assets</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3168"/>
          </w:tcPr>
          <w:p>
            <w:pPr>
              <w:spacing w:after="0"/>
            </w:pPr>
            <w:r>
              <w:rPr>
                <w:b/>
                <w:sz w:val="19"/>
              </w:rPr>
              <w:t>Series</w:t>
            </w:r>
          </w:p>
        </w:tc>
        <w:tc>
          <w:tcPr>
            <w:tcW w:type="dxa" w:w="1296"/>
          </w:tcPr>
          <w:p>
            <w:pPr>
              <w:spacing w:after="0"/>
            </w:pPr>
            <w:r>
              <w:rPr>
                <w:b/>
                <w:sz w:val="19"/>
              </w:rPr>
              <w:t>Equity</w:t>
            </w:r>
          </w:p>
        </w:tc>
        <w:tc>
          <w:tcPr>
            <w:tcW w:type="dxa" w:w="1584"/>
          </w:tcPr>
          <w:p>
            <w:pPr>
              <w:spacing w:after="0"/>
            </w:pPr>
            <w:r>
              <w:rPr>
                <w:b/>
                <w:sz w:val="19"/>
              </w:rPr>
              <w:t>Fixed Income</w:t>
            </w:r>
          </w:p>
        </w:tc>
        <w:tc>
          <w:tcPr>
            <w:tcW w:type="dxa" w:w="1872"/>
          </w:tcPr>
          <w:p>
            <w:pPr>
              <w:spacing w:after="0"/>
            </w:pPr>
            <w:r>
              <w:rPr>
                <w:b/>
                <w:sz w:val="19"/>
              </w:rPr>
              <w:t>Commodity Index</w:t>
            </w:r>
          </w:p>
        </w:tc>
        <w:tc>
          <w:tcPr>
            <w:tcW w:type="dxa" w:w="1152"/>
          </w:tcPr>
          <w:p>
            <w:pPr>
              <w:spacing w:after="0"/>
            </w:pPr>
            <w:r>
              <w:rPr>
                <w:b/>
                <w:sz w:val="19"/>
              </w:rPr>
              <w:t>Gold</w:t>
            </w:r>
          </w:p>
        </w:tc>
        <w:tc>
          <w:tcPr>
            <w:tcW w:type="dxa" w:w="1296"/>
          </w:tcPr>
          <w:p>
            <w:pPr>
              <w:spacing w:after="0"/>
            </w:pPr>
            <w:r>
              <w:rPr>
                <w:b/>
                <w:sz w:val="19"/>
              </w:rPr>
              <w:t>60/40</w:t>
            </w:r>
          </w:p>
        </w:tc>
      </w:tr>
      <w:tr>
        <w:tc>
          <w:tcPr>
            <w:tcW w:type="dxa" w:w="3168"/>
          </w:tcPr>
          <w:p>
            <w:pPr>
              <w:spacing w:after="0"/>
            </w:pPr>
            <w:r>
              <w:rPr>
                <w:sz w:val="19"/>
              </w:rPr>
              <w:t>Momentum</w:t>
            </w:r>
          </w:p>
        </w:tc>
        <w:tc>
          <w:tcPr>
            <w:tcW w:type="dxa" w:w="1296"/>
          </w:tcPr>
          <w:p>
            <w:pPr>
              <w:spacing w:after="0"/>
              <w:jc w:val="right"/>
            </w:pPr>
            <w:r>
              <w:rPr>
                <w:sz w:val="19"/>
              </w:rPr>
              <w:t>-0.22</w:t>
            </w:r>
          </w:p>
        </w:tc>
        <w:tc>
          <w:tcPr>
            <w:tcW w:type="dxa" w:w="1584"/>
          </w:tcPr>
          <w:p>
            <w:pPr>
              <w:spacing w:after="0"/>
              <w:jc w:val="right"/>
            </w:pPr>
            <w:r>
              <w:rPr>
                <w:sz w:val="19"/>
              </w:rPr>
              <w:t>-0.03</w:t>
            </w:r>
          </w:p>
        </w:tc>
        <w:tc>
          <w:tcPr>
            <w:tcW w:type="dxa" w:w="1872"/>
          </w:tcPr>
          <w:p>
            <w:pPr>
              <w:spacing w:after="0"/>
              <w:jc w:val="right"/>
            </w:pPr>
            <w:r>
              <w:rPr>
                <w:sz w:val="19"/>
              </w:rPr>
              <w:t>-0.10</w:t>
            </w:r>
          </w:p>
        </w:tc>
        <w:tc>
          <w:tcPr>
            <w:tcW w:type="dxa" w:w="1152"/>
          </w:tcPr>
          <w:p>
            <w:pPr>
              <w:spacing w:after="0"/>
              <w:jc w:val="right"/>
            </w:pPr>
            <w:r>
              <w:rPr>
                <w:sz w:val="19"/>
              </w:rPr>
              <w:t>0.01</w:t>
            </w:r>
          </w:p>
        </w:tc>
        <w:tc>
          <w:tcPr>
            <w:tcW w:type="dxa" w:w="1296"/>
          </w:tcPr>
          <w:p>
            <w:pPr>
              <w:spacing w:after="0"/>
              <w:jc w:val="right"/>
            </w:pPr>
            <w:r>
              <w:rPr>
                <w:sz w:val="19"/>
              </w:rPr>
              <w:t>-0.22</w:t>
            </w:r>
          </w:p>
        </w:tc>
      </w:tr>
      <w:tr>
        <w:tc>
          <w:tcPr>
            <w:tcW w:type="dxa" w:w="3168"/>
          </w:tcPr>
          <w:p>
            <w:pPr>
              <w:spacing w:after="0"/>
            </w:pPr>
            <w:r>
              <w:rPr>
                <w:sz w:val="19"/>
              </w:rPr>
              <w:t>Carry</w:t>
            </w:r>
          </w:p>
        </w:tc>
        <w:tc>
          <w:tcPr>
            <w:tcW w:type="dxa" w:w="1296"/>
          </w:tcPr>
          <w:p>
            <w:pPr>
              <w:spacing w:after="0"/>
              <w:jc w:val="right"/>
            </w:pPr>
            <w:r>
              <w:rPr>
                <w:sz w:val="19"/>
              </w:rPr>
              <w:t>-0.17</w:t>
            </w:r>
          </w:p>
        </w:tc>
        <w:tc>
          <w:tcPr>
            <w:tcW w:type="dxa" w:w="1584"/>
          </w:tcPr>
          <w:p>
            <w:pPr>
              <w:spacing w:after="0"/>
              <w:jc w:val="right"/>
            </w:pPr>
            <w:r>
              <w:rPr>
                <w:sz w:val="19"/>
              </w:rPr>
              <w:t>-0.05</w:t>
            </w:r>
          </w:p>
        </w:tc>
        <w:tc>
          <w:tcPr>
            <w:tcW w:type="dxa" w:w="1872"/>
          </w:tcPr>
          <w:p>
            <w:pPr>
              <w:spacing w:after="0"/>
              <w:jc w:val="right"/>
            </w:pPr>
            <w:r>
              <w:rPr>
                <w:sz w:val="19"/>
              </w:rPr>
              <w:t>-0.01</w:t>
            </w:r>
          </w:p>
        </w:tc>
        <w:tc>
          <w:tcPr>
            <w:tcW w:type="dxa" w:w="1152"/>
          </w:tcPr>
          <w:p>
            <w:pPr>
              <w:spacing w:after="0"/>
              <w:jc w:val="right"/>
            </w:pPr>
            <w:r>
              <w:rPr>
                <w:sz w:val="19"/>
              </w:rPr>
              <w:t>-0.02</w:t>
            </w:r>
          </w:p>
        </w:tc>
        <w:tc>
          <w:tcPr>
            <w:tcW w:type="dxa" w:w="1296"/>
          </w:tcPr>
          <w:p>
            <w:pPr>
              <w:spacing w:after="0"/>
              <w:jc w:val="right"/>
            </w:pPr>
            <w:r>
              <w:rPr>
                <w:sz w:val="19"/>
              </w:rPr>
              <w:t>-0.17</w:t>
            </w:r>
          </w:p>
        </w:tc>
      </w:tr>
      <w:tr>
        <w:tc>
          <w:tcPr>
            <w:tcW w:type="dxa" w:w="3168"/>
          </w:tcPr>
          <w:p>
            <w:pPr>
              <w:spacing w:after="0"/>
            </w:pPr>
            <w:r>
              <w:rPr>
                <w:sz w:val="19"/>
              </w:rPr>
              <w:t>Carry-Momentum</w:t>
            </w:r>
          </w:p>
        </w:tc>
        <w:tc>
          <w:tcPr>
            <w:tcW w:type="dxa" w:w="1296"/>
          </w:tcPr>
          <w:p>
            <w:pPr>
              <w:spacing w:after="0"/>
              <w:jc w:val="right"/>
            </w:pPr>
            <w:r>
              <w:rPr>
                <w:sz w:val="19"/>
              </w:rPr>
              <w:t>-0.14</w:t>
            </w:r>
          </w:p>
        </w:tc>
        <w:tc>
          <w:tcPr>
            <w:tcW w:type="dxa" w:w="1584"/>
          </w:tcPr>
          <w:p>
            <w:pPr>
              <w:spacing w:after="0"/>
              <w:jc w:val="right"/>
            </w:pPr>
            <w:r>
              <w:rPr>
                <w:sz w:val="19"/>
              </w:rPr>
              <w:t>-0.03</w:t>
            </w:r>
          </w:p>
        </w:tc>
        <w:tc>
          <w:tcPr>
            <w:tcW w:type="dxa" w:w="1872"/>
          </w:tcPr>
          <w:p>
            <w:pPr>
              <w:spacing w:after="0"/>
              <w:jc w:val="right"/>
            </w:pPr>
            <w:r>
              <w:rPr>
                <w:sz w:val="19"/>
              </w:rPr>
              <w:t>-0.06</w:t>
            </w:r>
          </w:p>
        </w:tc>
        <w:tc>
          <w:tcPr>
            <w:tcW w:type="dxa" w:w="1152"/>
          </w:tcPr>
          <w:p>
            <w:pPr>
              <w:spacing w:after="0"/>
              <w:jc w:val="right"/>
            </w:pPr>
            <w:r>
              <w:rPr>
                <w:sz w:val="19"/>
              </w:rPr>
              <w:t>0.01</w:t>
            </w:r>
          </w:p>
        </w:tc>
        <w:tc>
          <w:tcPr>
            <w:tcW w:type="dxa" w:w="1296"/>
          </w:tcPr>
          <w:p>
            <w:pPr>
              <w:spacing w:after="0"/>
              <w:jc w:val="right"/>
            </w:pPr>
            <w:r>
              <w:rPr>
                <w:sz w:val="19"/>
              </w:rPr>
              <w:t>-0.14</w:t>
            </w:r>
          </w:p>
        </w:tc>
      </w:tr>
      <w:tr>
        <w:tc>
          <w:tcPr>
            <w:tcW w:type="dxa" w:w="3168"/>
          </w:tcPr>
          <w:p>
            <w:pPr>
              <w:spacing w:after="0"/>
            </w:pPr>
            <w:r>
              <w:rPr>
                <w:sz w:val="19"/>
              </w:rPr>
              <w:t>Value</w:t>
            </w:r>
          </w:p>
        </w:tc>
        <w:tc>
          <w:tcPr>
            <w:tcW w:type="dxa" w:w="1296"/>
          </w:tcPr>
          <w:p>
            <w:pPr>
              <w:spacing w:after="0"/>
              <w:jc w:val="right"/>
            </w:pPr>
            <w:r>
              <w:rPr>
                <w:sz w:val="19"/>
              </w:rPr>
              <w:t>0.14</w:t>
            </w:r>
          </w:p>
        </w:tc>
        <w:tc>
          <w:tcPr>
            <w:tcW w:type="dxa" w:w="1584"/>
          </w:tcPr>
          <w:p>
            <w:pPr>
              <w:spacing w:after="0"/>
              <w:jc w:val="right"/>
            </w:pPr>
            <w:r>
              <w:rPr>
                <w:sz w:val="19"/>
              </w:rPr>
              <w:t>0.02</w:t>
            </w:r>
          </w:p>
        </w:tc>
        <w:tc>
          <w:tcPr>
            <w:tcW w:type="dxa" w:w="1872"/>
          </w:tcPr>
          <w:p>
            <w:pPr>
              <w:spacing w:after="0"/>
              <w:jc w:val="right"/>
            </w:pPr>
            <w:r>
              <w:rPr>
                <w:sz w:val="19"/>
              </w:rPr>
              <w:t>0.07</w:t>
            </w:r>
          </w:p>
        </w:tc>
        <w:tc>
          <w:tcPr>
            <w:tcW w:type="dxa" w:w="1152"/>
          </w:tcPr>
          <w:p>
            <w:pPr>
              <w:spacing w:after="0"/>
              <w:jc w:val="right"/>
            </w:pPr>
            <w:r>
              <w:rPr>
                <w:sz w:val="19"/>
              </w:rPr>
              <w:t>-0.12</w:t>
            </w:r>
          </w:p>
        </w:tc>
        <w:tc>
          <w:tcPr>
            <w:tcW w:type="dxa" w:w="1296"/>
          </w:tcPr>
          <w:p>
            <w:pPr>
              <w:spacing w:after="0"/>
              <w:jc w:val="right"/>
            </w:pPr>
            <w:r>
              <w:rPr>
                <w:sz w:val="19"/>
              </w:rPr>
              <w:t>0.13</w:t>
            </w:r>
          </w:p>
        </w:tc>
      </w:tr>
      <w:tr>
        <w:tc>
          <w:tcPr>
            <w:tcW w:type="dxa" w:w="3168"/>
          </w:tcPr>
          <w:p>
            <w:pPr>
              <w:spacing w:after="0"/>
            </w:pPr>
            <w:r>
              <w:rPr>
                <w:sz w:val="19"/>
              </w:rPr>
              <w:t>Skewness</w:t>
            </w:r>
          </w:p>
        </w:tc>
        <w:tc>
          <w:tcPr>
            <w:tcW w:type="dxa" w:w="1296"/>
          </w:tcPr>
          <w:p>
            <w:pPr>
              <w:spacing w:after="0"/>
              <w:jc w:val="right"/>
            </w:pPr>
            <w:r>
              <w:rPr>
                <w:sz w:val="19"/>
              </w:rPr>
              <w:t>0.17</w:t>
            </w:r>
          </w:p>
        </w:tc>
        <w:tc>
          <w:tcPr>
            <w:tcW w:type="dxa" w:w="1584"/>
          </w:tcPr>
          <w:p>
            <w:pPr>
              <w:spacing w:after="0"/>
              <w:jc w:val="right"/>
            </w:pPr>
            <w:r>
              <w:rPr>
                <w:sz w:val="19"/>
              </w:rPr>
              <w:t>-0.02</w:t>
            </w:r>
          </w:p>
        </w:tc>
        <w:tc>
          <w:tcPr>
            <w:tcW w:type="dxa" w:w="1872"/>
          </w:tcPr>
          <w:p>
            <w:pPr>
              <w:spacing w:after="0"/>
              <w:jc w:val="right"/>
            </w:pPr>
            <w:r>
              <w:rPr>
                <w:sz w:val="19"/>
              </w:rPr>
              <w:t>0.46</w:t>
            </w:r>
          </w:p>
        </w:tc>
        <w:tc>
          <w:tcPr>
            <w:tcW w:type="dxa" w:w="1152"/>
          </w:tcPr>
          <w:p>
            <w:pPr>
              <w:spacing w:after="0"/>
              <w:jc w:val="right"/>
            </w:pPr>
            <w:r>
              <w:rPr>
                <w:sz w:val="19"/>
              </w:rPr>
              <w:t>0.17</w:t>
            </w:r>
          </w:p>
        </w:tc>
        <w:tc>
          <w:tcPr>
            <w:tcW w:type="dxa" w:w="1296"/>
          </w:tcPr>
          <w:p>
            <w:pPr>
              <w:spacing w:after="0"/>
              <w:jc w:val="right"/>
            </w:pPr>
            <w:r>
              <w:rPr>
                <w:sz w:val="19"/>
              </w:rPr>
              <w:t>0.16</w:t>
            </w:r>
          </w:p>
        </w:tc>
      </w:tr>
      <w:tr>
        <w:tc>
          <w:tcPr>
            <w:tcW w:type="dxa" w:w="3168"/>
          </w:tcPr>
          <w:p>
            <w:pPr>
              <w:spacing w:after="0"/>
            </w:pPr>
            <w:r>
              <w:rPr>
                <w:sz w:val="19"/>
              </w:rPr>
              <w:t>Equal Weight (EW PORT)</w:t>
            </w:r>
          </w:p>
        </w:tc>
        <w:tc>
          <w:tcPr>
            <w:tcW w:type="dxa" w:w="1296"/>
          </w:tcPr>
          <w:p>
            <w:pPr>
              <w:spacing w:after="0"/>
              <w:jc w:val="right"/>
            </w:pPr>
            <w:r>
              <w:rPr>
                <w:sz w:val="19"/>
              </w:rPr>
              <w:t>-0.09</w:t>
            </w:r>
          </w:p>
        </w:tc>
        <w:tc>
          <w:tcPr>
            <w:tcW w:type="dxa" w:w="1584"/>
          </w:tcPr>
          <w:p>
            <w:pPr>
              <w:spacing w:after="0"/>
              <w:jc w:val="right"/>
            </w:pPr>
            <w:r>
              <w:rPr>
                <w:sz w:val="19"/>
              </w:rPr>
              <w:t>-0.05</w:t>
            </w:r>
          </w:p>
        </w:tc>
        <w:tc>
          <w:tcPr>
            <w:tcW w:type="dxa" w:w="1872"/>
          </w:tcPr>
          <w:p>
            <w:pPr>
              <w:spacing w:after="0"/>
              <w:jc w:val="right"/>
            </w:pPr>
            <w:r>
              <w:rPr>
                <w:sz w:val="19"/>
              </w:rPr>
              <w:t>0.18</w:t>
            </w:r>
          </w:p>
        </w:tc>
        <w:tc>
          <w:tcPr>
            <w:tcW w:type="dxa" w:w="1152"/>
          </w:tcPr>
          <w:p>
            <w:pPr>
              <w:spacing w:after="0"/>
              <w:jc w:val="right"/>
            </w:pPr>
            <w:r>
              <w:rPr>
                <w:sz w:val="19"/>
              </w:rPr>
              <w:t>0.02</w:t>
            </w:r>
          </w:p>
        </w:tc>
        <w:tc>
          <w:tcPr>
            <w:tcW w:type="dxa" w:w="1296"/>
          </w:tcPr>
          <w:p>
            <w:pPr>
              <w:spacing w:after="0"/>
              <w:jc w:val="right"/>
            </w:pPr>
            <w:r>
              <w:rPr>
                <w:sz w:val="19"/>
              </w:rPr>
              <w:t>-0.09</w:t>
            </w:r>
          </w:p>
        </w:tc>
      </w:tr>
      <w:tr>
        <w:tc>
          <w:tcPr>
            <w:tcW w:type="dxa" w:w="3168"/>
          </w:tcPr>
          <w:p>
            <w:pPr>
              <w:spacing w:after="0"/>
            </w:pPr>
            <w:r>
              <w:rPr>
                <w:sz w:val="19"/>
              </w:rPr>
              <w:t>Inverse Vol</w:t>
            </w:r>
          </w:p>
        </w:tc>
        <w:tc>
          <w:tcPr>
            <w:tcW w:type="dxa" w:w="1296"/>
          </w:tcPr>
          <w:p>
            <w:pPr>
              <w:spacing w:after="0"/>
              <w:jc w:val="right"/>
            </w:pPr>
            <w:r>
              <w:rPr>
                <w:sz w:val="19"/>
              </w:rPr>
              <w:t>-0.11</w:t>
            </w:r>
          </w:p>
        </w:tc>
        <w:tc>
          <w:tcPr>
            <w:tcW w:type="dxa" w:w="1584"/>
          </w:tcPr>
          <w:p>
            <w:pPr>
              <w:spacing w:after="0"/>
              <w:jc w:val="right"/>
            </w:pPr>
            <w:r>
              <w:rPr>
                <w:sz w:val="19"/>
              </w:rPr>
              <w:t>-0.05</w:t>
            </w:r>
          </w:p>
        </w:tc>
        <w:tc>
          <w:tcPr>
            <w:tcW w:type="dxa" w:w="1872"/>
          </w:tcPr>
          <w:p>
            <w:pPr>
              <w:spacing w:after="0"/>
              <w:jc w:val="right"/>
            </w:pPr>
            <w:r>
              <w:rPr>
                <w:sz w:val="19"/>
              </w:rPr>
              <w:t>0.15</w:t>
            </w:r>
          </w:p>
        </w:tc>
        <w:tc>
          <w:tcPr>
            <w:tcW w:type="dxa" w:w="1152"/>
          </w:tcPr>
          <w:p>
            <w:pPr>
              <w:spacing w:after="0"/>
              <w:jc w:val="right"/>
            </w:pPr>
            <w:r>
              <w:rPr>
                <w:sz w:val="19"/>
              </w:rPr>
              <w:t>0.02</w:t>
            </w:r>
          </w:p>
        </w:tc>
        <w:tc>
          <w:tcPr>
            <w:tcW w:type="dxa" w:w="1296"/>
          </w:tcPr>
          <w:p>
            <w:pPr>
              <w:spacing w:after="0"/>
              <w:jc w:val="right"/>
            </w:pPr>
            <w:r>
              <w:rPr>
                <w:sz w:val="19"/>
              </w:rPr>
              <w:t>-0.11</w:t>
            </w:r>
          </w:p>
        </w:tc>
      </w:tr>
    </w:tbl>
    <w:p w14:paraId="1C14AEA4" w14:textId="77777777" w:rsidR="00576CDE" w:rsidRDefault="00000000"/>
    <w:p w14:paraId="1C14AEA4" w14:textId="77777777" w:rsidR="00576CDE" w:rsidRDefault="00000000">
      <w:r>
        <w:rPr>
          <w:i/>
          <w:sz w:val="19"/>
        </w:rPr>
        <w:t>Note: Pearson correlations of daily returns. Equity is SPY, Fixed Income AGG, Commodity Index DBC, Gold GLD and 60/40 a daily-rebalanced portfolio of 60% SPY and 40% AGG (adjusted prices, Yahoo Finance, downloaded 12 October 2026). The first five rows are the strategies of Table 8 equal-weighted across the five asset classes; Equal Weight and Inverse Vol are the two reference cross-commodity portfolios (the by-signal portfolios). Energy includes Natural Gas.</w:t>
      </w:r>
    </w:p>
    <w:p w14:paraId="1C14AEA4" w14:textId="77777777" w:rsidR="00576CDE" w:rsidRDefault="00000000">
      <w:r>
        <w:rPr/>
        <w:t>The cross-commodity portfolios diversify equity and bonds but are not free of commodity beta. Both correlate negatively with Equity (Equal Weight -0.09, Inverse Vol -0.11) and with the 60/40 portfolio (-0.09 and -0.11), and are close to zero against Fixed Income (-0.05 and -0.05) and Gold (0.02 and 0.02). Against the Commodity Index they are positive (0.18 and 0.15). Momentum, Carry and Carry-Momentum are negatively correlated with Equity and essentially uncorrelated with Gold (0.01, -0.02 and 0.01), whereas Value (0.14) and Skewness (0.17) are the two strategies positively correlated with Equity. The positive link to the Commodity Index comes from Skewness, which correlates 0.46 with it (0.17 with Gold). Without Skewness the correlations of the portfolios with the Commodity Index are -0.04 and -0.04. This is consistent with a Skewness sleeve that is mostly long, as the four oil products (long on 89% to 100% of P3 days) and the four NGL products (79% to 99%) show, and that therefore moves with the commodity market, which bears on how the Skewness gains are read.</w:t>
      </w:r>
    </w:p>
    <w:p w14:paraId="1C14AEA4" w14:textId="77777777" w:rsidR="00576CDE" w:rsidRDefault="00000000">
      <w:r>
        <w:rPr/>
        <w:t>Taken together, the correlations relate to two features of the results above. The sleeves with the weakest ties to their portfolios, Value and Skewness, are the ones that lift the portfolio in the periods in which Momentum, Carry and Carry-Momentum fade, and the high correlation between Energy and NGL, the two classes with a premium, does not prevent them from forming the best pair. They also show what the cross-commodity portfolio gives up: it offers diversification against equity and bonds, but with Skewness it carries some exposure to the commodity market itself. Section 5 discusses why the premium is concentrated in NGL and Energy.</w:t>
      </w:r>
    </w:p>
    <w:p w14:paraId="1C14AEA4" w14:textId="77777777" w:rsidR="00576CDE" w:rsidRDefault="00000000">
      <w:pPr>
        <w:keepNext/>
        <w:spacing w:before="200"/>
      </w:pPr>
      <w:r>
        <w:rPr>
          <w:b/>
          <w:sz w:val="28"/>
        </w:rPr>
        <w:t>5. Discussion</w:t>
      </w:r>
    </w:p>
    <w:p w14:paraId="1C14AEA4" w14:textId="77777777" w:rsidR="00576CDE" w:rsidRDefault="00000000">
      <w:r>
        <w:rPr/>
        <w:t>Section 4 shows where the five signals earn a premium and where they do not. This section asks why the pattern takes this form, what the Skewness sleeve is, and what the pattern implies for building a commodity book. We read the evidence through the storage and hedging channels set out in Section 1. Every explanation below is an interpretation consistent with the results and not a test of them, because no inventory, positioning or participant data enter the analysis. We begin with the two asset classes in which the premium is found, turn to the three in which it is not, then to Skewness, to the implications for portfolio construction and to the limits of the evidence.</w:t>
      </w:r>
    </w:p>
    <w:p w14:paraId="1C14AEA4" w14:textId="77777777" w:rsidR="00576CDE" w:rsidRDefault="00000000">
      <w:pPr>
        <w:keepNext/>
        <w:spacing w:before="160"/>
      </w:pPr>
      <w:r>
        <w:rPr>
          <w:b/>
          <w:sz w:val="24"/>
        </w:rPr>
        <w:t>5.1 Why the premium is found in NGL and Energy</w:t>
      </w:r>
    </w:p>
    <w:p w14:paraId="1C14AEA4" w14:textId="77777777" w:rsidR="00576CDE" w:rsidRDefault="00000000">
      <w:r>
        <w:rPr/>
        <w:t>The result to be explained is narrow. In NGL and in Energy, Momentum, Carry and Carry-Momentum each earn a positive IR in every one of the three subperiods, and the only other sleeve to do so in any asset class is Value in Metals (Section 5.2). NGL is the stronger of the two: its Equal Weight and Inverse Vol portfolios have IRs of 1.25 and 1.16, against 0.76 and 0.78 in Energy, and none of the other three classes has a portfolio IR above 0.08. Momentum earns a positive log return in 12 of the 15 calendar years in NGL and in 9 of the 15 in Energy (2026 is a partial year), so the NGL premium is also the more evenly spread through time. The interpretations that follow ask what these two classes share that the other three do not.</w:t>
      </w:r>
    </w:p>
    <w:p w14:paraId="1C14AEA4" w14:textId="77777777" w:rsidR="00576CDE" w:rsidRDefault="00000000">
      <w:r>
        <w:rPr/>
        <w:t>The theory of storage ties the slope of the futures curve to the state of inventories (Section 1), and the three sleeves that pay in NGL and Energy are all read from that slope or from the price path that accompanies it. Carry measures the slope against its own history and Carry-Momentum measures its change, and Carry-Momentum is the strongest Energy sleeve (IR 0.78; P1 0.81, P2 0.90, P3 0.69). Virtual Barrels (2023, p. 83) describes carry as the prevailing state of inventories and momentum applied to carry as associated with expected changes in them, and argues (p. 87) that slow adjustment of oil supply and demand makes inventories, and therefore prices, trend. The results are consistent with this account. They do not isolate it, because the signals are related by construction: winning contracts tend to be the backwardated ones, with low inventories and net short hedging (Fernandez-Perez, Fuertes and Miffre, 2021, citing Miffre and Rallis, 2007, and Gorton, Hayashi and Rouwenhorst, 2013).</w:t>
      </w:r>
    </w:p>
    <w:p w14:paraId="1C14AEA4" w14:textId="77777777" w:rsidR="00576CDE" w:rsidRDefault="00000000">
      <w:r>
        <w:rPr/>
        <w:t>The hedging pressure hypothesis offers a second reading (Cootner, 1960; Hirshleifer, 1988, 1990). If producers and consumers lay off price risk in these markets and speculators are paid to absorb it, a long position in a backwardated contract earns the transfer, and the same curve-based signals would again be positive. Virtual Barrels (2023, p. 86) observes that in a diversified commodity risk premia book the largest share of the profit typically comes from energy futures, that the other sectors mainly diversify, and links this to the special role of storage and the behaviour of large market participants. A later chapter (p. 109) adds that such strategies have proven to work better for harder-to-store energy commodities. Our results fit these observations, since the premium in the trend and curve signals sits in the two energy-related classes. We measure neither storability, inventories nor the positions of any group of traders, so we cannot say which channel produces the premium, and the same results are consistent with both.</w:t>
      </w:r>
    </w:p>
    <w:p w14:paraId="1C14AEA4" w14:textId="77777777" w:rsidR="00576CDE" w:rsidRDefault="00000000">
      <w:r>
        <w:rPr/>
        <w:t>NGL deserves separate comment because it is both the strongest class and the one with the shortest liquid history. Momentum is positive in all four NGL products, and the weakest of them has an IR of 0.67, the highest weakest-product IR of any sleeve in any asset class. Over the sample the US moved from a market short of export outlets to one with large export capacity. Mont Belvieu propane traded at an average discount of $0.89 per gallon to international prices in 2012 because export terminals were at capacity (EIA), US propane exports averaged a record 1.8 million barrels a day in 2024 (EIA), and ethane exports reached 492,000 barrels a day in 2024 against 65,000 in 2015 (OPIS, citing EIA). A market whose outlets expand year after year adjusts slowly to its surplus, the condition under which trends and persistent curve slopes are expected. The F2-F4 slope, pooled over the four products, averages 3.7% in December to March (backwardation) and -1.7% in June to September (contango), a seasonal swing of the kind Carry and Carry-Momentum read. This context is consistent with the results; none of it was tested.</w:t>
      </w:r>
    </w:p>
    <w:p w14:paraId="1C14AEA4" w14:textId="77777777" w:rsidR="00576CDE" w:rsidRDefault="00000000">
      <w:r>
        <w:rPr/>
        <w:t>Two features of the NGL result call for caution. First, a slope that swings with the heating season can be forecast from the calendar alone, so NGL Carry may be reading the season as much as the state of inventories, and we have not separated the two. Second, Bogorad (2025a) starts the backtest window in January 2015, the period in which ICE-listed NGL futures achieved sufficient liquidity for systematic trading following their introduction and growth in 2014 to 2015, and uses earlier data only to initialise signals. Our sample begins in 2012, and the NGL result is already strong in P1 (Momentum IR 1.06, Carry 1.45), so part of the early premium may come from contracts that traded too thinly to be implemented at the 5 basis point cost we charge. We have no liquidity measure for the NGL contracts. Bogorad (2025a) also finds NGL Momentum profitable in both of its subsamples (an IR of 0.99 over its window), in line with our result, but reports NGL Carry as substantially weaker, so the two studies agree on Momentum and differ on Carry, and the differences in contracts, tenors and window described in Section 4.1.4 limit what the comparison can show.</w:t>
      </w:r>
    </w:p>
    <w:p w14:paraId="1C14AEA4" w14:textId="77777777" w:rsidR="00576CDE" w:rsidRDefault="00000000">
      <w:r>
        <w:rPr/>
        <w:t>In Energy the premium is also uneven through time. Calendar years 2014, 2015, 2020 and 2021 account for 95% of the cumulative log return of the Momentum sleeve and the first nine months of 2026 for a further 23%, so the remaining years net to a loss. These are the fall in oil prices from 2014, the demand collapse of 2020, the recovery of 2021 and the war that began on 28 February 2026, during which Brent rose from $72 on 27 February to $118 on 31 March. A premium that arrives in a few large moves is what trend-following on a storable commodity with inelastic supply and demand would produce, but it is also what a short sample dominated by a few events would produce, and our data cannot tell the two apart.</w:t>
      </w:r>
    </w:p>
    <w:p w14:paraId="1C14AEA4" w14:textId="77777777" w:rsidR="00576CDE" w:rsidRDefault="00000000">
      <w:r>
        <w:rPr/>
        <w:t>Three earlier studies bear on these results. Fernandez-Perez, Fuertes and Miffre (2021) form long-short portfolios across energy contracts each month and, unlike us, use data on the positions of hedgers and speculators, which we do not. They find premia from term structure, hedging pressure, speculative pressure and momentum, which matches the sign of our Carry, Carry-Momentum and Momentum sleeves in Energy, and find the premia from value, liquidity and skewness statistically insignificant. Our negative Energy Value sleeve (IR -0.14) does not contradict that finding. Our Energy Skewness sleeve (IR 0.17) is positive, but the two Skewness results are not comparable because the rules are constructed differently, as Section 5.3 explains. Our rules also take one position per product, so they carry exposure to the direction of oil, while theirs are formed within the sector.</w:t>
      </w:r>
    </w:p>
    <w:p w14:paraId="1C14AEA4" w14:textId="77777777" w:rsidR="00576CDE" w:rsidRDefault="00000000">
      <w:r>
        <w:rPr/>
        <w:t>Bogorad (2025a) reports that some premia have weakened in the traditional benchmark contracts while others persist in newly liquid markets, NGL among them, and that simple aggregation of low-correlated signals works well. Our ranking of the classes is of the same kind, and the evidence on aggregation is taken up in Section 5.4. Fan, Li, Qiao and Zhang (2026) find that the predictive power for commodity returns is spread across inventory, hedging and liquidity channels whose weights change over time, with no single theory dominant. Our design cannot estimate such weights. Sleeves that share a root pay together in two classes and in every subperiod, which is what one channel would produce and also what several channels acting together would produce. The methods differ as well: they forecast returns with 81 variables, while we apply fixed rules, so our evidence neither supports nor contradicts their finding that the weights vary.</w:t>
      </w:r>
    </w:p>
    <w:p w14:paraId="1C14AEA4" w14:textId="77777777" w:rsidR="00576CDE" w:rsidRDefault="00000000">
      <w:pPr>
        <w:keepNext/>
        <w:spacing w:before="160"/>
      </w:pPr>
      <w:r>
        <w:rPr>
          <w:b/>
          <w:sz w:val="24"/>
        </w:rPr>
        <w:t>5.2 Why not Metals, Precious Metals and Agriculture</w:t>
      </w:r>
    </w:p>
    <w:p w14:paraId="1C14AEA4" w14:textId="77777777" w:rsidR="00576CDE" w:rsidRDefault="00000000">
      <w:r>
        <w:rPr/>
        <w:t>The same signals do not pay in the other three asset classes, and the explanations again are interpretations consistent with the results. Metals has one sleeve with a clear edge, Value (IR 0.38), which is positive in every subperiod (P1 0.34, P2 0.08, P3 0.76). Momentum is negative (IR -0.32), and Carry and Carry-Momentum are positive only in P1 (IR 0.43 and 0.76), against 0.02 and -0.57 in P2 and -0.05 and -0.43 in P3. The P1 Carry premium comes from Aluminium, Zinc and Lead (IR 0.62, 0.36 and 0.36), whose curves sat in persistent contango, with average F1-F13 slopes of -4.3%, -2.3% and -1.8%. Those were the years of large LME stocks, aluminium financing deals and warehouse queues of more than two years (Reuters; LME), conditions in which an overhang of stocks, and not scarcity, set the shape of the curve. Under that reading the storage channel is at work, but the curve describes a surplus that financing kept off the market, which is consistent with the premium fading as the contango eased.</w:t>
      </w:r>
    </w:p>
    <w:p w14:paraId="1C14AEA4" w14:textId="77777777" w:rsidR="00576CDE" w:rsidRDefault="00000000">
      <w:r>
        <w:rPr/>
        <w:t>The metals that spiked in 2021 and 2022 then reversed sharply, a move that a trend signal cannot avoid and from which a reversion signal can profit: Aluminium peaked at $3,876 on 4 March 2022 in our series and stood at $2,076 in December 2023, and Zinc fell from $4,523 in April 2022 to $2,240 in May 2023. Value in P3 comes from these metals (IR 0.58 in Aluminium, 0.71 in Zinc and 0.89 in Lead), while Momentum loses in P3 (IR -0.55). Industrial metals are priced off a global activity cycle and off inventory and financing conditions that can change within months, and in this sample the large moves of 2021 and 2022 reverted instead of persisting. This is consistent with the absence of a trend and curve premium. It also accounts for the portfolios doing worse than Value alone (Equal Weight -0.04, Inverse Vol 0.08): blending four sleeves with little or no edge dilutes the one that works.</w:t>
      </w:r>
    </w:p>
    <w:p w14:paraId="1C14AEA4" w14:textId="77777777" w:rsidR="00576CDE" w:rsidRDefault="00000000">
      <w:r>
        <w:rPr/>
        <w:t>In Precious Metals no core sleeve has a positive full-sample IR (Momentum -0.24, Carry -0.08, Carry-Momentum -0.23, Value -0.06), and both portfolios are negative (Equal Weight -0.23, Inverse Vol -0.29). Gold's price is closely tied to macro variables. The weekly correlation of gold returns with changes in the 10-year real yield (FRED series DFII10) is -0.39 over the sample, -0.64 in P2 and -0.24 in P3, and expectations of currency debasement and demand for protection against tail risk may add to it. This is consistent with there being little in the metal's own price path or curve for a trend or slope signal to read. The curve is also a financing curve. The 10-year real yield averaged 1.60% in P3 against 0.03% in P2, and Gold's F1-F7 slope averaged -4.5% in P3 against -1.8% in P2 and -0.6% in P1. A slope that mainly reflects the cost of financing stored metal says little about scarcity, which is consistent with Carry and Carry-Momentum finding no edge (P3 Carry-Momentum IR -0.75).</w:t>
      </w:r>
    </w:p>
    <w:p w14:paraId="1C14AEA4" w14:textId="77777777" w:rsidR="00576CDE" w:rsidRDefault="00000000">
      <w:r>
        <w:rPr/>
        <w:t>The structure of the market may matter as well. Gold producers hedge little, with a global hedge book of 218 tonnes in the third quarter of 2017 and under 200 tonnes by the end of 2024 (World Gold Council), so there are few commercial hedgers paying speculators to take their price risk, which is the transfer that the hedging pressure hypothesis describes. Central banks bought 863 tonnes in 2025 against an annual average of 473 tonnes in 2010 to 2021 (World Gold Council), a source of demand outside producer and consumer hedging. Value is the sleeve that suffers: it shorts a metal trading more than 10% above its five-year average, and gold rose from $1,662 at the end of September 2022 to $4,341 at the end of 2025. Gold Value lost 0.45 in log return in 2025 alone and has a P3 IR of -0.61. The data cannot separate the roles of real yields, official demand and the absence of hedgers; each is consistent with the results.</w:t>
      </w:r>
    </w:p>
    <w:p w14:paraId="1C14AEA4" w14:textId="77777777" w:rsidR="00576CDE" w:rsidRDefault="00000000">
      <w:r>
        <w:rPr/>
        <w:t>Agriculture has no core sleeve with an edge: Momentum (IR -0.12), Carry-Momentum (-0.34) and Value (-0.10) are negative, Carry is flat (0.01), and the portfolios are negative (Equal Weight -0.15, Inverse Vol -0.18). The pattern is one of spikes followed by reversals driven by weather and war. Arabica coffee rose 34% in a week in July 2021 after Brazilian frosts (19 to 26 July in our series), and reached $4.39 per pound on 13 February 2025 before falling to $2.76 by 23 September 2026. Wheat peaked at $14.25 per bushel on 7 March 2022 after Russia's invasion of Ukraine and was $7.09 at the end of the sample. Coffee is the swing in the curve signals: Carry-Momentum in Coffee has an IR of 0.88 in P2 and -0.64 in P3, and without Coffee the class Carry-Momentum sleeve is negative in P2. Trend and slope signals need persistence, and a price that jumps on a frost or a war and then retraces does not supply it.</w:t>
      </w:r>
    </w:p>
    <w:p w14:paraId="1C14AEA4" w14:textId="77777777" w:rsidR="00576CDE" w:rsidRDefault="00000000">
      <w:r>
        <w:rPr/>
        <w:t>Virtual Barrels (2023, p. 88) makes a related point about distributions. It contrasts agricultural and other seasonal commodities, whose prices tend to have a larger upside tail, with oil, which tends to rise gradually and fall abruptly, and notes that the large periodic breakdowns of the oil market make a diversified momentum strategy highly desirable to financial investors. Taken together, the contrast between the classes is consistent with a difference in how price changes arrive. In NGL and Energy, adjustment of supply and demand is slow and the curve carries the information that the signals read. In Metals, financing and activity cycles reverse quickly. In Precious Metals, macro variables and financing costs drive the price. In Agriculture, weather and war produce jumps that the curve does not announce. These are readings of the pattern and not tests of it. In particular, we have no data on the positions of hedgers in any of the three classes, so the hedging pressure explanation remains untested here.</w:t>
      </w:r>
    </w:p>
    <w:p w14:paraId="1C14AEA4" w14:textId="77777777" w:rsidR="00576CDE" w:rsidRDefault="00000000">
      <w:pPr>
        <w:keepNext/>
        <w:spacing w:before="160"/>
      </w:pPr>
      <w:r>
        <w:rPr>
          <w:b/>
          <w:sz w:val="24"/>
        </w:rPr>
        <w:t>5.3 What Skewness Is</w:t>
      </w:r>
    </w:p>
    <w:p w14:paraId="1C14AEA4" w14:textId="77777777" w:rsidR="00576CDE" w:rsidRDefault="00000000">
      <w:r>
        <w:rPr/>
        <w:t>The explanations so far concern the four core sleeves. Skewness is the sleeve whose results do not follow the pattern explained in Section 5.1. Its full-sample IR is positive in Energy (0.17), NGL (0.06), Precious Metals (0.10) and Agriculture (0.25) and negative in Metals (-0.08), and none of these figures is large. In no class is the IR positive in all three subperiods. It is negative in P1 in Metals (-0.23), Energy (-0.46), NGL (-0.89) and Precious Metals (-0.26), and positive in P3 in Energy (0.52), NGL (0.12), Precious Metals (0.26) and Agriculture (0.56). Agriculture is the reverse of the others in P1 (0.32) and Metals is negative in P3 (-0.33). The sign of the sleeve therefore depends on the subperiod more than on the class, which is not the pattern of a premium that is earned wherever a storage or hedging channel operates. The question is what the sleeve holds when it earns.</w:t>
      </w:r>
    </w:p>
    <w:p w14:paraId="1C14AEA4" w14:textId="77777777" w:rsidR="00576CDE" w:rsidRDefault="00000000">
      <w:r>
        <w:rPr/>
        <w:t>The positions answer it. The signal is long when the trailing-year skewness of a product's returns is negative, and skewness stays negative for a long time after a price collapse, so the sleeve can hold the same sign for years. Averaged over the 23 products, it is long on 50% of days in P1, 64% in P2 and 62% in P3. The shift is sharpest in the two energy-related classes, where the share of days long rises from 47% in P1 to 90% in P3 in Energy and from 68% to 93% in NGL. The WTI sleeve turned long on 11 March 2020, in the middle of the 2020 collapse, and the NGL sleeve was short on 24 February 2020 and long from 11 March (20 March in Ethane), so the long positions were in place for the recovery that followed (Sections 4.1.2 and 4.1.4). A sleeve that is long through a recovery earns the recovery, irrespective of the skewness signal that put it there. This is the sense in which the P2 and P3 gains in Energy and NGL are largely one long position, and the Precious Metals gain in 2025 and 2026 is of the same kind (Section 4.1.3).</w:t>
      </w:r>
    </w:p>
    <w:p w14:paraId="1C14AEA4" w14:textId="77777777" w:rsidR="00576CDE" w:rsidRDefault="00000000">
      <w:r>
        <w:rPr/>
        <w:t>The consequence is exposure to the level of commodity prices, and the correlations show it. The by-signal Skewness strategy, equal-weighted across the five classes, has a correlation of 0.46 with a passive commodity index (DBC), against -0.10 for Momentum, -0.01 for Carry, -0.06 for Carry-Momentum and 0.07 for Value (Table 10). The exposure sits in the energy-related classes, where the class sleeve correlates at 0.44 (Energy) and 0.43 (NGL) with the index, against -0.01 in Metals and -0.10 in Agriculture. Adding the sleeve to the four core sleeves moves the correlation of the Equal Weight cross-commodity portfolio with the index from -0.04 to 0.18, and that of the Inverse Vol portfolio from -0.04 to 0.15 (Section 4.4). We read the positive Skewness IRs in these data as exposure to a recovering commodity market and not as a stable premium. The reading is consistent with the positions and the correlations, but the sample holds one major collapse and one recovery, and we cannot say what the sleeve would earn in a different cycle.</w:t>
      </w:r>
    </w:p>
    <w:p w14:paraId="1C14AEA4" w14:textId="77777777" w:rsidR="00576CDE" w:rsidRDefault="00000000">
      <w:r>
        <w:rPr/>
        <w:t>The sleeve also differs in construction from the factors on which it is modelled. Fernandez-Perez, Frijns, Fuertes and Miffre (2018) work with a cross-sectional factor that holds long and short positions in commodities ranked by skewness, so that the long and short legs offset much of the exposure to the market's direction. Fernandez-Perez, Fuertes and Miffre (2021) apply a cross-sectional sort to energy futures and find no skewness premium. Our sleeve takes one position per product from the sign of the product's own skewness, with no ranking against other products (Section 3.6), so it can be long in every product at once. Our results therefore neither test nor contradict theirs. We do not claim that investors pay for lottery-like payoffs in these markets, and the positive IR of the Energy sleeve (0.17) does not contradict their finding of no premium, because the sleeves are different objects. We keep Skewness as the fifth sleeve of every portfolio because it was part of the design, and its low correlation with the other sleeves (Section 4.4) makes it a diversifier inside the class portfolios. We do not treat it as a premium of the same standing as Momentum, Carry and Carry-Momentum in NGL and Energy.</w:t>
      </w:r>
    </w:p>
    <w:p w14:paraId="1C14AEA4" w14:textId="77777777" w:rsidR="00576CDE" w:rsidRDefault="00000000">
      <w:pPr>
        <w:keepNext/>
        <w:spacing w:before="160"/>
      </w:pPr>
      <w:r>
        <w:rPr>
          <w:b/>
          <w:sz w:val="24"/>
        </w:rPr>
        <w:t>5.4 Implications for Portfolio Construction</w:t>
      </w:r>
    </w:p>
    <w:p w14:paraId="1C14AEA4" w14:textId="77777777" w:rsidR="00576CDE" w:rsidRDefault="00000000">
      <w:r>
        <w:rPr/>
        <w:t>The portfolio results of Section 4.3 give the main lesson for portfolio construction. Combining the five classes lowers volatility and costs risk-adjusted return. The Equal Weight cross-commodity portfolio has an IR of 0.87 at a volatility of 4.9% and a return of 4.2%, against 1.25 for the NGL portfolio (volatility 12.5%, return 15.7%) and 1.23 for the Energy-NGL pair. It does better than Energy alone (0.76), and its volatility is below that of every single class. The classes added to NGL and Energy are weakly correlated with them (Table 9), which is why the volatility falls. They have no premium of their own, however: the Equal Weight portfolios of Metals, Precious Metals and Agriculture have IRs of -0.04, -0.23 and -0.15. In this sample the classes that lowered risk added no return, and the ratio fell. The result describes a sample in which the premium was found in two classes, and it does not show that a book restricted to them would have been the better choice in advance.</w:t>
      </w:r>
    </w:p>
    <w:p w14:paraId="1C14AEA4" w14:textId="77777777" w:rsidR="00576CDE" w:rsidRDefault="00000000">
      <w:r>
        <w:rPr/>
        <w:t>The weighting scheme matters less than the choice of classes. Within a class, Equal Weight and Inverse Vol are close in four of the five classes (Section 4.2). Across classes, the choice matters because Inverse Vol gives each class a weight that falls with its volatility, so it favours the classes without a premium: the average weight is 0.15 on Energy and 0.13 on NGL, against 0.26 on Metals, 0.25 on Agriculture and 0.22 on Precious Metals. With Equal Weight within classes, Inverse Vol across them lowers the volatility of the book from 4.9% to 3.7% and its return from 4.2% to 2.4%, and the IR falls from 0.87 to 0.66. This agrees with Fernandez-Perez, Fuertes and Miffre (2021), who find that equal-weight integration of styles is hard to beat among several integration methods in energy futures, and it is a reminder that a weighting that targets risk is not the same as one that targets reward. The by-signal Inverse Vol portfolio, which weights five strategies of similar volatility, is slightly ahead of Equal Weight (0.91 against 0.87), and Inverse Vol at both stages is behind (0.60).</w:t>
      </w:r>
    </w:p>
    <w:p w14:paraId="1C14AEA4" w14:textId="77777777" w:rsidR="00576CDE" w:rsidRDefault="00000000">
      <w:r>
        <w:rPr/>
        <w:t>Correlation is not the right criterion for choosing classes. Energy and NGL are the most correlated pair of the ten, with an EW PORT correlation of 0.35, and the Energy-NGL pair has the best IR of the ten under both weightings (1.23 and 1.21), while the three pairs that combine only classes without a premium have correlations below 0.13 and are the weakest. What the pairs share is the premium, and a low correlation between two series without a premium gives nothing to diversify. We note that this ranking was found in the same sample as the premium, so it describes the sample and is not a rule that we can offer for use in advance. A practitioner could choose the classes on an ex ante argument, for example that the premium belongs to harder-to-store energy commodities (Virtual Barrels, 2023, p. 109) or to markets in which hedgers pay speculators, but our design does not test either argument.</w:t>
      </w:r>
    </w:p>
    <w:p w14:paraId="1C14AEA4" w14:textId="77777777" w:rsidR="00576CDE" w:rsidRDefault="00000000">
      <w:r>
        <w:rPr/>
        <w:t>The Skewness sleeve changes the book in ways that matter for this choice. Adding it to the four core sleeves raises the IR of the Equal Weight book from 0.79 to 0.87, lowers its volatility from 6.0% to 4.9% and its maximum drawdown from -18.5% to -13.7%, and it shifts the IR from P1 to P3 (Section 4.3). It also adds correlation with a commodity index (Section 5.3). A book without it is already positive in every subperiod (IRs of 0.91, 1.34 and 0.21) and has essentially no such exposure, so the choice between the two versions is a choice between a higher IR with commodity beta and a lower one without it. We do not recommend one over the other.</w:t>
      </w:r>
    </w:p>
    <w:p w14:paraId="1C14AEA4" w14:textId="77777777" w:rsidR="00576CDE" w:rsidRDefault="00000000">
      <w:r>
        <w:rPr/>
        <w:t>Two earlier observations bear on these results. Virtual Barrels (2023, p. 86) notes that in a diversified commodity risk premia book most of the profit comes from energy futures and that the other sectors mainly diversify and reduce the denominator of the risk-adjusted return. Our data are consistent with this, since the other classes lower volatility but add no return, but the observation concerns the profit contribution of each sector in cross-sectional factor portfolios, which we do not decompose. Bogorad (2025a) reports that low correlations across economically distinct strategies give strong performance under simple aggregation, with an equal-weight IR close to one for five strategies (his Table 2), four of which have a positive full-sample IR on their own. We aggregate classes and not strategies, and most of the classes we add have no standalone premium. This is consistent with aggregation helping when each component carries some premium and not when most do not, a reading that the two studies do not test and that we leave as an interpretation.</w:t>
      </w:r>
    </w:p>
    <w:p w14:paraId="1C14AEA4" w14:textId="77777777" w:rsidR="00576CDE" w:rsidRDefault="00000000">
      <w:pPr>
        <w:keepNext/>
        <w:spacing w:before="160"/>
      </w:pPr>
      <w:r>
        <w:rPr>
          <w:b/>
          <w:sz w:val="24"/>
        </w:rPr>
        <w:t>5.5 Limitations</w:t>
      </w:r>
    </w:p>
    <w:p w14:paraId="1C14AEA4" w14:textId="77777777" w:rsidR="00576CDE" w:rsidRDefault="00000000">
      <w:r>
        <w:rPr/>
        <w:t>The interpretations above rest on an in-sample historical backtest of fixed rules, and the evidence is limited in the ways listed here. We have run no significance tests and applied no correction for multiple testing. The concentration of the premium in NGL and Energy was found in the same data, among 23 products, five signals, two weighting schemes and ten pairs of asset classes, so the comparison across classes is a selection and not a pre-specified test. The subperiods check the stability of a result and are not out-of-sample evidence. The sample is also short in events. Calendar years 2014, 2015, 2020 and 2021 account for 95% of the cumulative log return of the Energy Momentum sleeve, and the Skewness results rest on a single collapse and recovery (Section 5.3). Section 6 is devoted to significance tests and a data-snooping test, and until it is complete the patterns in Section 4 should be read as descriptions.</w:t>
      </w:r>
    </w:p>
    <w:p w14:paraId="1C14AEA4" w14:textId="77777777" w:rsidR="00576CDE" w:rsidRDefault="00000000">
      <w:r>
        <w:rPr/>
        <w:t xml:space="preserve">Some design choices were made by comparing results on the sample window itself. The combination of the two tenor pairs in Carry and Carry-Momentum (Sections 3.3 and 3.4) adds the pairs' z-scores and the pairs' raw slope changes before taking the sign. An earlier rule took the sign of each pair's signal and held no position when the two disagreed. Switching to the summed rule lifts the IR of the five-class Equal Weight book from 0.77 to 0.87. It raises the Carry IR in every class (Energy from 0.29 to 0.46, NGL from 0.91 to 1.08, Metals from 0.02 to 0.13, Precious Metals from -0.24 to -0.08 and Agriculture from -0.05 to 0.01), and the Carry-Momentum IR in Energy (from 0.60 to 0.78) and NGL (0.66 to 0.71), while leaving it essentially unchanged in Metals and lowering it in Precious Metals (from -0.09 to -0.23) and Agriculture (from -0.10 to -0.34). </w:t>
      </w:r>
    </w:p>
    <w:p w14:paraId="1C14AEA4" w14:textId="77777777" w:rsidR="00576CDE" w:rsidRDefault="00000000">
      <w:r>
        <w:rPr/>
        <w:t>Four other versions of the combination were compared and not adopted, and the adopted one had the highest five-class IR among them: Carry-Momentum with each pair's change standardised by its own volatility (0.85), with a change per month of spread between the two contracts (0.86), and with the change of the Carry z-scores (about 0.77), and Carry as the sign of the summed raw slopes with no z-score (about 0.79). The spread-per-month version is the only one with a positive Agriculture Carry-Momentum IR (0.02), at the price of lower IRs in Energy and NGL. The IR of the adopted rule is therefore an in-sample maximum over a small set of candidates, and its advantage over the earlier rule is not evidence that it would hold in another sample.</w:t>
      </w:r>
    </w:p>
    <w:p w14:paraId="1C14AEA4" w14:textId="77777777" w:rsidR="00576CDE" w:rsidRDefault="00000000">
      <w:r>
        <w:rPr/>
        <w:t>Other choices were also checked against alternatives on an earlier and longer sample, from January 2011 to June 2026, which contains the sample window: the z-score form of Carry against a composite of two signals for each tenor pair, and the default Momentum of three crossovers against pairs of crossovers. The NGL tenor pairs (F2-F4 and F2-F14, Table 3) are provisional: the second contract reintroduces the heating-season seasonality that an earlier specification, which started the slope at the fourth contract, was chosen to avoid, and the pairs have not been re-examined for liquidity. None of these choices was estimated over a wide grid of parameters, but none was made independently of the data.</w:t>
      </w:r>
    </w:p>
    <w:p w14:paraId="1C14AEA4" w14:textId="77777777" w:rsidR="00576CDE" w:rsidRDefault="00000000">
      <w:r>
        <w:rPr/>
        <w:t xml:space="preserve">Several features of the implementation also limit the results. The cost of 5 basis points round trip is charged at half that amount, 2.5 basis points, on a roll day (Section 2.4), and we have not run a sensitivity with the full 5 basis points on rolls or with other cost levels. The cross-commodity portfolios combine products on the dates that all of them share, which leaves about 247 observations a year against the 252 used to annualise, so their annualised returns are overstated by about 2% (in relative terms) and their IRs by about 1%. The asset-class portfolios are not affected in practice, with between 252 and 253 observations a year. </w:t>
      </w:r>
    </w:p>
    <w:p w14:paraId="1C14AEA4" w14:textId="77777777" w:rsidR="00576CDE" w:rsidRDefault="00000000">
      <w:r>
        <w:rPr/>
        <w:t>Momentum, Carry and Value are computed from the generic price series as supplied, which jump when the generic contract changes, and not from the ratio-adjusted series that earns the returns (Section 2.3). The long Carry tenors of Gold (F7), Platinum and Palladium (F5) lie beyond the range that a study of traded volume found fully liquid, no liquidity study exists for Agriculture, and the deep NGL tenors have not been checked. Thirty-three missing prices (Heating Oil F13 and Isobutane F14) were filled from the adjacent tenor (Section 2.2), and the returns exclude financing and collateral income (Section 2.4). Finally, the explanations in Section 5 rest on no inventory, positioning or participant data, so they are interpretations and not findings.</w:t>
      </w:r>
    </w:p>
    <w:p w14:paraId="1C14AEA4" w14:textId="77777777" w:rsidR="00576CDE" w:rsidRDefault="00000000">
      <w:pPr>
        <w:keepNext/>
        <w:spacing w:before="200"/>
      </w:pPr>
      <w:r>
        <w:rPr>
          <w:b/>
          <w:sz w:val="28"/>
        </w:rPr>
        <w:t>7. Conclusion</w:t>
      </w:r>
    </w:p>
    <w:p w14:paraId="1C14AEA4" w14:textId="77777777" w:rsidR="00576CDE" w:rsidRDefault="00000000">
      <w:r>
        <w:rPr/>
        <w:t>This paper asks in which commodity asset classes a set of rule-based futures signals earns a premium. We apply five fixed signals, Momentum, Carry, Carry-Momentum, Value and Skewness, to 23 futures products in Metals, Energy, Precious Metals, NGL and Agriculture, over one sample window from 1 January 2012 to 23 September 2026 and under one cost assumption of 5 basis points round trip. The positions are combined into sleeves, asset-class portfolios and cross-commodity portfolios. Because the rules, the costs and the dates are the same in every class, differences in the results come from the asset class and not from the method.</w:t>
      </w:r>
    </w:p>
    <w:p w14:paraId="1C14AEA4" w14:textId="77777777" w:rsidR="00576CDE" w:rsidRDefault="00000000">
      <w:r>
        <w:rPr/>
        <w:t>The premium is concentrated. In NGL and in Energy, Momentum, Carry and Carry-Momentum each earn a positive IR in the full sample and in each of the three subperiods, and the Equal Weight portfolios reach IRs of 1.25 in NGL and 0.76 in Energy. Metals has an edge in Value only (IR 0.38), and in Precious Metals and Agriculture no core sleeve earns a clear premium and neither portfolio earns a positive IR. Skewness behaves differently. Its IR is positive in four of the five classes but never above 0.25, its sign depends on the subperiod, and it correlates at 0.46 with a commodity index, so we read it as exposure to a recovering market and not as a stable premium. These patterns are consistent with the roles of storage and of hedgers in the energy-related classes, which we do not test.</w:t>
      </w:r>
    </w:p>
    <w:p w14:paraId="1C14AEA4" w14:textId="77777777" w:rsidR="00576CDE" w:rsidRDefault="00000000">
      <w:r>
        <w:rPr/>
        <w:t>The portfolio lesson is that diversification across asset classes lowers volatility at a cost in risk-adjusted return. The Equal Weight cross-commodity portfolio has an IR of 0.87 at a volatility of 4.9%, below NGL alone (1.25) and below the Energy-NGL pair (1.23), because the classes added have no premium of their own. Correlation was a poor guide to which classes to combine, since Energy and NGL are the most correlated pair and also the best, and the weighting scheme mattered less than the choice of classes.</w:t>
      </w:r>
    </w:p>
    <w:p w14:paraId="1C14AEA4" w14:textId="77777777" w:rsidR="00576CDE" w:rsidRDefault="00000000">
      <w:r>
        <w:rPr/>
        <w:t>These are in-sample results of fixed rules. We have run no significance tests, the concentration in NGL and Energy and the combination of the two tenor pairs were found or chosen on the same sample, and a few episodes carry much of the return, so we describe patterns and claim neither statistical significance nor causes. Further work should apply significance and data-snooping tests, extend the evidence to later data as it accumulates, test the hedging pressure and speculative pressure channels directly with CFTC positioning data, and study liquidity and capacity, above all in NGL, where the liquid history is short, and in Agriculture and the deepest tenors, for which we have no liquidity study.</w:t>
      </w:r>
    </w:p>
    <w:p w14:paraId="1C14AEA4" w14:textId="77777777" w:rsidR="00576CDE" w:rsidRDefault="00000000">
      <w:r>
        <w:br w:type="page"/>
      </w:r>
    </w:p>
    <w:p w14:paraId="607C9601" w14:textId="77777777" w:rsidR="00576CDE" w:rsidRDefault="00000000">
      <w:pPr>
        <w:spacing w:after="80"/>
      </w:pPr>
      <w:r>
        <w:rPr>
          <w:b/>
        </w:rPr>
        <w:lastRenderedPageBreak/>
        <w:t>Drafting notes (delete before submission)</w:t>
      </w:r>
    </w:p>
    <w:p w14:paraId="269388B2" w14:textId="269EED3D" w:rsidR="00576CDE" w:rsidRDefault="00000000">
      <w:pPr>
        <w:pStyle w:val="ListBullet"/>
        <w:spacing w:after="60"/>
      </w:pPr>
      <w:r>
        <w:t xml:space="preserve">This version (v6) adds </w:t>
      </w:r>
      <w:r w:rsidR="00E2051A">
        <w:t>Virtual Barrels</w:t>
      </w:r>
      <w:r>
        <w:t xml:space="preserve"> (2023), Virtual Barrels (Springer), on top of v5, which was redrafted after reading Fan, Li, Qiao and Zhang (2026) and Bogorad (2025a, SSRN 6374158; 2025b, SSRN 5336947). No result numbers and no text copied from any of them; they are used only for what they found, in new words, cited.</w:t>
      </w:r>
    </w:p>
    <w:p w14:paraId="04EFD076" w14:textId="77777777" w:rsidR="00576CDE" w:rsidRDefault="00000000">
      <w:pPr>
        <w:pStyle w:val="ListBullet"/>
        <w:spacing w:after="60"/>
      </w:pPr>
      <w:r>
        <w:t xml:space="preserve">The book on skewness (your question): it is NOT used as a risk premium. Chapter 5 (p. 86) names momentum, carry and value as the three most powerful commodity risk factors and lists inventory, speculative positioning, volatility, skewness and open interest as alternatives that 'have also been considered', but says that in the oil market they are better used in a less systematic manner (Chapter 6 develops them as discretionary overlays). The only skewness research it cites is Fernandez-Perez, </w:t>
      </w:r>
      <w:proofErr w:type="spellStart"/>
      <w:r>
        <w:t>Frijns</w:t>
      </w:r>
      <w:proofErr w:type="spellEnd"/>
      <w:r>
        <w:t xml:space="preserve">, Fuertes and </w:t>
      </w:r>
      <w:proofErr w:type="spellStart"/>
      <w:r>
        <w:t>Miffre</w:t>
      </w:r>
      <w:proofErr w:type="spellEnd"/>
      <w:r>
        <w:t xml:space="preserve"> (2018). Elsewhere it uses skewness only for option pricing and for the negative skew of stat-arb and option-selling P&amp;L, which is a different thing. Paragraph 4 therefore says Skewness is ours and rests on the 2018 paper, not on the book.</w:t>
      </w:r>
    </w:p>
    <w:p w14:paraId="7F1CF064" w14:textId="77777777" w:rsidR="00576CDE" w:rsidRDefault="00000000">
      <w:pPr>
        <w:pStyle w:val="ListBullet"/>
        <w:spacing w:after="60"/>
      </w:pPr>
      <w:r>
        <w:t xml:space="preserve">The book also says (p. 86) that the largest share of profits in a diversified commodity risk factor portfolio typically comes from energy futures, that other sectors mainly diversify and lower risk, and that this is explained by storage and the </w:t>
      </w:r>
      <w:proofErr w:type="spellStart"/>
      <w:r>
        <w:t>behaviour</w:t>
      </w:r>
      <w:proofErr w:type="spellEnd"/>
      <w:r>
        <w:t xml:space="preserve"> of large participants. Chapter 6 adds that risk premia work better for harder-to-store energy commodities. This is the closest prior statement to our headline finding; paragraphs 2, 3 and 7 now cite it. It is a practitioner observation, not a test, which is what the paper adds.</w:t>
      </w:r>
    </w:p>
    <w:p w14:paraId="143F2F02" w14:textId="77777777" w:rsidR="00576CDE" w:rsidRDefault="00000000">
      <w:pPr>
        <w:pStyle w:val="ListBullet"/>
        <w:spacing w:after="60"/>
      </w:pPr>
      <w:r>
        <w:t>What changed from v5: three sentences in paragraph 2 (the book), one in paragraph 3 (the test), two in paragraph 4 (Skewness is outside the book's three factors), one in paragraph 7. Limits and roadmap paragraphs unchanged.</w:t>
      </w:r>
    </w:p>
    <w:p w14:paraId="56FB0ACF" w14:textId="2B88A5D6" w:rsidR="00576CDE" w:rsidRDefault="00000000">
      <w:pPr>
        <w:pStyle w:val="ListBullet"/>
        <w:spacing w:after="60"/>
      </w:pPr>
      <w:r>
        <w:t xml:space="preserve">To confirm: the year for Bogorad (2025b). SSRN 5336947 has no date and its data end on 24 February 2025, so 2025 is an assumption. Bogorad (2025a) is dated December 2025. Both are NYU MSFE coursework papers (the first under Dr. </w:t>
      </w:r>
      <w:r w:rsidR="00E2051A">
        <w:t>Virtual Barrels</w:t>
      </w:r>
      <w:r>
        <w:t>), so cite them as working papers. Not claimed: that no earlier paper compares asset classes. Fan et al. use sector portfolios as test assets, so do not write that sectors are ignored.</w:t>
      </w:r>
    </w:p>
    <w:p w14:paraId="77DA920B" w14:textId="77777777" w:rsidR="00576CDE" w:rsidRDefault="00000000">
      <w:pPr>
        <w:pStyle w:val="ListBullet"/>
        <w:spacing w:after="60"/>
      </w:pPr>
      <w:r>
        <w:t>Methodology reminder (unchanged): the new paper must use the 2012 window, P1 to P3, and describe Skewness as the time-series version (one position per product), not the cross-sectional sort of the 2021 paper.</w:t>
      </w:r>
    </w:p>
    <w:p w14:paraId="1721B0F3" w14:textId="77777777" w:rsidR="00576CDE" w:rsidRDefault="00000000">
      <w:pPr>
        <w:pStyle w:val="ListBullet"/>
        <w:spacing w:after="60"/>
      </w:pPr>
      <w:r>
        <w:t>Still open from v4: the Skewness-in-headline assumption; 'essentially nowhere else' covers the core signals only; Methodology needs the like-for-like caveat and the reasons for each design choice.</w:t>
      </w:r>
    </w:p>
    <w:p w14:paraId="028E24FC" w14:textId="4D6334FA" w:rsidR="00576CDE" w:rsidRDefault="00000000">
      <w:pPr>
        <w:pStyle w:val="ListBullet"/>
        <w:spacing w:after="60"/>
      </w:pPr>
      <w:r>
        <w:t xml:space="preserve">Reference list is not built yet. Cited so far: Kaldor (1939); Working (1949); Brennan (1958); </w:t>
      </w:r>
      <w:proofErr w:type="spellStart"/>
      <w:r>
        <w:t>Cootner</w:t>
      </w:r>
      <w:proofErr w:type="spellEnd"/>
      <w:r>
        <w:t xml:space="preserve"> (1960); </w:t>
      </w:r>
      <w:proofErr w:type="spellStart"/>
      <w:r>
        <w:t>Hirshleifer</w:t>
      </w:r>
      <w:proofErr w:type="spellEnd"/>
      <w:r>
        <w:t xml:space="preserve"> (1988, 1990); Gorton and </w:t>
      </w:r>
      <w:proofErr w:type="spellStart"/>
      <w:r>
        <w:t>Rouwenhorst</w:t>
      </w:r>
      <w:proofErr w:type="spellEnd"/>
      <w:r>
        <w:t xml:space="preserve"> (2006); Erb and Harvey (2006); </w:t>
      </w:r>
      <w:proofErr w:type="spellStart"/>
      <w:r>
        <w:t>Miffre</w:t>
      </w:r>
      <w:proofErr w:type="spellEnd"/>
      <w:r>
        <w:t xml:space="preserve"> and Rallis (2007); Gorton, Hayashi and </w:t>
      </w:r>
      <w:proofErr w:type="spellStart"/>
      <w:r>
        <w:t>Rouwenhorst</w:t>
      </w:r>
      <w:proofErr w:type="spellEnd"/>
      <w:r>
        <w:t xml:space="preserve"> (2013); </w:t>
      </w:r>
      <w:proofErr w:type="spellStart"/>
      <w:r>
        <w:t>Asness</w:t>
      </w:r>
      <w:proofErr w:type="spellEnd"/>
      <w:r>
        <w:t xml:space="preserve">, Moskowitz and Pedersen (2013); </w:t>
      </w:r>
      <w:proofErr w:type="spellStart"/>
      <w:r>
        <w:t>Koijen</w:t>
      </w:r>
      <w:proofErr w:type="spellEnd"/>
      <w:r>
        <w:t xml:space="preserve">, Moskowitz, Pedersen and </w:t>
      </w:r>
      <w:proofErr w:type="spellStart"/>
      <w:r>
        <w:t>Vrugt</w:t>
      </w:r>
      <w:proofErr w:type="spellEnd"/>
      <w:r>
        <w:t xml:space="preserve"> (2018); Fernandez-Perez, </w:t>
      </w:r>
      <w:proofErr w:type="spellStart"/>
      <w:r>
        <w:t>Frijns</w:t>
      </w:r>
      <w:proofErr w:type="spellEnd"/>
      <w:r>
        <w:t xml:space="preserve">, Fuertes and </w:t>
      </w:r>
      <w:proofErr w:type="spellStart"/>
      <w:r>
        <w:t>Miffre</w:t>
      </w:r>
      <w:proofErr w:type="spellEnd"/>
      <w:r>
        <w:t xml:space="preserve"> (2018); Fernandez-Perez, Fuertes and </w:t>
      </w:r>
      <w:proofErr w:type="spellStart"/>
      <w:r>
        <w:t>Miffre</w:t>
      </w:r>
      <w:proofErr w:type="spellEnd"/>
      <w:r>
        <w:t xml:space="preserve"> (2021); Bogorad (2025a, 2025b); Fan, Li, Qiao and Zhang (2026); </w:t>
      </w:r>
      <w:r w:rsidR="00E2051A">
        <w:t>Virtual Barrels</w:t>
      </w:r>
      <w:r>
        <w:t xml:space="preserve"> (2023).</w:t>
      </w:r>
    </w:p>
    <w:p w14:paraId="222D8EB2" w14:textId="77777777" w:rsidR="00576CDE" w:rsidRDefault="00000000">
      <w:pPr>
        <w:pStyle w:val="ListBullet"/>
        <w:spacing w:after="60"/>
      </w:pPr>
      <w:r>
        <w:lastRenderedPageBreak/>
        <w:t xml:space="preserve">Methodology rebased on the 2012 window: all 2011 references, the dashboard, </w:t>
      </w:r>
      <w:proofErr w:type="spellStart"/>
      <w:r>
        <w:t>Streamlit</w:t>
      </w:r>
      <w:proofErr w:type="spellEnd"/>
      <w:r>
        <w:t xml:space="preserve"> and hub descriptions (old Section 16), and the 2012-variant paragraphs were removed or rewritten as the basis of the paper. Recomputed on the 2012 data: dates lost to calendars (Energy 99, Agriculture 3, five-class books 166), Value minimum 504 (NGL first signals 15 Aug to 16 Dec 2011), Heating Oil F13 and Isobutane F14 missing shares. The comparisons behind the z-score Carry and the Momentum default were run on the project's earlier, longer sample; the text says so without a date. Section numbers still run 1 to 15 and need renumbering when the Methodology becomes Section 3 of the paper.</w:t>
      </w:r>
    </w:p>
    <w:p w14:paraId="48C81084" w14:textId="41C5BB5C" w:rsidR="00576CDE" w:rsidRDefault="00000000">
      <w:pPr>
        <w:pStyle w:val="ListBullet"/>
        <w:spacing w:after="60"/>
      </w:pPr>
      <w:r>
        <w:t xml:space="preserve">Data (Section 2) and Methodology (Section 3) redrafted a second time as continuous prose, following the outline you gave (Data: products, the six Agriculture products, continuous series and roll rule, 2012 sample, costs; Methodology: five signals, execution lag, Equal Weight and Inverse Vol, performance measures, subperiods P1 to P3) and the style of Bogorad (2025a) and Fernandez-Perez, Fuertes and </w:t>
      </w:r>
      <w:proofErr w:type="spellStart"/>
      <w:r>
        <w:t>Miffre</w:t>
      </w:r>
      <w:proofErr w:type="spellEnd"/>
      <w:r>
        <w:t xml:space="preserve"> (2021): source and universe, sample and preparation, rolling and continuous series, then each signal with its motivation, equation and implementation. Research_Methodology_v4 was used only as the reference for facts, formulas and parameters. Open: the reason for the six Agriculture products (placeholders in Section 2.2 and Table 5); the Precious Metals and Agriculture contract months, previously listed in the data text, belong in the Appendix; Table 2 cites </w:t>
      </w:r>
      <w:r w:rsidR="00E2051A">
        <w:t>Virtual Barrels</w:t>
      </w:r>
      <w:r>
        <w:t xml:space="preserve"> (2023, pp. 101-102) for Carry-Momentum (the book index lists carry-momentum on pp. 101, 102 and 106; check against your copy); the roll-rule and cost-convention wording is mine and should be checked.</w:t>
      </w:r>
    </w:p>
    <w:p w14:paraId="3E2E7E3B" w14:textId="77777777" w:rsidR="00576CDE" w:rsidRDefault="00000000">
      <w:pPr>
        <w:pStyle w:val="ListBullet"/>
        <w:spacing w:after="60"/>
      </w:pPr>
      <w:r>
        <w:t>Latest saved edits kept (Agriculture subsection removed, '3.8 Regime' heading, two trimmed sentences in Section 2). Energy ex-</w:t>
      </w:r>
      <w:proofErr w:type="spellStart"/>
      <w:r>
        <w:t>NatGas</w:t>
      </w:r>
      <w:proofErr w:type="spellEnd"/>
      <w:r>
        <w:t xml:space="preserve"> removed from the whole document: the combined portfolios, pairs and tables are Energy with Natural Gas only. Section 2 renumbered after the deleted subsection (rolls 2.3, costs 2.4) and the cross-references updated. Section 3 shortened to about half its length. Table 5 still has the Agriculture six-product row with a placeholder reason and points to Section 2.1; delete the row if you do not want to explain the choice. The Table 5 calendar row still states the spurious-roll basis that you removed from Section 2.3.</w:t>
      </w:r>
    </w:p>
    <w:p w14:paraId="0FCF7D48" w14:textId="77777777" w:rsidR="00576CDE" w:rsidRDefault="00000000">
      <w:pPr>
        <w:pStyle w:val="ListBullet"/>
        <w:spacing w:after="60"/>
      </w:pPr>
      <w:r>
        <w:t xml:space="preserve">Section 3.11 (Limitations of the design) deleted at your request. The disclosures it held still need a home before submission, ideally in Robustness or the Conclusion: results are an in-sample </w:t>
      </w:r>
      <w:proofErr w:type="spellStart"/>
      <w:r>
        <w:t>backtest</w:t>
      </w:r>
      <w:proofErr w:type="spellEnd"/>
      <w:r>
        <w:t xml:space="preserve"> of fixed rules with no significance test or multiple-testing correction; the NGL and Energy concentration was found on the same data across 23 products, five signals, two weightings and ten pairs; the roll-day charge is half a round trip and a full 5 bp sensitivity has not been run; combining products on common dates leaves about 247 observations a year against 252 used to </w:t>
      </w:r>
      <w:proofErr w:type="spellStart"/>
      <w:r>
        <w:t>annualise</w:t>
      </w:r>
      <w:proofErr w:type="spellEnd"/>
      <w:r>
        <w:t xml:space="preserve"> (return overstated by about 2%, IR by about 1%); Momentum, Carry and Value use unadjusted generic prices; the deep Carry tenors lie beyond the range checked for liquidity and the NGL pairs are provisional. Table 5 and Section 3.10 already state that some choices were compared in-sample.</w:t>
      </w:r>
    </w:p>
    <w:sectPr w:rsidR="00576CD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108324">
    <w:abstractNumId w:val="8"/>
  </w:num>
  <w:num w:numId="2" w16cid:durableId="2025326275">
    <w:abstractNumId w:val="6"/>
  </w:num>
  <w:num w:numId="3" w16cid:durableId="249048890">
    <w:abstractNumId w:val="5"/>
  </w:num>
  <w:num w:numId="4" w16cid:durableId="1076787129">
    <w:abstractNumId w:val="4"/>
  </w:num>
  <w:num w:numId="5" w16cid:durableId="14696139">
    <w:abstractNumId w:val="7"/>
  </w:num>
  <w:num w:numId="6" w16cid:durableId="1777599301">
    <w:abstractNumId w:val="3"/>
  </w:num>
  <w:num w:numId="7" w16cid:durableId="669019858">
    <w:abstractNumId w:val="2"/>
  </w:num>
  <w:num w:numId="8" w16cid:durableId="1302467264">
    <w:abstractNumId w:val="1"/>
  </w:num>
  <w:num w:numId="9" w16cid:durableId="1715689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52E"/>
    <w:rsid w:val="00024AFF"/>
    <w:rsid w:val="00034616"/>
    <w:rsid w:val="00054B78"/>
    <w:rsid w:val="0006063C"/>
    <w:rsid w:val="000635C3"/>
    <w:rsid w:val="00072E44"/>
    <w:rsid w:val="00083F99"/>
    <w:rsid w:val="0015074B"/>
    <w:rsid w:val="001A0A19"/>
    <w:rsid w:val="0020009B"/>
    <w:rsid w:val="002053A9"/>
    <w:rsid w:val="0029639D"/>
    <w:rsid w:val="00326F90"/>
    <w:rsid w:val="00426336"/>
    <w:rsid w:val="00472258"/>
    <w:rsid w:val="00576CDE"/>
    <w:rsid w:val="00660D02"/>
    <w:rsid w:val="006B0735"/>
    <w:rsid w:val="006B3200"/>
    <w:rsid w:val="006D76D3"/>
    <w:rsid w:val="00706190"/>
    <w:rsid w:val="009D3966"/>
    <w:rsid w:val="00A13331"/>
    <w:rsid w:val="00A45B80"/>
    <w:rsid w:val="00AA1D8D"/>
    <w:rsid w:val="00B47730"/>
    <w:rsid w:val="00CA77F7"/>
    <w:rsid w:val="00CB0664"/>
    <w:rsid w:val="00CF7B42"/>
    <w:rsid w:val="00E2051A"/>
    <w:rsid w:val="00E748BC"/>
    <w:rsid w:val="00E836EF"/>
    <w:rsid w:val="00F177C5"/>
    <w:rsid w:val="00FB72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BCAEB6"/>
  <w14:defaultImageDpi w14:val="300"/>
  <w15:docId w15:val="{710F288F-3C38-4584-929E-690DD5709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11</Pages>
  <Words>4056</Words>
  <Characters>23122</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kartavya joshi</cp:lastModifiedBy>
  <cp:revision>20</cp:revision>
  <dcterms:created xsi:type="dcterms:W3CDTF">2013-12-23T23:15:00Z</dcterms:created>
  <dcterms:modified xsi:type="dcterms:W3CDTF">2026-10-13T07:10:00Z</dcterms:modified>
  <cp:category/>
</cp:coreProperties>
</file>