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Chief Economist’s Review: Commodity Risk Premia Through the Macro Cycle</w:t>
      </w:r>
    </w:p>
    <w:p>
      <w:r>
        <w:rPr>
          <w:i/>
          <w:color w:val="555555"/>
          <w:sz w:val="20"/>
        </w:rPr>
        <w:t>Analysis of Research_Dashboard_CombinedCarry.html  |  Reporting window 2011-2026 (four asset classes, log-return methodology)</w:t>
      </w:r>
    </w:p>
    <w:p/>
    <w:p>
      <w:pPr>
        <w:pStyle w:val="Heading2"/>
      </w:pPr>
      <w:r>
        <w:t>1. Reading the Backtest as Economic History, Not Just Statistics</w:t>
      </w:r>
    </w:p>
    <w:p>
      <w:r>
        <w:t>Each asset class portfolio here (Momentum, Carry, Carry-Momentum, and Value, combined via Equal Weight and rolling Risk Parity) is a bet on a specific economic mechanism -- a term-structure risk premium, a trend born of a real supply/demand shock, a monetary-policy-driven repricing. The four locked regimes line up with genuine macro turning points, not arbitrary calendar cuts: R1 (2011-2015) is the commodity supercycle's unwind -- China's post-GFC investment-led growth model decelerating, the 2013 taper tantrum lifting US real yields, and OPEC's November 2014 decision not to cut share into surging US shale supply. R2 (2016-2019) is the low-volatility “Goldilocks” recovery -- OPEC+ forming to manage supply, positive but unexciting global growth, the 2018-19 trade war suppressing industrial demand expectations without crashing them. R3 (2020-2021) is the COVID shock -- an unprecedented, speed-of-light demand collapse (negative WTI, April 2020) followed by the largest monetary and fiscal response in modern history. R4 (2022-2026) is the post-COVID, Russia-Ukraine regime -- a geopolitical energy shock layered on the fastest Fed hiking cycle in decades and a Chinese property/credit slowdown. Reading the portfolio results against this backdrop turns the numbers into a coherent economic story rather than a table of coincidences.</w:t>
      </w:r>
    </w:p>
    <w:p>
      <w:pPr>
        <w:pStyle w:val="Heading2"/>
      </w:pPr>
      <w:r>
        <w:t>2. Full-Sample Snapshot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Asset Class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EW PORT IR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Risk Parity IR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Best Strategy (IR)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Weakest Strategy (IR)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EW Return / MDD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NGL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1.025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Momentum (0.804)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Value (0.255)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13.8% / -27.9%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Oil/Energy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0.543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0.432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CarryMom (0.566)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Value (-0.079)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6.8% / -21.7%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Metals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-0.062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0.035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Value (0.571)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Carry (-0.010)*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-0.4% / -29.8%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Precious Metals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-0.149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-0.293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Value (0.109)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Momentum (-0.383)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-1.2% / -60.3%</w:t>
            </w:r>
          </w:p>
        </w:tc>
      </w:tr>
    </w:tbl>
    <w:p>
      <w:r>
        <w:rPr>
          <w:i/>
          <w:color w:val="666666"/>
          <w:sz w:val="17"/>
        </w:rPr>
        <w:t>*Metals' Momentum (IR -0.433) is nominally worse than Carry, but Carry itself is barely positive-adjacent noise across regimes; both are effectively non-contributory outside Value.</w:t>
      </w:r>
    </w:p>
    <w:p/>
    <w:p>
      <w:pPr>
        <w:pStyle w:val="Heading2"/>
      </w:pPr>
      <w:r>
        <w:t>3. Individual Portfolios, Through Their Economic Drivers</w:t>
      </w:r>
    </w:p>
    <w:p>
      <w:pPr>
        <w:pStyle w:val="Heading3"/>
      </w:pPr>
      <w:r>
        <w:t>NGL -- a petrochemical capital-cycle story, not a macro-cyclical one</w:t>
      </w:r>
    </w:p>
    <w:p>
      <w:r>
        <w:t>NGL's uniquely strong, all-regime-positive performance (EW IR 1.025, every individual strategy solidly positive) is the fingerprint of the US shale-gas-to-petrochemical export buildout -- ethane crackers and LNG/NGL export terminal capacity added steadily from roughly 2016 onward. That is a multi-year capital-investment trend, exactly what a trend-follower is built to capture, and it explains why this sleeve was immune to R2's macro malaise while every other asset class's Momentum went negative: the driver here was domestic infrastructure coming online on its own schedule, not the global business cycle. Risk Parity's near-collapse in R1 (IR 0.033 vs. EW's 0.660) coincides with Value's sharp underperformance during the early shale build-out period, when prices were in a persistent structural decline that a mean-reversion signal fought rather than traded.</w:t>
      </w:r>
    </w:p>
    <w:p>
      <w:pPr>
        <w:pStyle w:val="Heading3"/>
      </w:pPr>
      <w:r>
        <w:t>Oil/Energy -- the textbook Keynesian risk-premium complex</w:t>
      </w:r>
    </w:p>
    <w:p>
      <w:r>
        <w:t>This is the sleeve where classical commodity theory -- Keynes and Hicks’s theory of normal backwardation, where producers hedge forward and pay a risk premium to whoever takes the other side -- shows up most cleanly. Carry and Carry-Momentum are positive across nearly every regime, and the portfolio's best period by far is COVID (R3: EW IR 1.282), which is mechanically the negative-WTI, storage-crisis window: the curve was screaming a genuine, economically real scarcity signal, and the strategy captured it directly. Momentum's overall strength reflects that oil is event- and shock-driven -- OPEC+ decisions, the 2022 Russia-Ukraine energy shock, shale's own supply response -- so trends here are usually backed by a real catalyst rather than sentiment. Value's persistent drag (IR -0.079) is the exception that proves the rule: a 5-year mean-reversion signal fighting the 2014-15 shale-driven structural price collapse is fighting fundamentals, not fading noise.</w:t>
      </w:r>
    </w:p>
    <w:p>
      <w:pPr>
        <w:pStyle w:val="Heading3"/>
      </w:pPr>
      <w:r>
        <w:t>Metals -- a China-demand story, not a trending market</w:t>
      </w:r>
    </w:p>
    <w:p>
      <w:r>
        <w:t>The portfolio's near-flat-to-negative full-sample IR (-0.062) is exactly what you would expect from an asset complex whose marginal buyer -- Chinese fixed-asset investment -- has been structurally decelerating since 2011 rather than cycling. Without a strong secular demand impulse, industrial metals oscillate around a slowly eroding equilibrium instead of trending, which is precisely the environment where trend-following underperforms and mean-reversion (Value, the one working strategy here at IR 0.571) wins. The taper tantrum (R1) and the broader post-2011 rebalancing away from investment-led Chinese growth are the structural backdrop; the portfolio's poor risk-adjusted profile (a -29.8% drawdown against essentially zero return) reflects a genuine absence of directional information in this complex over the period, not a modeling failure.</w:t>
      </w:r>
    </w:p>
    <w:p>
      <w:pPr>
        <w:pStyle w:val="Heading3"/>
      </w:pPr>
      <w:r>
        <w:t>Precious Metals -- a real-rate asset being asked to do the wrong job</w:t>
      </w:r>
    </w:p>
    <w:p>
      <w:r>
        <w:t>Momentum’s negative IR in every regime except the partial 2026 window is the single most economically informative result in this dataset: gold and silver are priced primarily off real yields, currency-debasement expectations, and tail-risk demand -- not off their own recent price action. The 2013 taper tantrum and the Fed’s 2022-23 hiking cycle both work against a trend-follower because those are real-rate level shifts, which move gold in sharp, often one-off repricings rather than sustained trends a moving-average system can ride. R3’s across-the-board collapse (EW IR -0.943) is the clearest case: the March 2020 liquidity-driven gold sell-off, followed almost immediately by a QE-driven reflation rally, compresses a full real-rate regime reversal into months -- the worst possible shape for any trend or risk-parity system, since Risk Parity fares even worse here (-0.293) by allocating more weight to whichever strategy looked calmest, not whichever had genuine edge. If there is a real precious-metals risk premium to harvest, price momentum is very likely the wrong tool for the job.</w:t>
      </w:r>
    </w:p>
    <w:p>
      <w:pPr>
        <w:pStyle w:val="Heading2"/>
      </w:pPr>
      <w:r>
        <w:t>4. Macro Patterns Across Regimes</w:t>
      </w:r>
    </w:p>
    <w:p>
      <w:r>
        <w:t>R2 (2016-2019) as a universal drag is itself a macro finding, not statistical noise: every classically cyclical, trend-sensitive sleeve (Metals, Oil/Energy, Precious Metals) went flat-to-negative on Momentum in the one regime with genuinely low macro volatility and no directional catalyst -- consistent with trend and carry premia being compensation for bearing event risk. In a low-surprise macro environment, there is simply less risk premium on offer, and the portfolios correctly show it. NGL’s immunity (Momentum IR 1.284) confirms the mechanism by exception: its driver was a domestic capital cycle, not the global macro backdrop.</w:t>
      </w:r>
    </w:p>
    <w:p>
      <w:r>
        <w:t>R3 (COVID) bifurcates the book by shock type, not asset-class label. Oil/Energy and NGL -- both exposed to a genuine, one-directional physical shock (demand collapse, negative WTI, storage constraints) -- had their best regime. Metals and Precious Metals, more exposed to macro/liquidity whipsaws (crash then immediate QE reversal), had among their worst. Same global shock, opposite portfolio outcome, depending on whether the underlying commodity trades on physical fundamentals or on monetary-policy and flight-to-quality flows.</w:t>
      </w:r>
    </w:p>
    <w:p>
      <w:r>
        <w:t>2026 YTD figures (IR routinely above 1.5, several above 2.5, most strikingly Oil/Energy’s Risk Parity print of 2.810) should be read as the current macro moment -- whatever is driving oil/NGL trends and short-rate expectations right now -- not as evidence of a new, larger risk premium; a five-month annualized sample is not a regime call.</w:t>
      </w:r>
    </w:p>
    <w:p>
      <w:r>
        <w:t>On portfolio construction: Risk Parity is not a free hedge against macro regime shifts. It outperforms Equal Weight where the underlying strategies share a coherent economic driver and differ mainly in volatility (Oil/Energy, most of NGL), but underperforms where one leg is a structurally broken, low-volatility strategy with no real edge (Precious Metals’ Momentum) -- pure Equal Risk Contribution has no way to distinguish “low-risk because well-hedged” from “low-risk because the strategy just doesn’t trade.” That distinction matters more than the covariance matrix in a portfolio meant to survive a real regime change.</w:t>
      </w:r>
    </w:p>
    <w:p>
      <w:pPr>
        <w:pStyle w:val="Heading2"/>
      </w:pPr>
      <w:r>
        <w:t>5. Overall Picture and Recommendation</w:t>
      </w:r>
    </w:p>
    <w:p>
      <w:r>
        <w:t>Ranked by full-sample EW IR: NGL (1.025) &gt; Oil/Energy (0.543) &gt; Metals (-0.062) &gt; Precious Metals (-0.149). Economically, this is really two structurally-sound sleeves (NGL’s capital-cycle trend, Energy’s classical risk-premium complex) and two sleeves fighting the wrong battle (Metals mean-reverting around a decelerating Chinese demand trend that a trend strategy shouldn’t be applied to; Precious Metals being harvested with price momentum when its real driver is the monetary-policy and real-rate cycle). The allocation implication: size NGL and Oil/Energy together as the portfolio’s genuine risk-premium engine, run Metals as a Value-only, mean-reversion sleeve rather than a full four-strategy blend, and either redesign Precious Metals’ signal set around real yields or central-bank flow data, or size it as a small, low-conviction position rather than expecting a trend-following recipe to harvest a monetary-policy risk premium.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