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Risk Premia Research: Individual Commodity Portfolio Performance Review</w:t>
      </w:r>
    </w:p>
    <w:p>
      <w:r>
        <w:rPr>
          <w:i/>
          <w:color w:val="555555"/>
          <w:sz w:val="20"/>
        </w:rPr>
        <w:t>Analysis of Research_Dashboard_CombinedCarry.html  |  Reporting window 2011-2026 (four asset classes, log-return methodology)</w:t>
      </w:r>
    </w:p>
    <w:p/>
    <w:p>
      <w:pPr>
        <w:pStyle w:val="Heading2"/>
      </w:pPr>
      <w:r>
        <w:t>1. Overview</w:t>
      </w:r>
    </w:p>
    <w:p>
      <w:r>
        <w:t>Each asset class (Metals, Oil/Energy, Precious Metals, NGL) is treated here as its own “commodity portfolio” built from four base risk premia -- Momentum (3-way MA-crossover composite), Carry (V1 Level + V2 Z-score, equal-weighted across tenor pairs where an asset class uses two), Carry-Momentum (20-day rate-of-change, same cross-tenor equal-weighting), and Value (F3 contract, 5-year mean-reversion). Each portfolio is then combined two ways: Equal Weight (EW, fixed 25% per strategy) and Risk Parity (Equal Risk Contribution, rolling 252-day covariance, ~21-day rebalance, no return-tilt). Regimes: R1 Supercycle Unwind (2011-15), R2 Recovery/Stabilization (2016-19), R3 COVID Shock (2020-21), R4 Post-COVID/Russia-Ukraine (2022-26), plus a partial 2026 YTD column.</w:t>
      </w:r>
    </w:p>
    <w:p>
      <w:pPr>
        <w:pStyle w:val="Heading2"/>
      </w:pPr>
      <w:r>
        <w:t>2. Full-Sample Snapshot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3864"/>
          </w:tcPr>
          <w:p>
            <w:r>
              <w:rPr>
                <w:b/>
                <w:color w:val="FFFFFF"/>
                <w:sz w:val="19"/>
              </w:rPr>
              <w:t>Asset Class</w:t>
            </w:r>
          </w:p>
        </w:tc>
        <w:tc>
          <w:tcPr>
            <w:tcW w:type="dxa" w:w="1440"/>
            <w:shd w:fill="1F3864"/>
          </w:tcPr>
          <w:p>
            <w:r>
              <w:rPr>
                <w:b/>
                <w:color w:val="FFFFFF"/>
                <w:sz w:val="19"/>
              </w:rPr>
              <w:t>EW PORT IR</w:t>
            </w:r>
          </w:p>
        </w:tc>
        <w:tc>
          <w:tcPr>
            <w:tcW w:type="dxa" w:w="1440"/>
            <w:shd w:fill="1F3864"/>
          </w:tcPr>
          <w:p>
            <w:r>
              <w:rPr>
                <w:b/>
                <w:color w:val="FFFFFF"/>
                <w:sz w:val="19"/>
              </w:rPr>
              <w:t>Risk Parity IR</w:t>
            </w:r>
          </w:p>
        </w:tc>
        <w:tc>
          <w:tcPr>
            <w:tcW w:type="dxa" w:w="1440"/>
            <w:shd w:fill="1F3864"/>
          </w:tcPr>
          <w:p>
            <w:r>
              <w:rPr>
                <w:b/>
                <w:color w:val="FFFFFF"/>
                <w:sz w:val="19"/>
              </w:rPr>
              <w:t>Best Strategy (IR)</w:t>
            </w:r>
          </w:p>
        </w:tc>
        <w:tc>
          <w:tcPr>
            <w:tcW w:type="dxa" w:w="1440"/>
            <w:shd w:fill="1F3864"/>
          </w:tcPr>
          <w:p>
            <w:r>
              <w:rPr>
                <w:b/>
                <w:color w:val="FFFFFF"/>
                <w:sz w:val="19"/>
              </w:rPr>
              <w:t>Weakest Strategy (IR)</w:t>
            </w:r>
          </w:p>
        </w:tc>
        <w:tc>
          <w:tcPr>
            <w:tcW w:type="dxa" w:w="1440"/>
            <w:shd w:fill="1F3864"/>
          </w:tcPr>
          <w:p>
            <w:r>
              <w:rPr>
                <w:b/>
                <w:color w:val="FFFFFF"/>
                <w:sz w:val="19"/>
              </w:rPr>
              <w:t>EW Return / MDD</w:t>
            </w:r>
          </w:p>
        </w:tc>
      </w:tr>
      <w:tr>
        <w:tc>
          <w:tcPr>
            <w:tcW w:type="dxa" w:w="1440"/>
          </w:tcPr>
          <w:p>
            <w:r>
              <w:rPr>
                <w:sz w:val="19"/>
              </w:rPr>
              <w:t>NGL</w:t>
            </w:r>
          </w:p>
        </w:tc>
        <w:tc>
          <w:tcPr>
            <w:tcW w:type="dxa" w:w="1440"/>
          </w:tcPr>
          <w:p>
            <w:r>
              <w:rPr>
                <w:sz w:val="19"/>
              </w:rPr>
              <w:t>1.025</w:t>
            </w:r>
          </w:p>
        </w:tc>
        <w:tc>
          <w:tcPr>
            <w:tcW w:type="dxa" w:w="1440"/>
          </w:tcPr>
          <w:p>
            <w:r>
              <w:rPr>
                <w:sz w:val="19"/>
              </w:rPr>
              <w:t>1.020</w:t>
            </w:r>
          </w:p>
        </w:tc>
        <w:tc>
          <w:tcPr>
            <w:tcW w:type="dxa" w:w="1440"/>
          </w:tcPr>
          <w:p>
            <w:r>
              <w:rPr>
                <w:sz w:val="19"/>
              </w:rPr>
              <w:t>Momentum (0.804)</w:t>
            </w:r>
          </w:p>
        </w:tc>
        <w:tc>
          <w:tcPr>
            <w:tcW w:type="dxa" w:w="1440"/>
          </w:tcPr>
          <w:p>
            <w:r>
              <w:rPr>
                <w:sz w:val="19"/>
              </w:rPr>
              <w:t>Value (0.255)</w:t>
            </w:r>
          </w:p>
        </w:tc>
        <w:tc>
          <w:tcPr>
            <w:tcW w:type="dxa" w:w="1440"/>
          </w:tcPr>
          <w:p>
            <w:r>
              <w:rPr>
                <w:sz w:val="19"/>
              </w:rPr>
              <w:t>13.8% / -27.9%</w:t>
            </w:r>
          </w:p>
        </w:tc>
      </w:tr>
      <w:tr>
        <w:tc>
          <w:tcPr>
            <w:tcW w:type="dxa" w:w="1440"/>
          </w:tcPr>
          <w:p>
            <w:r>
              <w:rPr>
                <w:sz w:val="19"/>
              </w:rPr>
              <w:t>Oil/Energy</w:t>
            </w:r>
          </w:p>
        </w:tc>
        <w:tc>
          <w:tcPr>
            <w:tcW w:type="dxa" w:w="1440"/>
          </w:tcPr>
          <w:p>
            <w:r>
              <w:rPr>
                <w:sz w:val="19"/>
              </w:rPr>
              <w:t>0.543</w:t>
            </w:r>
          </w:p>
        </w:tc>
        <w:tc>
          <w:tcPr>
            <w:tcW w:type="dxa" w:w="1440"/>
          </w:tcPr>
          <w:p>
            <w:r>
              <w:rPr>
                <w:sz w:val="19"/>
              </w:rPr>
              <w:t>0.432</w:t>
            </w:r>
          </w:p>
        </w:tc>
        <w:tc>
          <w:tcPr>
            <w:tcW w:type="dxa" w:w="1440"/>
          </w:tcPr>
          <w:p>
            <w:r>
              <w:rPr>
                <w:sz w:val="19"/>
              </w:rPr>
              <w:t>CarryMom (0.566)</w:t>
            </w:r>
          </w:p>
        </w:tc>
        <w:tc>
          <w:tcPr>
            <w:tcW w:type="dxa" w:w="1440"/>
          </w:tcPr>
          <w:p>
            <w:r>
              <w:rPr>
                <w:sz w:val="19"/>
              </w:rPr>
              <w:t>Value (-0.079)</w:t>
            </w:r>
          </w:p>
        </w:tc>
        <w:tc>
          <w:tcPr>
            <w:tcW w:type="dxa" w:w="1440"/>
          </w:tcPr>
          <w:p>
            <w:r>
              <w:rPr>
                <w:sz w:val="19"/>
              </w:rPr>
              <w:t>6.8% / -21.7%</w:t>
            </w:r>
          </w:p>
        </w:tc>
      </w:tr>
      <w:tr>
        <w:tc>
          <w:tcPr>
            <w:tcW w:type="dxa" w:w="1440"/>
          </w:tcPr>
          <w:p>
            <w:r>
              <w:rPr>
                <w:sz w:val="19"/>
              </w:rPr>
              <w:t>Metals</w:t>
            </w:r>
          </w:p>
        </w:tc>
        <w:tc>
          <w:tcPr>
            <w:tcW w:type="dxa" w:w="1440"/>
          </w:tcPr>
          <w:p>
            <w:r>
              <w:rPr>
                <w:sz w:val="19"/>
              </w:rPr>
              <w:t>-0.062</w:t>
            </w:r>
          </w:p>
        </w:tc>
        <w:tc>
          <w:tcPr>
            <w:tcW w:type="dxa" w:w="1440"/>
          </w:tcPr>
          <w:p>
            <w:r>
              <w:rPr>
                <w:sz w:val="19"/>
              </w:rPr>
              <w:t>0.035</w:t>
            </w:r>
          </w:p>
        </w:tc>
        <w:tc>
          <w:tcPr>
            <w:tcW w:type="dxa" w:w="1440"/>
          </w:tcPr>
          <w:p>
            <w:r>
              <w:rPr>
                <w:sz w:val="19"/>
              </w:rPr>
              <w:t>Value (0.571)</w:t>
            </w:r>
          </w:p>
        </w:tc>
        <w:tc>
          <w:tcPr>
            <w:tcW w:type="dxa" w:w="1440"/>
          </w:tcPr>
          <w:p>
            <w:r>
              <w:rPr>
                <w:sz w:val="19"/>
              </w:rPr>
              <w:t>Carry (-0.010)*</w:t>
            </w:r>
          </w:p>
        </w:tc>
        <w:tc>
          <w:tcPr>
            <w:tcW w:type="dxa" w:w="1440"/>
          </w:tcPr>
          <w:p>
            <w:r>
              <w:rPr>
                <w:sz w:val="19"/>
              </w:rPr>
              <w:t>-0.4% / -29.8%</w:t>
            </w:r>
          </w:p>
        </w:tc>
      </w:tr>
      <w:tr>
        <w:tc>
          <w:tcPr>
            <w:tcW w:type="dxa" w:w="1440"/>
          </w:tcPr>
          <w:p>
            <w:r>
              <w:rPr>
                <w:sz w:val="19"/>
              </w:rPr>
              <w:t>Precious Metals</w:t>
            </w:r>
          </w:p>
        </w:tc>
        <w:tc>
          <w:tcPr>
            <w:tcW w:type="dxa" w:w="1440"/>
          </w:tcPr>
          <w:p>
            <w:r>
              <w:rPr>
                <w:sz w:val="19"/>
              </w:rPr>
              <w:t>-0.149</w:t>
            </w:r>
          </w:p>
        </w:tc>
        <w:tc>
          <w:tcPr>
            <w:tcW w:type="dxa" w:w="1440"/>
          </w:tcPr>
          <w:p>
            <w:r>
              <w:rPr>
                <w:sz w:val="19"/>
              </w:rPr>
              <w:t>-0.293</w:t>
            </w:r>
          </w:p>
        </w:tc>
        <w:tc>
          <w:tcPr>
            <w:tcW w:type="dxa" w:w="1440"/>
          </w:tcPr>
          <w:p>
            <w:r>
              <w:rPr>
                <w:sz w:val="19"/>
              </w:rPr>
              <w:t>Value (0.109)</w:t>
            </w:r>
          </w:p>
        </w:tc>
        <w:tc>
          <w:tcPr>
            <w:tcW w:type="dxa" w:w="1440"/>
          </w:tcPr>
          <w:p>
            <w:r>
              <w:rPr>
                <w:sz w:val="19"/>
              </w:rPr>
              <w:t>Momentum (-0.383)</w:t>
            </w:r>
          </w:p>
        </w:tc>
        <w:tc>
          <w:tcPr>
            <w:tcW w:type="dxa" w:w="1440"/>
          </w:tcPr>
          <w:p>
            <w:r>
              <w:rPr>
                <w:sz w:val="19"/>
              </w:rPr>
              <w:t>-1.2% / -60.3%</w:t>
            </w:r>
          </w:p>
        </w:tc>
      </w:tr>
    </w:tbl>
    <w:p>
      <w:r>
        <w:rPr>
          <w:i/>
          <w:color w:val="666666"/>
          <w:sz w:val="17"/>
        </w:rPr>
        <w:t>*Metals' Momentum (IR -0.433) is nominally worse than Carry, but Carry itself is barely positive-adjacent noise across regimes; both are effectively non-contributory outside Value.</w:t>
      </w:r>
    </w:p>
    <w:p/>
    <w:p>
      <w:pPr>
        <w:pStyle w:val="Heading2"/>
      </w:pPr>
      <w:r>
        <w:t>3. Individual Portfolio Performance</w:t>
      </w:r>
    </w:p>
    <w:p>
      <w:pPr>
        <w:pStyle w:val="Heading3"/>
      </w:pPr>
      <w:r>
        <w:t>NGL -- the standout portfolio</w:t>
      </w:r>
    </w:p>
    <w:p>
      <w:r>
        <w:t>Best full-sample IR of any sleeve (EW 1.025, Risk Parity 1.020), and the only asset class where every individual strategy is solidly positive (Momentum 0.804, Carry 0.662, CarryMom 0.466, Value 0.255). Return/drawdown profile is also the most attractive in the book (13.8% annualized return against a -27.9% max drawdown for EW). The one soft spot: Risk Parity nearly collapses in R1 (IR 0.033 vs. EW's 0.660), driven by Value's sharply negative R1 print (-0.852) distorting the covariance-based weight solve early in the sample -- a robustness flag for Risk Parity specifically, not for the underlying strategies.</w:t>
      </w:r>
    </w:p>
    <w:p>
      <w:pPr>
        <w:pStyle w:val="Heading3"/>
      </w:pPr>
      <w:r>
        <w:t>Oil/Energy -- the reliable all-weather complex</w:t>
      </w:r>
    </w:p>
    <w:p>
      <w:r>
        <w:t>Second-strongest sleeve (EW 0.543, Risk Parity 0.432), with three of four base strategies (Momentum, Carry, CarryMom) contributing positively on average. CarryMom is the standout (IR 0.566), reflecting genuine information in term-structure changes. Value is this portfolio's one consistent drag (IR -0.079), fighting the 2011-15 shale-driven structural price decline rather than a genuine mean-reverting cycle. COVID (R3) is this portfolio's best regime by far (EW 1.282, Risk Parity 1.283) -- both combination methods converge here, suggesting the underlying strategies were already reasonably risk-balanced during that shock.</w:t>
      </w:r>
    </w:p>
    <w:p>
      <w:pPr>
        <w:pStyle w:val="Heading3"/>
      </w:pPr>
      <w:r>
        <w:t>Metals -- return-starved, Value-dependent</w:t>
      </w:r>
    </w:p>
    <w:p>
      <w:r>
        <w:t>Full-sample EW IR is effectively flat-to-negative (-0.062); Risk Parity nudges it to barely positive (0.035) but neither is a portfolio worth allocating meaningful risk to as constructed. Value is the only genuinely working strategy (IR 0.571, positive in Full, R1, R2, and R4); Momentum is structurally negative outside sharp shocks (only positive in R3's COVID rally and 2026 YTD). The combined portfolio's drawdown (-29.8% for EW) against essentially zero return is the worst risk-adjusted profile of the four asset classes after Precious Metals -- diversification here is reducing volatility, not adding return.</w:t>
      </w:r>
    </w:p>
    <w:p>
      <w:pPr>
        <w:pStyle w:val="Heading3"/>
      </w:pPr>
      <w:r>
        <w:t>Precious Metals -- the weakest complex</w:t>
      </w:r>
    </w:p>
    <w:p>
      <w:r>
        <w:t>Both portfolio constructions are net negative full-sample (EW -0.149, Risk Parity -0.293) -- the only asset class where Risk Parity is meaningfully worse than Equal Weight. Momentum is negative in every regime except the partial 2026 YTD window, which is the most consistent strategy failure in the entire dataset. Carry is the only strategy with a genuine positive full-sample IR (0.101), but even it collapses in COVID (R3: -1.023) and the current regime (R4: -0.201). Max drawdown for the EW portfolio (-60.3%) against a barely-positive return (1.8% for Carry alone) makes this the least attractive sleeve in the book.</w:t>
      </w:r>
    </w:p>
    <w:p>
      <w:pPr>
        <w:pStyle w:val="Heading2"/>
      </w:pPr>
      <w:r>
        <w:t>4. Cross-Regime Patterns</w:t>
      </w:r>
    </w:p>
    <w:p>
      <w:r>
        <w:t>R2 (2016-2019, Recovery/Stabilization) is a trend-following graveyard across the board: Momentum is negative in Metals (-0.624), Oil/Energy (-0.197), and Precious Metals (-0.207) simultaneously -- only NGL bucks it (1.284), plausibly because that sleeve was riding a structural infrastructure build-out rather than a macro cycle. Low-volatility, directionless years appear to compress the trend premium everywhere except where a non-cyclical driver overrides it.</w:t>
      </w:r>
    </w:p>
    <w:p>
      <w:r>
        <w:t>R3 (COVID Shock, 2020-2021) splits the book cleanly along shock-exposure lines: Oil/Energy and NGL portfolios both surge (EW IR 1.282 and 1.309 respectively) on the back of a genuine, one-directional physical demand/supply shock, while Precious Metals collapses (EW -0.943) as the March 2020 liquidity crunch followed by a rapid QE-driven reversal whipsawed every signal type at once. Same macro shock, opposite portfolio outcome depending on whether the underlying commodity trades on physical fundamentals or monetary/liquidity regime.</w:t>
      </w:r>
    </w:p>
    <w:p>
      <w:r>
        <w:t>2026 YTD numbers are extreme almost everywhere (IR routinely above 1.5, several above 2.5) and should be read as a five-month-sample annualization artifact, not a new regime -- most visible in Oil/Energy's Risk Parity print of 2.810.</w:t>
      </w:r>
    </w:p>
    <w:p>
      <w:r>
        <w:t>Risk Parity vs. Equal Weight is not a uniform improvement: it clearly helps in Oil/Energy (R2, R3) and NGL (most regimes), is roughly a wash for Metals, but is worse than EW for Precious Metals full-sample and for NGL specifically in R1. Because this implementation uses pure ERC (tilt = 0, no return-awareness), it can end up overweighting a low-volatility but structurally weak strategy (e.g., Precious Metals' Momentum) purely because it looks calm, not because it has edge -- a real limitation of risk-only weighting worth keeping in mind before treating Risk Parity as a strict upgrade over Equal Weight.</w:t>
      </w:r>
    </w:p>
    <w:p>
      <w:pPr>
        <w:pStyle w:val="Heading2"/>
      </w:pPr>
      <w:r>
        <w:t>5. Overall Picture and Recommendation</w:t>
      </w:r>
    </w:p>
    <w:p>
      <w:r>
        <w:t>Ranked by full-sample EW IR: NGL (1.025) &gt; Oil/Energy (0.543) &gt; Metals (-0.062) &gt; Precious Metals (-0.149). This ranking holds under the drawdown-adjusted view too -- NGL and Oil/Energy both post real returns for their risk taken, while Metals and Precious Metals post large drawdowns against flat-to-negative returns. The practical takeaway: NGL and Oil/Energy are the two sleeves where a multi-strategy, diversified approach is genuinely earning its keep; Metals should likely be run as a Value-only allocation rather than the full four-strategy blend; and Precious Metals' signal set -- Momentum in particular -- needs a redesign before it belongs in a production portfolio at all. On combination method, neither Equal Weight nor Risk Parity is a universal winner in this data; the choice should be made per asset class based on which set of underlying strategies it's actually combining, not applied as a single global default.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