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Trader / Researcher’s Review: Which Commodity Portfolios Are Actually Tradeable</w:t>
      </w:r>
    </w:p>
    <w:p>
      <w:r>
        <w:rPr>
          <w:i/>
          <w:color w:val="555555"/>
          <w:sz w:val="20"/>
        </w:rPr>
        <w:t>Analysis of Research_Dashboard_CombinedCarry.html  |  Reporting window 2011-2026 (four asset classes, log-return methodology)</w:t>
      </w:r>
    </w:p>
    <w:p/>
    <w:p>
      <w:pPr>
        <w:pStyle w:val="Heading2"/>
      </w:pPr>
      <w:r>
        <w:t>1. Top-Line Verdict</w:t>
      </w:r>
    </w:p>
    <w:p>
      <w:r>
        <w:t>The question here is not “is this statistically real” or “what macro story explains it,” but whether I would actually put capital behind each portfolio, how much, and what I need to verify first. Each asset class is a fixed-weight blend of Momentum, Carry, Carry-Momentum, and Value (Carry/CarryMom already equal-weighted across tenor pairs where two exist), combined via Equal Weight (EW) or rolling Risk Parity (ERC, 252-day covariance, ~21-day rebalance, tilt=0).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F3864"/>
          </w:tcPr>
          <w:p>
            <w:r>
              <w:rPr>
                <w:b/>
                <w:color w:val="FFFFFF"/>
                <w:sz w:val="19"/>
              </w:rPr>
              <w:t>Asset Class</w:t>
            </w:r>
          </w:p>
        </w:tc>
        <w:tc>
          <w:tcPr>
            <w:tcW w:type="dxa" w:w="2160"/>
            <w:shd w:fill="1F3864"/>
          </w:tcPr>
          <w:p>
            <w:r>
              <w:rPr>
                <w:b/>
                <w:color w:val="FFFFFF"/>
                <w:sz w:val="19"/>
              </w:rPr>
              <w:t>Trade it?</w:t>
            </w:r>
          </w:p>
        </w:tc>
        <w:tc>
          <w:tcPr>
            <w:tcW w:type="dxa" w:w="2160"/>
            <w:shd w:fill="1F3864"/>
          </w:tcPr>
          <w:p>
            <w:r>
              <w:rPr>
                <w:b/>
                <w:color w:val="FFFFFF"/>
                <w:sz w:val="19"/>
              </w:rPr>
              <w:t>Preferred combine method</w:t>
            </w:r>
          </w:p>
        </w:tc>
        <w:tc>
          <w:tcPr>
            <w:tcW w:type="dxa" w:w="2160"/>
            <w:shd w:fill="1F3864"/>
          </w:tcPr>
          <w:p>
            <w:r>
              <w:rPr>
                <w:b/>
                <w:color w:val="FFFFFF"/>
                <w:sz w:val="19"/>
              </w:rPr>
              <w:t>Biggest open question</w:t>
            </w:r>
          </w:p>
        </w:tc>
      </w:tr>
      <w:tr>
        <w:tc>
          <w:tcPr>
            <w:tcW w:type="dxa" w:w="2160"/>
          </w:tcPr>
          <w:p>
            <w:r>
              <w:rPr>
                <w:sz w:val="19"/>
              </w:rPr>
              <w:t>NGL</w:t>
            </w:r>
          </w:p>
        </w:tc>
        <w:tc>
          <w:tcPr>
            <w:tcW w:type="dxa" w:w="2160"/>
          </w:tcPr>
          <w:p>
            <w:r>
              <w:rPr>
                <w:sz w:val="19"/>
              </w:rPr>
              <w:t>Yes, full size</w:t>
            </w:r>
          </w:p>
        </w:tc>
        <w:tc>
          <w:tcPr>
            <w:tcW w:type="dxa" w:w="2160"/>
          </w:tcPr>
          <w:p>
            <w:r>
              <w:rPr>
                <w:sz w:val="19"/>
              </w:rPr>
              <w:t>Risk Parity (better Calmar than EW)</w:t>
            </w:r>
          </w:p>
        </w:tc>
        <w:tc>
          <w:tcPr>
            <w:tcW w:type="dxa" w:w="2160"/>
          </w:tcPr>
          <w:p>
            <w:r>
              <w:rPr>
                <w:sz w:val="19"/>
              </w:rPr>
              <w:t>R1 Risk Parity fragility (Value-driven)</w:t>
            </w:r>
          </w:p>
        </w:tc>
      </w:tr>
      <w:tr>
        <w:tc>
          <w:tcPr>
            <w:tcW w:type="dxa" w:w="2160"/>
          </w:tcPr>
          <w:p>
            <w:r>
              <w:rPr>
                <w:sz w:val="19"/>
              </w:rPr>
              <w:t>Oil/Energy</w:t>
            </w:r>
          </w:p>
        </w:tc>
        <w:tc>
          <w:tcPr>
            <w:tcW w:type="dxa" w:w="2160"/>
          </w:tcPr>
          <w:p>
            <w:r>
              <w:rPr>
                <w:sz w:val="19"/>
              </w:rPr>
              <w:t>Yes, full size</w:t>
            </w:r>
          </w:p>
        </w:tc>
        <w:tc>
          <w:tcPr>
            <w:tcW w:type="dxa" w:w="2160"/>
          </w:tcPr>
          <w:p>
            <w:r>
              <w:rPr>
                <w:sz w:val="19"/>
              </w:rPr>
              <w:t>Either -- both converge in most regimes</w:t>
            </w:r>
          </w:p>
        </w:tc>
        <w:tc>
          <w:tcPr>
            <w:tcW w:type="dxa" w:w="2160"/>
          </w:tcPr>
          <w:p>
            <w:r>
              <w:rPr>
                <w:sz w:val="19"/>
              </w:rPr>
              <w:t>Confirm gross vs. net of TC</w:t>
            </w:r>
          </w:p>
        </w:tc>
      </w:tr>
      <w:tr>
        <w:tc>
          <w:tcPr>
            <w:tcW w:type="dxa" w:w="2160"/>
          </w:tcPr>
          <w:p>
            <w:r>
              <w:rPr>
                <w:sz w:val="19"/>
              </w:rPr>
              <w:t>Metals</w:t>
            </w:r>
          </w:p>
        </w:tc>
        <w:tc>
          <w:tcPr>
            <w:tcW w:type="dxa" w:w="2160"/>
          </w:tcPr>
          <w:p>
            <w:r>
              <w:rPr>
                <w:sz w:val="19"/>
              </w:rPr>
              <w:t>Value-only, reduced size</w:t>
            </w:r>
          </w:p>
        </w:tc>
        <w:tc>
          <w:tcPr>
            <w:tcW w:type="dxa" w:w="2160"/>
          </w:tcPr>
          <w:p>
            <w:r>
              <w:rPr>
                <w:sz w:val="19"/>
              </w:rPr>
              <w:t>N/A -- don't run as 4-strategy blend</w:t>
            </w:r>
          </w:p>
        </w:tc>
        <w:tc>
          <w:tcPr>
            <w:tcW w:type="dxa" w:w="2160"/>
          </w:tcPr>
          <w:p>
            <w:r>
              <w:rPr>
                <w:sz w:val="19"/>
              </w:rPr>
              <w:t>Drawdown-to-return ratio is poor</w:t>
            </w:r>
          </w:p>
        </w:tc>
      </w:tr>
      <w:tr>
        <w:tc>
          <w:tcPr>
            <w:tcW w:type="dxa" w:w="2160"/>
          </w:tcPr>
          <w:p>
            <w:r>
              <w:rPr>
                <w:sz w:val="19"/>
              </w:rPr>
              <w:t>Precious Metals</w:t>
            </w:r>
          </w:p>
        </w:tc>
        <w:tc>
          <w:tcPr>
            <w:tcW w:type="dxa" w:w="2160"/>
          </w:tcPr>
          <w:p>
            <w:r>
              <w:rPr>
                <w:sz w:val="19"/>
              </w:rPr>
              <w:t>No, or token size only</w:t>
            </w:r>
          </w:p>
        </w:tc>
        <w:tc>
          <w:tcPr>
            <w:tcW w:type="dxa" w:w="2160"/>
          </w:tcPr>
          <w:p>
            <w:r>
              <w:rPr>
                <w:sz w:val="19"/>
              </w:rPr>
              <w:t>Neither -- redesign signal set first</w:t>
            </w:r>
          </w:p>
        </w:tc>
        <w:tc>
          <w:tcPr>
            <w:tcW w:type="dxa" w:w="2160"/>
          </w:tcPr>
          <w:p>
            <w:r>
              <w:rPr>
                <w:sz w:val="19"/>
              </w:rPr>
              <w:t>Momentum fails in every regime</w:t>
            </w:r>
          </w:p>
        </w:tc>
      </w:tr>
    </w:tbl>
    <w:p/>
    <w:p>
      <w:pPr>
        <w:pStyle w:val="Heading2"/>
      </w:pPr>
      <w:r>
        <w:t>2. Position Sizing and Drawdown -- the Number That Actually Matters</w:t>
      </w:r>
    </w:p>
    <w:p>
      <w:r>
        <w:t>IR tells you the average risk-adjusted return; it says nothing about how painful the ride is, which is what determines how much capital survives to the next allocation review. Running Calmar-style ratios (annualized return / |max drawdown|) off the full-sample EW rows:</w:t>
      </w:r>
    </w:p>
    <w:p>
      <w:r>
        <w:t>NGL EW: 13.8% / 27.9% ≈ 0.49 -- the best return-for-drawdown profile in the book. Its Risk Parity variant is even better on this metric (12.0% / 21.1% ≈ 0.57): a smaller drawdown for only slightly less return, worth the switch on capital-efficiency grounds alone.</w:t>
      </w:r>
    </w:p>
    <w:p>
      <w:r>
        <w:t>Oil/Energy EW: 6.8% / 21.7% ≈ 0.31 -- solid and tradeable. Risk Parity trims both return and drawdown roughly proportionally (4.2% / 15.0% ≈ 0.28), so the choice between the two here is close to a wash; I'd pick whichever has the lower realized turnover once costs are checked.</w:t>
      </w:r>
    </w:p>
    <w:p>
      <w:r>
        <w:t>Metals EW: -0.4% / 29.8% -- a negative Calmar. You are underwriting a 30% drawdown for a flat-to-negative return. Even Risk Parity's improvement (0.2% / 23.3%) barely clears zero. Not investable as a 4-strategy blend at any real size.</w:t>
      </w:r>
    </w:p>
    <w:p>
      <w:r>
        <w:t>Precious Metals EW: -1.2% / 60.3% -- the worst profile in the book by a wide margin, and Risk Parity makes it worse (-2.2% / 64.8%). This doesn't need a ratio to know it fails.</w:t>
      </w:r>
    </w:p>
    <w:p>
      <w:pPr>
        <w:pStyle w:val="Heading2"/>
      </w:pPr>
      <w:r>
        <w:t>3. Signal Turnover and Cost Sensitivity</w:t>
      </w:r>
    </w:p>
    <w:p>
      <w:r>
        <w:t>Each portfolio blends strategies with very different turnover profiles, which matters once real slippage and transaction costs enter the picture. Value (1260-day lookback, 10% threshold) is low-turnover by construction and cheap to run everywhere. Momentum's fastest leg (MA 1/20) and Carry-Momentum (20-day rate-of-change) are meaningfully higher-turnover -- these are the components I would stress-test hardest against realistic bid/ask before trusting the reported IR, especially in NGL and Energy where Momentum and CarryMom are doing most of the work. The dashboard doesn't state whether these IRs are gross or net of transaction costs; that's the first thing I'd confirm before sizing anything, since the underlying tradebook code computes both and the higher-turnover legs are exactly where the gap would show up.</w:t>
      </w:r>
    </w:p>
    <w:p>
      <w:pPr>
        <w:pStyle w:val="Heading2"/>
      </w:pPr>
      <w:r>
        <w:t>4. Portfolio Construction -- Don’t Just Stack the Four Sleeves Equally</w:t>
      </w:r>
    </w:p>
    <w:p>
      <w:r>
        <w:t>Full-sample EW volatility differs meaningfully across asset classes (Metals ~6.5%, Precious Metals ~7.9%, Oil/Energy ~12.5%, NGL ~13.4%), so bolting all four together at equal notional would let Oil/Energy and NGL dominate the book's risk by construction, not by conviction -- inverse-vol or a proper risk-parity pass at the asset-class level (not just within each sleeve) would be the more deliberate choice. Also worth flagging: Oil/Energy and NGL are not independent books. Both are hydrocarbon-complex and both are exposed to the same shocks (2022 Russia-Ukraine energy crisis, shale/export-capacity cycles). Before sizing both up together, I'd want the realized correlation between the two portfolios' return streams, not just treat them as two separate diversified sleeves.</w:t>
      </w:r>
    </w:p>
    <w:p>
      <w:pPr>
        <w:pStyle w:val="Heading2"/>
      </w:pPr>
      <w:r>
        <w:t>5. Open Questions Before This Goes Live</w:t>
      </w:r>
    </w:p>
    <w:p>
      <w:r>
        <w:t>Gross or net of transaction costs? -- resolve before anything else, particularly for the higher-turnover Momentum/CarryMom legs.</w:t>
        <w:br/>
        <w:t>Confirm the max-drawdown unit convention -- several MDD figures are large enough to check whether they represent bounded capital drawdown or cumulative notional PnL.</w:t>
        <w:br/>
        <w:t>NGL's Risk Parity fragility in R1 (near-zero IR vs. EW's solid 0.66) traces to Value's sharp underperformance distorting the covariance-based weight solve early in the sample -- worth a walk-forward check before trusting Risk Parity's weighting in any period with a similarly concentrated drawdown in one leg.</w:t>
        <w:br/>
        <w:t>This implementation of Risk Parity uses pure ERC (tilt=0, no return-awareness) -- it will happily overweight a low-volatility, structurally weak strategy (Precious Metals' Momentum) purely because it looks calm. A modest return-tilt (available in the same research/risk_parity.py module) is worth testing before treating Risk Parity as a strict upgrade over Equal Weight in any sleeve with a genuinely broken leg.</w:t>
        <w:br/>
        <w:t>Get the cross-sleeve correlation matrix, especially Oil/Energy vs. NGL, before setting portfolio-level risk budgets across all four asset classes together.</w:t>
      </w:r>
    </w:p>
    <w:p>
      <w:pPr>
        <w:pStyle w:val="Heading2"/>
      </w:pPr>
      <w:r>
        <w:t>6. Bottom Line</w:t>
      </w:r>
    </w:p>
    <w:p>
      <w:r>
        <w:t>I would deploy real risk into NGL (Risk Parity, given its better Calmar) and Oil/Energy (EW or Risk Parity, roughly interchangeable here) today. I would run Metals at reduced size as Value-only rather than the full four-strategy blend, given its negative-to-flat Calmar as constructed. I would hold off on Precious Metals entirely, or run it at token size, until the signal set there is redesigned -- Momentum failing in every single regime isn't noise, it's the strategy telling you it's the wrong tool for this 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