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Methodology</w:t>
      </w:r>
    </w:p>
    <w:p>
      <w:r>
        <w:rPr>
          <w:i w:val="0"/>
          <w:sz w:val="24"/>
        </w:rPr>
        <w:t>Final Research Dashboard (Analysis/Final_Research_Dashboard.html)</w:t>
      </w:r>
    </w:p>
    <w:p>
      <w:r>
        <w:rPr>
          <w:i/>
          <w:sz w:val="22"/>
        </w:rPr>
        <w:t>As of 12 October 2026</w:t>
      </w:r>
    </w:p>
    <w:p>
      <w:pPr>
        <w:pStyle w:val="Heading2"/>
      </w:pPr>
      <w:r>
        <w:t>1. Scope</w:t>
      </w:r>
    </w:p>
    <w:p>
      <w:r>
        <w:rPr>
          <w:i w:val="0"/>
        </w:rPr>
        <w:t>This document describes how every number in the Final Research Dashboard is constructed: the data, the continuous price series, the four signal sleeves, transaction costs, return and risk statistics, and the way products, sleeves and asset classes are combined. It describes methodology only and reports no performance results. Section 14 lists the known limitations and implementation details a reader needs in order to interpret the results correctly.</w:t>
      </w:r>
    </w:p>
    <w:p>
      <w:r>
        <w:rPr>
          <w:i w:val="0"/>
        </w:rPr>
        <w:t>The dashboard combines sleeves and asset classes by two methods only, Equal Weight and Inverse Vol, and uses only the V2 form of Carry. The code base contains other constructions (for example other Carry variants and risk-parity weighting); they are not part of the final dashboard and are not described here.</w:t>
      </w:r>
    </w:p>
    <w:p>
      <w:pPr>
        <w:pStyle w:val="Heading2"/>
      </w:pPr>
      <w:r>
        <w:t>2. Asset Universe</w:t>
      </w:r>
    </w:p>
    <w:p>
      <w:r>
        <w:rPr>
          <w:i w:val="0"/>
        </w:rPr>
        <w:t>Twenty-three products in five asset classes. All products are traded at one unit of notional exposure per product (Section 6).</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944"/>
            <w:shd w:val="clear" w:color="auto" w:fill="E4E8EC"/>
          </w:tcPr>
          <w:p>
            <w:pPr>
              <w:spacing w:after="40" w:before="40"/>
            </w:pPr>
            <w:r/>
            <w:r>
              <w:rPr>
                <w:b/>
                <w:sz w:val="18"/>
              </w:rPr>
              <w:t>Asset class</w:t>
            </w:r>
          </w:p>
        </w:tc>
        <w:tc>
          <w:tcPr>
            <w:tcW w:type="dxa" w:w="4320"/>
            <w:shd w:val="clear" w:color="auto" w:fill="E4E8EC"/>
          </w:tcPr>
          <w:p>
            <w:pPr>
              <w:spacing w:after="40" w:before="40"/>
            </w:pPr>
            <w:r/>
            <w:r>
              <w:rPr>
                <w:b/>
                <w:sz w:val="18"/>
              </w:rPr>
              <w:t>Products</w:t>
            </w:r>
          </w:p>
        </w:tc>
        <w:tc>
          <w:tcPr>
            <w:tcW w:type="dxa" w:w="3384"/>
            <w:shd w:val="clear" w:color="auto" w:fill="E4E8EC"/>
          </w:tcPr>
          <w:p>
            <w:pPr>
              <w:spacing w:after="40" w:before="40"/>
            </w:pPr>
            <w:r/>
            <w:r>
              <w:rPr>
                <w:b/>
                <w:sz w:val="18"/>
              </w:rPr>
              <w:t>Exchange / contract</w:t>
            </w:r>
          </w:p>
        </w:tc>
      </w:tr>
      <w:tr>
        <w:tc>
          <w:tcPr>
            <w:tcW w:type="dxa" w:w="1944"/>
          </w:tcPr>
          <w:p>
            <w:pPr>
              <w:spacing w:after="40" w:before="40"/>
            </w:pPr>
            <w:r/>
            <w:r>
              <w:rPr>
                <w:sz w:val="18"/>
              </w:rPr>
              <w:t>Metals (4)</w:t>
            </w:r>
          </w:p>
        </w:tc>
        <w:tc>
          <w:tcPr>
            <w:tcW w:type="dxa" w:w="4320"/>
          </w:tcPr>
          <w:p>
            <w:pPr>
              <w:spacing w:after="40" w:before="40"/>
            </w:pPr>
            <w:r/>
            <w:r>
              <w:rPr>
                <w:sz w:val="18"/>
              </w:rPr>
              <w:t>Copper, Aluminium, Lead, Zinc</w:t>
            </w:r>
          </w:p>
        </w:tc>
        <w:tc>
          <w:tcPr>
            <w:tcW w:type="dxa" w:w="3384"/>
          </w:tcPr>
          <w:p>
            <w:pPr>
              <w:spacing w:after="40" w:before="40"/>
            </w:pPr>
            <w:r/>
            <w:r>
              <w:rPr>
                <w:sz w:val="18"/>
              </w:rPr>
              <w:t>LME</w:t>
            </w:r>
          </w:p>
        </w:tc>
      </w:tr>
      <w:tr>
        <w:tc>
          <w:tcPr>
            <w:tcW w:type="dxa" w:w="1944"/>
          </w:tcPr>
          <w:p>
            <w:pPr>
              <w:spacing w:after="40" w:before="40"/>
            </w:pPr>
            <w:r/>
            <w:r>
              <w:rPr>
                <w:sz w:val="18"/>
              </w:rPr>
              <w:t>Energy (5)</w:t>
            </w:r>
          </w:p>
        </w:tc>
        <w:tc>
          <w:tcPr>
            <w:tcW w:type="dxa" w:w="4320"/>
          </w:tcPr>
          <w:p>
            <w:pPr>
              <w:spacing w:after="40" w:before="40"/>
            </w:pPr>
            <w:r/>
            <w:r>
              <w:rPr>
                <w:sz w:val="18"/>
              </w:rPr>
              <w:t>WTI, Brent, RBOB Gasoline, Heating Oil (ULSD), Natural Gas (Henry Hub)</w:t>
            </w:r>
          </w:p>
        </w:tc>
        <w:tc>
          <w:tcPr>
            <w:tcW w:type="dxa" w:w="3384"/>
          </w:tcPr>
          <w:p>
            <w:pPr>
              <w:spacing w:after="40" w:before="40"/>
            </w:pPr>
            <w:r/>
            <w:r>
              <w:rPr>
                <w:sz w:val="18"/>
              </w:rPr>
              <w:t>NYMEX (WTI, RBOB, Heating Oil, Natural Gas); ICE (Brent)</w:t>
            </w:r>
          </w:p>
        </w:tc>
      </w:tr>
      <w:tr>
        <w:tc>
          <w:tcPr>
            <w:tcW w:type="dxa" w:w="1944"/>
          </w:tcPr>
          <w:p>
            <w:pPr>
              <w:spacing w:after="40" w:before="40"/>
            </w:pPr>
            <w:r/>
            <w:r>
              <w:rPr>
                <w:sz w:val="18"/>
              </w:rPr>
              <w:t>Precious Metals (4)</w:t>
            </w:r>
          </w:p>
        </w:tc>
        <w:tc>
          <w:tcPr>
            <w:tcW w:type="dxa" w:w="4320"/>
          </w:tcPr>
          <w:p>
            <w:pPr>
              <w:spacing w:after="40" w:before="40"/>
            </w:pPr>
            <w:r/>
            <w:r>
              <w:rPr>
                <w:sz w:val="18"/>
              </w:rPr>
              <w:t>Gold, Silver, Platinum, Palladium</w:t>
            </w:r>
          </w:p>
        </w:tc>
        <w:tc>
          <w:tcPr>
            <w:tcW w:type="dxa" w:w="3384"/>
          </w:tcPr>
          <w:p>
            <w:pPr>
              <w:spacing w:after="40" w:before="40"/>
            </w:pPr>
            <w:r/>
            <w:r>
              <w:rPr>
                <w:sz w:val="18"/>
              </w:rPr>
              <w:t>COMEX (Gold, Silver); NYMEX (Platinum, Palladium)</w:t>
            </w:r>
          </w:p>
        </w:tc>
      </w:tr>
      <w:tr>
        <w:tc>
          <w:tcPr>
            <w:tcW w:type="dxa" w:w="1944"/>
          </w:tcPr>
          <w:p>
            <w:pPr>
              <w:spacing w:after="40" w:before="40"/>
            </w:pPr>
            <w:r/>
            <w:r>
              <w:rPr>
                <w:sz w:val="18"/>
              </w:rPr>
              <w:t>NGL (4)</w:t>
            </w:r>
          </w:p>
        </w:tc>
        <w:tc>
          <w:tcPr>
            <w:tcW w:type="dxa" w:w="4320"/>
          </w:tcPr>
          <w:p>
            <w:pPr>
              <w:spacing w:after="40" w:before="40"/>
            </w:pPr>
            <w:r/>
            <w:r>
              <w:rPr>
                <w:sz w:val="18"/>
              </w:rPr>
              <w:t>Ethane, Propane, Butane, Isobutane</w:t>
            </w:r>
          </w:p>
        </w:tc>
        <w:tc>
          <w:tcPr>
            <w:tcW w:type="dxa" w:w="3384"/>
          </w:tcPr>
          <w:p>
            <w:pPr>
              <w:spacing w:after="40" w:before="40"/>
            </w:pPr>
            <w:r/>
            <w:r>
              <w:rPr>
                <w:sz w:val="18"/>
              </w:rPr>
              <w:t>Mont Belvieu swap contracts (the price sheets carry an "Argus" suffix)</w:t>
            </w:r>
          </w:p>
        </w:tc>
      </w:tr>
      <w:tr>
        <w:tc>
          <w:tcPr>
            <w:tcW w:type="dxa" w:w="1944"/>
          </w:tcPr>
          <w:p>
            <w:pPr>
              <w:spacing w:after="40" w:before="40"/>
            </w:pPr>
            <w:r/>
            <w:r>
              <w:rPr>
                <w:sz w:val="18"/>
              </w:rPr>
              <w:t>Agriculture (6)</w:t>
            </w:r>
          </w:p>
        </w:tc>
        <w:tc>
          <w:tcPr>
            <w:tcW w:type="dxa" w:w="4320"/>
          </w:tcPr>
          <w:p>
            <w:pPr>
              <w:spacing w:after="40" w:before="40"/>
            </w:pPr>
            <w:r/>
            <w:r>
              <w:rPr>
                <w:sz w:val="18"/>
              </w:rPr>
              <w:t>Corn, Wheat, Soybean, Soybean Oil, Coffee, Sugar No.11</w:t>
            </w:r>
          </w:p>
        </w:tc>
        <w:tc>
          <w:tcPr>
            <w:tcW w:type="dxa" w:w="3384"/>
          </w:tcPr>
          <w:p>
            <w:pPr>
              <w:spacing w:after="40" w:before="40"/>
            </w:pPr>
            <w:r/>
            <w:r>
              <w:rPr>
                <w:sz w:val="18"/>
              </w:rPr>
              <w:t>CBOT (Corn, Wheat, Soybean, Soybean Oil); ICE (Coffee C, Sugar No.11)</w:t>
            </w:r>
          </w:p>
        </w:tc>
      </w:tr>
    </w:tbl>
    <w:p>
      <w:pPr>
        <w:spacing w:after="40"/>
      </w:pPr>
    </w:p>
    <w:p>
      <w:r>
        <w:rPr>
          <w:i w:val="0"/>
        </w:rPr>
        <w:t>The Energy asset class is reported twice: with all five products and without Natural Gas ("Energy ex-NatGas"). Combined books and Cross-Pair portfolios are likewise shown with and without Natural Gas. Other products that exist in the data files (for example Singapore Gasoil, Fuel Oil, Ethylene, Propylene, nine further agricultural products) are excluded from every portfolio in the dashboard.</w:t>
      </w:r>
    </w:p>
    <w:p>
      <w:pPr>
        <w:pStyle w:val="Heading2"/>
      </w:pPr>
      <w:r>
        <w:t>3. Data</w:t>
      </w:r>
    </w:p>
    <w:p>
      <w:pPr>
        <w:pStyle w:val="Heading3"/>
      </w:pPr>
      <w:r>
        <w:t>3.1 Price files</w:t>
      </w:r>
    </w:p>
    <w:p>
      <w:r>
        <w:rPr>
          <w:i w:val="0"/>
        </w:rPr>
        <w:t>Each product has a daily curve of generic futures prices (Bloomberg generic series), F1 (nearest contract) to Fn, taken from the files in data/Prices_0924 (the 24 September 2026 data pull): Metals_Futures_Curve_Updated.xlsx, Energy_Futures_Updated.xlsx, Precious_Metals_Futures_Updated.xlsx, Agriculture_Futures_Updated.xlsx and NGL_Futures_Updated_labels_corrected.xlsx. The last price date in every file is 23 September 2026. The series start on 3 January 2006 for Metals, Energy, Precious Metals and Agriculture, and between 17 August 2009 and 10 November 2009 for NGL (Propane 17 Aug, Ethane 19 Aug, Butane 20 Aug, Isobutane 10 Nov 2009). Every product has a complete F1 to F3 curve and complete data for the tenors used in Section 5 from 1 January 2011 (a handful of missing cells are noted in Section 14).</w:t>
      </w:r>
    </w:p>
    <w:p>
      <w:r>
        <w:rPr>
          <w:i w:val="0"/>
        </w:rPr>
        <w:t>A "trading day" for a product means a date present in that product's own price series. Calendars therefore differ across products (for example Brent has more dates than the NYMEX products), and the aggregation rules in Section 9 handle the differences.</w:t>
      </w:r>
    </w:p>
    <w:p>
      <w:r>
        <w:rPr>
          <w:i w:val="0"/>
        </w:rPr>
        <w:t>Two source-data fixes are applied when the files are read (DATA_FIXES in scripts/rolling_continuous.py). Sugar's F1 on 30 June 2025 is empty in the file and is set to 15.48 cents/lb, the settle of the expiring July 2025 contract. Brent's row of 2 January 2017, an exchange holiday with an empty curve, is removed. No other values in any file are altered.</w:t>
      </w:r>
    </w:p>
    <w:p>
      <w:pPr>
        <w:pStyle w:val="Heading3"/>
      </w:pPr>
      <w:r>
        <w:t>3.2 NGL sheet labels</w:t>
      </w:r>
    </w:p>
    <w:p>
      <w:r>
        <w:rPr>
          <w:i w:val="0"/>
        </w:rPr>
        <w:t>The sheet names in the provider's NGL file of 24 September 2026 were found to be cyclically shifted relative to the products they contain. The correct identification was established by comparison with published prices (the EIA Mont Belvieu propane spot price for Propane, and published price levels and moves for Ethane and Ethylene; Butane and Isobutane are identified as DAE and IBD in the same check), and the dashboard uses a corrected copy of the workbook in which only the sheet names were changed; the numbers are identical to the earlier July 2026 file wherever the two overlap. The mapping used is Ethane = CAP, Propane = BAP, Butane = DAE, Isobutane = IBD. The verification scripts are scripts/final_dashboard/ngl_label_check.py and make_ngl_corrected.py.</w:t>
      </w:r>
    </w:p>
    <w:p>
      <w:pPr>
        <w:pStyle w:val="Heading3"/>
      </w:pPr>
      <w:r>
        <w:t>3.3 Roll calendars</w:t>
      </w:r>
    </w:p>
    <w:p>
      <w:r>
        <w:rPr>
          <w:i w:val="0"/>
        </w:rPr>
        <w:t>Each contract's last trade date (LAST_TRADEABLE_DT) and last delivery date come from expiry-calendar workbooks: expiry_calendars_20260701.xlsx for Metals, Energy and NGL; expiry_calendars_20260701_aligned.xlsx for Precious Metals; Agri_Rolling_Calendar_bloomberg_matched.xlsx for Agriculture. Contracts missing either date are dropped from the calendar.</w:t>
      </w:r>
    </w:p>
    <w:p>
      <w:r>
        <w:rPr>
          <w:i w:val="0"/>
        </w:rPr>
        <w:t>For Precious Metals and Agriculture the calendars were aligned to the contract months that Bloomberg's generic series actually use, which was established by exact price matching of the generic series to single-contract files. The Precious Metals contract months are Gold February, April, June, August, October, December; Silver March, May, July, September, December; Platinum January, April, July, October; Palladium March, June, September, December. The Agriculture calendar is the Bloomberg-matched one (Corn, Wheat and Coffee five contracts a year, Soybean seven, Soybean Oil eight, Sugar four). The Metals, Energy and NGL calendars were not checked against Bloomberg contract months because single-contract files for them do not exist.</w:t>
      </w:r>
    </w:p>
    <w:p>
      <w:pPr>
        <w:pStyle w:val="Heading3"/>
      </w:pPr>
      <w:r>
        <w:t>3.4 Reporting window and regimes</w:t>
      </w:r>
    </w:p>
    <w:p>
      <w:r>
        <w:rPr>
          <w:i w:val="0"/>
        </w:rPr>
        <w:t>All reported statistics start on 1 January 2011 and end on 23 September 2026. History before 2011 is used only so that the longest lookbacks (Section 5) are filled before the window opens: each signal is computed on the product's full available history and only the resulting return series is cut to the window. Five horizons are reported:</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456"/>
            <w:shd w:val="clear" w:color="auto" w:fill="E4E8EC"/>
          </w:tcPr>
          <w:p>
            <w:pPr>
              <w:spacing w:after="40" w:before="40"/>
            </w:pPr>
            <w:r/>
            <w:r>
              <w:rPr>
                <w:b/>
                <w:sz w:val="18"/>
              </w:rPr>
              <w:t>Horizon</w:t>
            </w:r>
          </w:p>
        </w:tc>
        <w:tc>
          <w:tcPr>
            <w:tcW w:type="dxa" w:w="3744"/>
            <w:shd w:val="clear" w:color="auto" w:fill="E4E8EC"/>
          </w:tcPr>
          <w:p>
            <w:pPr>
              <w:spacing w:after="40" w:before="40"/>
            </w:pPr>
            <w:r/>
            <w:r>
              <w:rPr>
                <w:b/>
                <w:sz w:val="18"/>
              </w:rPr>
              <w:t>Dates</w:t>
            </w:r>
          </w:p>
        </w:tc>
        <w:tc>
          <w:tcPr>
            <w:tcW w:type="dxa" w:w="2448"/>
            <w:shd w:val="clear" w:color="auto" w:fill="E4E8EC"/>
          </w:tcPr>
          <w:p>
            <w:pPr>
              <w:spacing w:after="40" w:before="40"/>
            </w:pPr>
            <w:r/>
            <w:r>
              <w:rPr>
                <w:b/>
                <w:sz w:val="18"/>
              </w:rPr>
              <w:t>Label in dashboard</w:t>
            </w:r>
          </w:p>
        </w:tc>
      </w:tr>
      <w:tr>
        <w:tc>
          <w:tcPr>
            <w:tcW w:type="dxa" w:w="3456"/>
          </w:tcPr>
          <w:p>
            <w:pPr>
              <w:spacing w:after="40" w:before="40"/>
            </w:pPr>
            <w:r/>
            <w:r>
              <w:rPr>
                <w:sz w:val="18"/>
              </w:rPr>
              <w:t>Full sample</w:t>
            </w:r>
          </w:p>
        </w:tc>
        <w:tc>
          <w:tcPr>
            <w:tcW w:type="dxa" w:w="3744"/>
          </w:tcPr>
          <w:p>
            <w:pPr>
              <w:spacing w:after="40" w:before="40"/>
            </w:pPr>
            <w:r/>
            <w:r>
              <w:rPr>
                <w:sz w:val="18"/>
              </w:rPr>
              <w:t>1 Jan 2011 to 23 Sep 2026</w:t>
            </w:r>
          </w:p>
        </w:tc>
        <w:tc>
          <w:tcPr>
            <w:tcW w:type="dxa" w:w="2448"/>
          </w:tcPr>
          <w:p>
            <w:pPr>
              <w:spacing w:after="40" w:before="40"/>
            </w:pPr>
            <w:r/>
            <w:r>
              <w:rPr>
                <w:sz w:val="18"/>
              </w:rPr>
              <w:t>Full (2011-2026)</w:t>
            </w:r>
          </w:p>
        </w:tc>
      </w:tr>
      <w:tr>
        <w:tc>
          <w:tcPr>
            <w:tcW w:type="dxa" w:w="3456"/>
          </w:tcPr>
          <w:p>
            <w:pPr>
              <w:spacing w:after="40" w:before="40"/>
            </w:pPr>
            <w:r>
              <w:t>R1</w:t>
            </w:r>
            <w:r>
              <w:rPr>
                <w:sz w:val="18"/>
              </w:rPr>
            </w:r>
          </w:p>
        </w:tc>
        <w:tc>
          <w:tcPr>
            <w:tcW w:type="dxa" w:w="3744"/>
          </w:tcPr>
          <w:p>
            <w:pPr>
              <w:spacing w:after="40" w:before="40"/>
            </w:pPr>
            <w:r>
              <w:t>1 Jan 2011 to 31 Dec 2016</w:t>
            </w:r>
            <w:r>
              <w:rPr>
                <w:sz w:val="18"/>
              </w:rPr>
            </w:r>
          </w:p>
        </w:tc>
        <w:tc>
          <w:tcPr>
            <w:tcW w:type="dxa" w:w="2448"/>
          </w:tcPr>
          <w:p>
            <w:pPr>
              <w:spacing w:after="40" w:before="40"/>
            </w:pPr>
            <w:r>
              <w:t>R1 (2011-2016)</w:t>
            </w:r>
            <w:r>
              <w:rPr>
                <w:sz w:val="18"/>
              </w:rPr>
            </w:r>
          </w:p>
        </w:tc>
      </w:tr>
      <w:tr>
        <w:tc>
          <w:tcPr>
            <w:tcW w:type="dxa" w:w="3456"/>
          </w:tcPr>
          <w:p>
            <w:pPr>
              <w:spacing w:after="40" w:before="40"/>
            </w:pPr>
            <w:r>
              <w:t>R2</w:t>
            </w:r>
            <w:r>
              <w:rPr>
                <w:sz w:val="18"/>
              </w:rPr>
            </w:r>
          </w:p>
        </w:tc>
        <w:tc>
          <w:tcPr>
            <w:tcW w:type="dxa" w:w="3744"/>
          </w:tcPr>
          <w:p>
            <w:pPr>
              <w:spacing w:after="40" w:before="40"/>
            </w:pPr>
            <w:r>
              <w:t>1 Jan 2017 to 31 Dec 2021</w:t>
            </w:r>
            <w:r>
              <w:rPr>
                <w:sz w:val="18"/>
              </w:rPr>
            </w:r>
          </w:p>
        </w:tc>
        <w:tc>
          <w:tcPr>
            <w:tcW w:type="dxa" w:w="2448"/>
          </w:tcPr>
          <w:p>
            <w:pPr>
              <w:spacing w:after="40" w:before="40"/>
            </w:pPr>
            <w:r>
              <w:t>R2 (2017-2021)</w:t>
            </w:r>
            <w:r>
              <w:rPr>
                <w:sz w:val="18"/>
              </w:rPr>
            </w:r>
          </w:p>
        </w:tc>
      </w:tr>
      <w:tr>
        <w:tc>
          <w:tcPr>
            <w:tcW w:type="dxa" w:w="3456"/>
          </w:tcPr>
          <w:p>
            <w:pPr>
              <w:spacing w:after="40" w:before="40"/>
            </w:pPr>
            <w:r>
              <w:t>R3</w:t>
            </w:r>
            <w:r>
              <w:rPr>
                <w:sz w:val="18"/>
              </w:rPr>
            </w:r>
          </w:p>
        </w:tc>
        <w:tc>
          <w:tcPr>
            <w:tcW w:type="dxa" w:w="3744"/>
          </w:tcPr>
          <w:p>
            <w:pPr>
              <w:spacing w:after="40" w:before="40"/>
            </w:pPr>
            <w:r>
              <w:t>1 Jan 2022 to 23 Sep 2026 (end of data)</w:t>
            </w:r>
            <w:r>
              <w:rPr>
                <w:sz w:val="18"/>
              </w:rPr>
            </w:r>
          </w:p>
        </w:tc>
        <w:tc>
          <w:tcPr>
            <w:tcW w:type="dxa" w:w="2448"/>
          </w:tcPr>
          <w:p>
            <w:pPr>
              <w:spacing w:after="40" w:before="40"/>
            </w:pPr>
            <w:r>
              <w:t>R3 (2022-2026)</w:t>
            </w:r>
            <w:r>
              <w:rPr>
                <w:sz w:val="18"/>
              </w:rPr>
            </w:r>
          </w:p>
        </w:tc>
      </w:tr>
      <w:tr>
        <w:tc>
          <w:tcPr>
            <w:tcW w:type="dxa" w:w="3456"/>
          </w:tcPr>
          <w:p>
            <w:pPr>
              <w:spacing w:after="40" w:before="40"/>
            </w:pPr>
            <w:r/>
            <w:r>
              <w:rPr>
                <w:sz w:val="18"/>
              </w:rPr>
              <w:t>2026 year to date</w:t>
            </w:r>
          </w:p>
        </w:tc>
        <w:tc>
          <w:tcPr>
            <w:tcW w:type="dxa" w:w="3744"/>
          </w:tcPr>
          <w:p>
            <w:pPr>
              <w:spacing w:after="40" w:before="40"/>
            </w:pPr>
            <w:r/>
            <w:r>
              <w:rPr>
                <w:sz w:val="18"/>
              </w:rPr>
              <w:t>1 Jan 2026 to 23 Sep 2026</w:t>
            </w:r>
          </w:p>
        </w:tc>
        <w:tc>
          <w:tcPr>
            <w:tcW w:type="dxa" w:w="2448"/>
          </w:tcPr>
          <w:p>
            <w:pPr>
              <w:spacing w:after="40" w:before="40"/>
            </w:pPr>
            <w:r/>
            <w:r>
              <w:rPr>
                <w:sz w:val="18"/>
              </w:rPr>
              <w:t>2026 (YTD)</w:t>
            </w:r>
          </w:p>
        </w:tc>
      </w:tr>
    </w:tbl>
    <w:p>
      <w:pPr>
        <w:spacing w:after="40"/>
      </w:pPr>
    </w:p>
    <w:p>
      <w:r>
        <w:rPr>
          <w:i w:val="0"/>
        </w:rPr>
        <w:t>The three regimes are fixed in scripts/final_dashboard/final_regimes.py, which the Final Research Dashboard pipeline reads. They do not overlap. The earlier four-regime scheme in research/regimes.py is unchanged and is still used by run_regime_table.py and the Streamlit apps. The 2026 year-to-date column is a subset of R3 shown for reference, not a fourth regime.</w:t>
      </w:r>
    </w:p>
    <w:p>
      <w:pPr>
        <w:pStyle w:val="Heading2"/>
      </w:pPr>
      <w:r>
        <w:t>4. Continuous Price Construction</w:t>
      </w:r>
    </w:p>
    <w:p>
      <w:pPr>
        <w:pStyle w:val="Heading3"/>
      </w:pPr>
      <w:r>
        <w:t>4.1 Series built</w:t>
      </w:r>
    </w:p>
    <w:p>
      <w:r>
        <w:rPr>
          <w:i w:val="0"/>
        </w:rPr>
        <w:t>For every product two series come out of the roll process. (a) F1_raw, the generic first-nearby price exactly as supplied. (b) A continuous, ratio-adjusted price series, which is the price a position held through time earns on. It is built multiplicatively: each day's continuous price equals the previous continuous price times the day-over-day price ratio of the contract actually held. Daily log return of the strategy is the position times the day-to-day difference of the logarithm of this continuous series (Section 7). Because the construction is multiplicative the series stays positive and percentage moves are preserved across rolls.</w:t>
      </w:r>
    </w:p>
    <w:p>
      <w:pPr>
        <w:pStyle w:val="Heading3"/>
      </w:pPr>
      <w:r>
        <w:t>4.2 Roll rule</w:t>
      </w:r>
    </w:p>
    <w:p>
      <w:r>
        <w:rPr>
          <w:i w:val="0"/>
        </w:rPr>
        <w:t>Each contract is rolled on the 5th trading day of the month in which its last trade date falls (not the delivery month, and not every calendar month). Trading days are counted in the product's own price dates. For example a contract whose last trade date is 20 March is rolled on the 5th price date of March. Each day is assigned one of four phases:</w:t>
      </w:r>
    </w:p>
    <w:p>
      <w:pPr>
        <w:pStyle w:val="ListBullet"/>
      </w:pPr>
      <w:r>
        <w:rPr>
          <w:b/>
        </w:rPr>
        <w:t>F1_Tracking:</w:t>
      </w:r>
      <w:r>
        <w:rPr>
          <w:i w:val="0"/>
        </w:rPr>
        <w:t xml:space="preserve"> the held contract is the generic F1; the continuous series is multiplied by F1(t) / F1(t-1). This applies before the roll day and again after the bridge day.</w:t>
      </w:r>
    </w:p>
    <w:p>
      <w:pPr>
        <w:pStyle w:val="ListBullet"/>
      </w:pPr>
      <w:r>
        <w:rPr>
          <w:b/>
        </w:rPr>
        <w:t>Roll day:</w:t>
      </w:r>
      <w:r>
        <w:rPr>
          <w:i w:val="0"/>
        </w:rPr>
        <w:t xml:space="preserve"> the 5th trading day of the expiry month. The position moves from the expiring contract to the next one: the continuous series is multiplied by F2(t) / F2(t-1), so the roll day's return is already earned on the second contract. (The label in the data is "Roll_LTD-5"; it is historical naming and does not mean five days before the last trade date.)</w:t>
      </w:r>
    </w:p>
    <w:p>
      <w:pPr>
        <w:pStyle w:val="ListBullet"/>
      </w:pPr>
      <w:r>
        <w:rPr>
          <w:b/>
        </w:rPr>
        <w:t>F2_Tracking:</w:t>
      </w:r>
      <w:r>
        <w:rPr>
          <w:i w:val="0"/>
        </w:rPr>
        <w:t xml:space="preserve"> from the day after the roll day up to and including the last trade date, the continuous series is multiplied by F2(t) / F2(t-1).</w:t>
      </w:r>
    </w:p>
    <w:p>
      <w:pPr>
        <w:pStyle w:val="ListBullet"/>
      </w:pPr>
      <w:r>
        <w:rPr>
          <w:b/>
        </w:rPr>
        <w:t>Bridge day:</w:t>
      </w:r>
      <w:r>
        <w:rPr>
          <w:i w:val="0"/>
        </w:rPr>
        <w:t xml:space="preserve"> the first trading day after the last trade date. The generic F1 now refers to the contract that was F2 the day before, so the continuous series is multiplied by F1(t) / F2(t-1), and F1_Tracking resumes.</w:t>
      </w:r>
    </w:p>
    <w:p>
      <w:r>
        <w:rPr>
          <w:i w:val="0"/>
        </w:rPr>
        <w:t>If a price needed for a ratio is missing or zero on a day, the continuous series is carried at its previous level for that day (zero return).</w:t>
      </w:r>
    </w:p>
    <w:p>
      <w:r>
        <w:rPr>
          <w:i w:val="0"/>
        </w:rPr>
        <w:t>Edge cases. If the 5th trading day of the expiry month would fall on or after the last trade date, the roll is moved to the trading day before the last trade date; if there is no earlier trading day, the contract gets no roll. This happens once in the data, for the Isobutane contract expiring 30 November 2009 (the Isobutane series has a single date in November 2009), which is before the reporting window. Contracts whose last trade date is after the last price date have no bridge day and roll only if their expiry month's 5th trading day is already inside the data.</w:t>
      </w:r>
    </w:p>
    <w:p>
      <w:pPr>
        <w:pStyle w:val="Heading3"/>
      </w:pPr>
      <w:r>
        <w:t>4.3 NGL front month</w:t>
      </w:r>
    </w:p>
    <w:p>
      <w:r>
        <w:rPr>
          <w:i w:val="0"/>
        </w:rPr>
        <w:t>For NGL the continuous series is built from the sheet's second and third columns, that is, the sheet's F2 plays the role of the front contract and its F3 the second contract (f1_col = 2, f2_col = 3 in the configuration). This follows the project convention that the literal first column of the NGL sheets is too stale to trade. Momentum is computed on that same shifted front series. Carry and Value reference the literal sheet columns (Section 5), with no such shift.</w:t>
      </w:r>
    </w:p>
    <w:p>
      <w:pPr>
        <w:pStyle w:val="Heading3"/>
      </w:pPr>
      <w:r>
        <w:t>4.4 Natural-gas, crude and negative prices</w:t>
      </w:r>
    </w:p>
    <w:p>
      <w:r>
        <w:rPr>
          <w:i w:val="0"/>
        </w:rPr>
        <w:t>Log returns require a positive price. The continuous series is set to missing wherever it is not positive. WTI settled at -37.63 on 20 April 2020; the continuous WTI series is already on the second contract on that date and is unaffected. The raw F1 value on that date is replaced by Brent's F1 minus the average WTI-Brent spread of 17 and 21 April 2020 (16.005) wherever it is used as a signal input (Momentum, Carry and Value); only that one cell is changed.</w:t>
      </w:r>
    </w:p>
    <w:p>
      <w:pPr>
        <w:pStyle w:val="Heading2"/>
      </w:pPr>
      <w:r>
        <w:t>5. Signals</w:t>
      </w:r>
    </w:p>
    <w:p>
      <w:r>
        <w:rPr>
          <w:i w:val="0"/>
        </w:rPr>
        <w:t>Every signal is a position of +1 (long), -1 (short) or 0 (flat). No leverage, volatility targeting or sizing is applied at product level.</w:t>
      </w:r>
    </w:p>
    <w:p>
      <w:pPr>
        <w:pStyle w:val="Heading3"/>
      </w:pPr>
      <w:r>
        <w:t>5.1 Execution timing</w:t>
      </w:r>
    </w:p>
    <w:p>
      <w:r>
        <w:rPr>
          <w:i w:val="0"/>
        </w:rPr>
        <w:t>A signal computed from data through the close of day s is traded one day later and earns the return of day s+2. In code, position(t) = signal(t-2) (exec_shift with shift_n = 1, the setting for every sleeve in every asset class), and the position held on day t earns the return of day t. The effective lag from signal to return is therefore two trading days in each product's own calendar. A signal that is still missing (not yet warmed up) becomes a flat position.</w:t>
      </w:r>
    </w:p>
    <w:p>
      <w:pPr>
        <w:pStyle w:val="Heading3"/>
      </w:pPr>
      <w:r>
        <w:t>5.2 Momentum</w:t>
      </w:r>
    </w:p>
    <w:p>
      <w:r>
        <w:rPr>
          <w:i w:val="0"/>
        </w:rPr>
        <w:t>Three moving-average crossovers with (fast, slow) windows of (1, 20), (5, 60) and (20, 250) trading days, applied to F1_raw (Section 14 notes that this series is not roll-adjusted). For each crossover the signal is the sign of the fast simple moving average minus the slow one. The composite is the sign of the average of the three signs, that is, a majority vote. Each moving average is computed once at least 90% of its window has prices (rounded up: 1, 18, 54 and 225 observations for windows of 1, 20, 60 and 250), so an isolated missing price does not disable it; with complete windows this is the plain simple average. A day on which the price itself is missing has no fast (1-day) average and the signal is missing, i.e. flat, for that day only.</w:t>
      </w:r>
    </w:p>
    <w:p>
      <w:pPr>
        <w:pStyle w:val="Heading3"/>
      </w:pPr>
      <w:r>
        <w:t>5.3 Carry (V2: z-score of the carry slope)</w:t>
      </w:r>
    </w:p>
    <w:p>
      <w:r>
        <w:rPr>
          <w:i w:val="0"/>
        </w:rPr>
        <w:t>For a tenor pair (near, far) the carry slope on a day is (near - far) / near, computed from the generic curve columns on days where both prices exist. The signal is the sign of its z-score against the slope's own trailing 252 observations: z = (slope - mean) / standard deviation, with the sample standard deviation (n-1 divisor) and a full 252-observation window required. A positive z, a slope above its recent average (more backwardated), gives +1. Where a product has two tenor pairs, each pair gives a sign and the two are averaged and signed again (a sign-vote): if the pairs agree the position takes their sign, if they disagree it is flat, and if either is missing the day is missing. The execution shift is applied once, to the combined sign. Combining before shifting is not the same as shifting each pair and then combining; the two orderings agree when both pairs have a signal and differ only while one pair is still warming up.</w:t>
      </w:r>
    </w:p>
    <w:p>
      <w:pPr>
        <w:pStyle w:val="Heading3"/>
      </w:pPr>
      <w:r>
        <w:t>5.4 Carry-Momentum</w:t>
      </w:r>
    </w:p>
    <w:p>
      <w:r>
        <w:rPr>
          <w:i w:val="0"/>
        </w:rPr>
        <w:t>For the same tenor pairs, the signal is the sign of today's carry slope minus the slope 20 observations earlier (observations of the slope series, which is built on days where both prices exist). Pairs are combined by the same sign-vote, with the shift applied once.</w:t>
      </w:r>
    </w:p>
    <w:p>
      <w:pPr>
        <w:pStyle w:val="Heading3"/>
      </w:pPr>
      <w:r>
        <w:t>5.5 Value</w:t>
      </w:r>
    </w:p>
    <w:p>
      <w:r>
        <w:rPr>
          <w:i w:val="0"/>
        </w:rPr>
        <w:t>Uses the third generic contract (F3) price level for every asset class. The reference is a 1,260-observation simple moving average of F3 (about five years), required to have at least 630 observations before it is valid. With deviation = (F3 - average) / average, the position is +1 if the deviation is below -10%, -1 if above +10%, and 0 otherwise. The position is applied to the continuous series return (Section 7), not to F3 itself. For NGL the F3 is the sheet's literal third column.</w:t>
      </w:r>
    </w:p>
    <w:p>
      <w:pPr>
        <w:pStyle w:val="Heading3"/>
      </w:pPr>
      <w:r>
        <w:t>5.6 Tenor pairs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shd w:val="clear" w:color="auto" w:fill="E4E8EC"/>
          </w:tcPr>
          <w:p>
            <w:pPr>
              <w:spacing w:after="40" w:before="40"/>
            </w:pPr>
            <w:r/>
            <w:r>
              <w:rPr>
                <w:b/>
                <w:sz w:val="18"/>
              </w:rPr>
              <w:t>Asset class</w:t>
            </w:r>
          </w:p>
        </w:tc>
        <w:tc>
          <w:tcPr>
            <w:tcW w:type="dxa" w:w="1296"/>
            <w:shd w:val="clear" w:color="auto" w:fill="E4E8EC"/>
          </w:tcPr>
          <w:p>
            <w:pPr>
              <w:spacing w:after="40" w:before="40"/>
            </w:pPr>
            <w:r/>
            <w:r>
              <w:rPr>
                <w:b/>
                <w:sz w:val="18"/>
              </w:rPr>
              <w:t>Short pair</w:t>
            </w:r>
          </w:p>
        </w:tc>
        <w:tc>
          <w:tcPr>
            <w:tcW w:type="dxa" w:w="3744"/>
            <w:shd w:val="clear" w:color="auto" w:fill="E4E8EC"/>
          </w:tcPr>
          <w:p>
            <w:pPr>
              <w:spacing w:after="40" w:before="40"/>
            </w:pPr>
            <w:r/>
            <w:r>
              <w:rPr>
                <w:b/>
                <w:sz w:val="18"/>
              </w:rPr>
              <w:t>Long pair</w:t>
            </w:r>
          </w:p>
        </w:tc>
        <w:tc>
          <w:tcPr>
            <w:tcW w:type="dxa" w:w="2880"/>
            <w:shd w:val="clear" w:color="auto" w:fill="E4E8EC"/>
          </w:tcPr>
          <w:p>
            <w:pPr>
              <w:spacing w:after="40" w:before="40"/>
            </w:pPr>
            <w:r/>
            <w:r>
              <w:rPr>
                <w:b/>
                <w:sz w:val="18"/>
              </w:rPr>
              <w:t>Notes</w:t>
            </w:r>
          </w:p>
        </w:tc>
      </w:tr>
      <w:tr>
        <w:tc>
          <w:tcPr>
            <w:tcW w:type="dxa" w:w="1728"/>
          </w:tcPr>
          <w:p>
            <w:pPr>
              <w:spacing w:after="40" w:before="40"/>
            </w:pPr>
            <w:r/>
            <w:r>
              <w:rPr>
                <w:sz w:val="18"/>
              </w:rPr>
              <w:t>Metals</w:t>
            </w:r>
          </w:p>
        </w:tc>
        <w:tc>
          <w:tcPr>
            <w:tcW w:type="dxa" w:w="1296"/>
          </w:tcPr>
          <w:p>
            <w:pPr>
              <w:spacing w:after="40" w:before="40"/>
            </w:pPr>
            <w:r/>
            <w:r>
              <w:rPr>
                <w:sz w:val="18"/>
              </w:rPr>
              <w:t>F1-F3</w:t>
            </w:r>
          </w:p>
        </w:tc>
        <w:tc>
          <w:tcPr>
            <w:tcW w:type="dxa" w:w="3744"/>
          </w:tcPr>
          <w:p>
            <w:pPr>
              <w:spacing w:after="40" w:before="40"/>
            </w:pPr>
            <w:r/>
            <w:r>
              <w:rPr>
                <w:sz w:val="18"/>
              </w:rPr>
              <w:t>F1-F13</w:t>
            </w:r>
          </w:p>
        </w:tc>
        <w:tc>
          <w:tcPr>
            <w:tcW w:type="dxa" w:w="2880"/>
          </w:tcPr>
          <w:p>
            <w:pPr>
              <w:spacing w:after="40" w:before="40"/>
            </w:pPr>
            <w:r/>
            <w:r>
              <w:rPr>
                <w:sz w:val="18"/>
              </w:rPr>
              <w:t>Same two pairs for every product</w:t>
            </w:r>
          </w:p>
        </w:tc>
      </w:tr>
      <w:tr>
        <w:tc>
          <w:tcPr>
            <w:tcW w:type="dxa" w:w="1728"/>
          </w:tcPr>
          <w:p>
            <w:pPr>
              <w:spacing w:after="40" w:before="40"/>
            </w:pPr>
            <w:r/>
            <w:r>
              <w:rPr>
                <w:sz w:val="18"/>
              </w:rPr>
              <w:t>Energy</w:t>
            </w:r>
          </w:p>
        </w:tc>
        <w:tc>
          <w:tcPr>
            <w:tcW w:type="dxa" w:w="1296"/>
          </w:tcPr>
          <w:p>
            <w:pPr>
              <w:spacing w:after="40" w:before="40"/>
            </w:pPr>
            <w:r/>
            <w:r>
              <w:rPr>
                <w:sz w:val="18"/>
              </w:rPr>
              <w:t>F1-F3</w:t>
            </w:r>
          </w:p>
        </w:tc>
        <w:tc>
          <w:tcPr>
            <w:tcW w:type="dxa" w:w="3744"/>
          </w:tcPr>
          <w:p>
            <w:pPr>
              <w:spacing w:after="40" w:before="40"/>
            </w:pPr>
            <w:r/>
            <w:r>
              <w:rPr>
                <w:sz w:val="18"/>
              </w:rPr>
              <w:t>F1-F13</w:t>
            </w:r>
          </w:p>
        </w:tc>
        <w:tc>
          <w:tcPr>
            <w:tcW w:type="dxa" w:w="2880"/>
          </w:tcPr>
          <w:p>
            <w:pPr>
              <w:spacing w:after="40" w:before="40"/>
            </w:pPr>
            <w:r/>
            <w:r>
              <w:rPr>
                <w:sz w:val="18"/>
              </w:rPr>
              <w:t>Same for every product, with or without Natural Gas</w:t>
            </w:r>
          </w:p>
        </w:tc>
      </w:tr>
      <w:tr>
        <w:tc>
          <w:tcPr>
            <w:tcW w:type="dxa" w:w="1728"/>
          </w:tcPr>
          <w:p>
            <w:pPr>
              <w:spacing w:after="40" w:before="40"/>
            </w:pPr>
            <w:r/>
            <w:r>
              <w:rPr>
                <w:sz w:val="18"/>
              </w:rPr>
              <w:t>NGL</w:t>
            </w:r>
          </w:p>
        </w:tc>
        <w:tc>
          <w:tcPr>
            <w:tcW w:type="dxa" w:w="1296"/>
          </w:tcPr>
          <w:p>
            <w:pPr>
              <w:spacing w:after="40" w:before="40"/>
            </w:pPr>
            <w:r/>
            <w:r>
              <w:rPr>
                <w:sz w:val="18"/>
              </w:rPr>
              <w:t>F2-F4</w:t>
            </w:r>
          </w:p>
        </w:tc>
        <w:tc>
          <w:tcPr>
            <w:tcW w:type="dxa" w:w="3744"/>
          </w:tcPr>
          <w:p>
            <w:pPr>
              <w:spacing w:after="40" w:before="40"/>
            </w:pPr>
            <w:r/>
            <w:r>
              <w:rPr>
                <w:sz w:val="18"/>
              </w:rPr>
              <w:t>F2-F14</w:t>
            </w:r>
          </w:p>
        </w:tc>
        <w:tc>
          <w:tcPr>
            <w:tcW w:type="dxa" w:w="2880"/>
          </w:tcPr>
          <w:p>
            <w:pPr>
              <w:spacing w:after="40" w:before="40"/>
            </w:pPr>
            <w:r/>
            <w:r>
              <w:rPr>
                <w:sz w:val="18"/>
              </w:rPr>
              <w:t>Literal sheet columns; the near leg is F2</w:t>
            </w:r>
          </w:p>
        </w:tc>
      </w:tr>
      <w:tr>
        <w:tc>
          <w:tcPr>
            <w:tcW w:type="dxa" w:w="1728"/>
          </w:tcPr>
          <w:p>
            <w:pPr>
              <w:spacing w:after="40" w:before="40"/>
            </w:pPr>
            <w:r/>
            <w:r>
              <w:rPr>
                <w:sz w:val="18"/>
              </w:rPr>
              <w:t>Precious Metals</w:t>
            </w:r>
          </w:p>
        </w:tc>
        <w:tc>
          <w:tcPr>
            <w:tcW w:type="dxa" w:w="1296"/>
          </w:tcPr>
          <w:p>
            <w:pPr>
              <w:spacing w:after="40" w:before="40"/>
            </w:pPr>
            <w:r/>
            <w:r>
              <w:rPr>
                <w:sz w:val="18"/>
              </w:rPr>
              <w:t>F1-F2</w:t>
            </w:r>
          </w:p>
        </w:tc>
        <w:tc>
          <w:tcPr>
            <w:tcW w:type="dxa" w:w="3744"/>
          </w:tcPr>
          <w:p>
            <w:pPr>
              <w:spacing w:after="40" w:before="40"/>
            </w:pPr>
            <w:r/>
            <w:r>
              <w:rPr>
                <w:sz w:val="18"/>
              </w:rPr>
              <w:t>F1-F7 Gold; F1-F6 Silver; F1-F5 Platinum and Palladium</w:t>
            </w:r>
          </w:p>
        </w:tc>
        <w:tc>
          <w:tcPr>
            <w:tcW w:type="dxa" w:w="2880"/>
          </w:tcPr>
          <w:p>
            <w:pPr>
              <w:spacing w:after="40" w:before="40"/>
            </w:pPr>
            <w:r/>
            <w:r>
              <w:rPr>
                <w:sz w:val="18"/>
              </w:rPr>
              <w:t>Long leg chosen per product</w:t>
            </w:r>
          </w:p>
        </w:tc>
      </w:tr>
      <w:tr>
        <w:tc>
          <w:tcPr>
            <w:tcW w:type="dxa" w:w="1728"/>
          </w:tcPr>
          <w:p>
            <w:pPr>
              <w:spacing w:after="40" w:before="40"/>
            </w:pPr>
            <w:r/>
            <w:r>
              <w:rPr>
                <w:sz w:val="18"/>
              </w:rPr>
              <w:t>Agriculture</w:t>
            </w:r>
          </w:p>
        </w:tc>
        <w:tc>
          <w:tcPr>
            <w:tcW w:type="dxa" w:w="1296"/>
          </w:tcPr>
          <w:p>
            <w:pPr>
              <w:spacing w:after="40" w:before="40"/>
            </w:pPr>
            <w:r/>
            <w:r>
              <w:rPr>
                <w:sz w:val="18"/>
              </w:rPr>
              <w:t>F1-F2</w:t>
            </w:r>
          </w:p>
        </w:tc>
        <w:tc>
          <w:tcPr>
            <w:tcW w:type="dxa" w:w="3744"/>
          </w:tcPr>
          <w:p>
            <w:pPr>
              <w:spacing w:after="40" w:before="40"/>
            </w:pPr>
            <w:r/>
            <w:r>
              <w:rPr>
                <w:sz w:val="18"/>
              </w:rPr>
              <w:t>F1-F6 Corn, Wheat, Coffee; F1-F8 Soybean, Soybean Oil; F1-F5 Sugar</w:t>
            </w:r>
          </w:p>
        </w:tc>
        <w:tc>
          <w:tcPr>
            <w:tcW w:type="dxa" w:w="2880"/>
          </w:tcPr>
          <w:p>
            <w:pPr>
              <w:spacing w:after="40" w:before="40"/>
            </w:pPr>
            <w:r/>
            <w:r>
              <w:rPr>
                <w:sz w:val="18"/>
              </w:rPr>
              <w:t>Long leg chosen per product</w:t>
            </w:r>
          </w:p>
        </w:tc>
      </w:tr>
    </w:tbl>
    <w:p>
      <w:pPr>
        <w:spacing w:after="40"/>
      </w:pPr>
    </w:p>
    <w:p>
      <w:r>
        <w:rPr>
          <w:i w:val="0"/>
        </w:rPr>
        <w:t>The Precious Metals and Agriculture long legs sit about 12 months out. For every tenor in the table the curve has data from 1 January 2011 with at most a few missing cells (Section 14). All parameters above are set in research/configs.</w:t>
      </w:r>
    </w:p>
    <w:p>
      <w:pPr>
        <w:pStyle w:val="Heading3"/>
      </w:pPr>
      <w:r>
        <w:t>5.7 Parameter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16"/>
            <w:shd w:val="clear" w:color="auto" w:fill="E4E8EC"/>
          </w:tcPr>
          <w:p>
            <w:pPr>
              <w:spacing w:after="40" w:before="40"/>
            </w:pPr>
            <w:r/>
            <w:r>
              <w:rPr>
                <w:b/>
                <w:sz w:val="18"/>
              </w:rPr>
              <w:t>Component</w:t>
            </w:r>
          </w:p>
        </w:tc>
        <w:tc>
          <w:tcPr>
            <w:tcW w:type="dxa" w:w="4752"/>
            <w:shd w:val="clear" w:color="auto" w:fill="E4E8EC"/>
          </w:tcPr>
          <w:p>
            <w:pPr>
              <w:spacing w:after="40" w:before="40"/>
            </w:pPr>
            <w:r/>
            <w:r>
              <w:rPr>
                <w:b/>
                <w:sz w:val="18"/>
              </w:rPr>
              <w:t>Setting</w:t>
            </w:r>
          </w:p>
        </w:tc>
        <w:tc>
          <w:tcPr>
            <w:tcW w:type="dxa" w:w="2880"/>
            <w:shd w:val="clear" w:color="auto" w:fill="E4E8EC"/>
          </w:tcPr>
          <w:p>
            <w:pPr>
              <w:spacing w:after="40" w:before="40"/>
            </w:pPr>
            <w:r/>
            <w:r>
              <w:rPr>
                <w:b/>
                <w:sz w:val="18"/>
              </w:rPr>
              <w:t>Notes</w:t>
            </w:r>
          </w:p>
        </w:tc>
      </w:tr>
      <w:tr>
        <w:tc>
          <w:tcPr>
            <w:tcW w:type="dxa" w:w="2016"/>
          </w:tcPr>
          <w:p>
            <w:pPr>
              <w:spacing w:after="40" w:before="40"/>
            </w:pPr>
            <w:r/>
            <w:r>
              <w:rPr>
                <w:sz w:val="18"/>
              </w:rPr>
              <w:t>Momentum</w:t>
            </w:r>
          </w:p>
        </w:tc>
        <w:tc>
          <w:tcPr>
            <w:tcW w:type="dxa" w:w="4752"/>
          </w:tcPr>
          <w:p>
            <w:pPr>
              <w:spacing w:after="40" w:before="40"/>
            </w:pPr>
            <w:r/>
            <w:r>
              <w:rPr>
                <w:sz w:val="18"/>
              </w:rPr>
              <w:t>MA crossovers (1,20), (5,60), (20,250); majority vote</w:t>
            </w:r>
          </w:p>
        </w:tc>
        <w:tc>
          <w:tcPr>
            <w:tcW w:type="dxa" w:w="2880"/>
          </w:tcPr>
          <w:p>
            <w:pPr>
              <w:spacing w:after="40" w:before="40"/>
            </w:pPr>
            <w:r/>
            <w:r>
              <w:rPr>
                <w:sz w:val="18"/>
              </w:rPr>
              <w:t>On F1_raw; averages need 90% of the window; lag 2 days</w:t>
            </w:r>
          </w:p>
        </w:tc>
      </w:tr>
      <w:tr>
        <w:tc>
          <w:tcPr>
            <w:tcW w:type="dxa" w:w="2016"/>
          </w:tcPr>
          <w:p>
            <w:pPr>
              <w:spacing w:after="40" w:before="40"/>
            </w:pPr>
            <w:r/>
            <w:r>
              <w:rPr>
                <w:sz w:val="18"/>
              </w:rPr>
              <w:t>Carry (V2)</w:t>
            </w:r>
          </w:p>
        </w:tc>
        <w:tc>
          <w:tcPr>
            <w:tcW w:type="dxa" w:w="4752"/>
          </w:tcPr>
          <w:p>
            <w:pPr>
              <w:spacing w:after="40" w:before="40"/>
            </w:pPr>
            <w:r/>
            <w:r>
              <w:rPr>
                <w:sz w:val="18"/>
              </w:rPr>
              <w:t>Z-score of (near - far) / near, 252 observations; sign-vote across pairs</w:t>
            </w:r>
          </w:p>
        </w:tc>
        <w:tc>
          <w:tcPr>
            <w:tcW w:type="dxa" w:w="2880"/>
          </w:tcPr>
          <w:p>
            <w:pPr>
              <w:spacing w:after="40" w:before="40"/>
            </w:pPr>
            <w:r/>
            <w:r>
              <w:rPr>
                <w:sz w:val="18"/>
              </w:rPr>
              <w:t>Pairs per Section 5.6; shift applied once; lag 2 days</w:t>
            </w:r>
          </w:p>
        </w:tc>
      </w:tr>
      <w:tr>
        <w:tc>
          <w:tcPr>
            <w:tcW w:type="dxa" w:w="2016"/>
          </w:tcPr>
          <w:p>
            <w:pPr>
              <w:spacing w:after="40" w:before="40"/>
            </w:pPr>
            <w:r/>
            <w:r>
              <w:rPr>
                <w:sz w:val="18"/>
              </w:rPr>
              <w:t>Carry-Momentum</w:t>
            </w:r>
          </w:p>
        </w:tc>
        <w:tc>
          <w:tcPr>
            <w:tcW w:type="dxa" w:w="4752"/>
          </w:tcPr>
          <w:p>
            <w:pPr>
              <w:spacing w:after="40" w:before="40"/>
            </w:pPr>
            <w:r/>
            <w:r>
              <w:rPr>
                <w:sz w:val="18"/>
              </w:rPr>
              <w:t>Sign of slope change over 20 observations; sign-vote across pairs</w:t>
            </w:r>
          </w:p>
        </w:tc>
        <w:tc>
          <w:tcPr>
            <w:tcW w:type="dxa" w:w="2880"/>
          </w:tcPr>
          <w:p>
            <w:pPr>
              <w:spacing w:after="40" w:before="40"/>
            </w:pPr>
            <w:r/>
            <w:r>
              <w:rPr>
                <w:sz w:val="18"/>
              </w:rPr>
              <w:t>Same pairs; lag 2 days</w:t>
            </w:r>
          </w:p>
        </w:tc>
      </w:tr>
      <w:tr>
        <w:tc>
          <w:tcPr>
            <w:tcW w:type="dxa" w:w="2016"/>
          </w:tcPr>
          <w:p>
            <w:pPr>
              <w:spacing w:after="40" w:before="40"/>
            </w:pPr>
            <w:r/>
            <w:r>
              <w:rPr>
                <w:sz w:val="18"/>
              </w:rPr>
              <w:t>Value</w:t>
            </w:r>
          </w:p>
        </w:tc>
        <w:tc>
          <w:tcPr>
            <w:tcW w:type="dxa" w:w="4752"/>
          </w:tcPr>
          <w:p>
            <w:pPr>
              <w:spacing w:after="40" w:before="40"/>
            </w:pPr>
            <w:r/>
            <w:r>
              <w:rPr>
                <w:sz w:val="18"/>
              </w:rPr>
              <w:t>F3 vs 1,260-observation average, +/-10% band, minimum 630 observations</w:t>
            </w:r>
          </w:p>
        </w:tc>
        <w:tc>
          <w:tcPr>
            <w:tcW w:type="dxa" w:w="2880"/>
          </w:tcPr>
          <w:p>
            <w:pPr>
              <w:spacing w:after="40" w:before="40"/>
            </w:pPr>
            <w:r/>
            <w:r>
              <w:rPr>
                <w:sz w:val="18"/>
              </w:rPr>
              <w:t>Position earns the continuous series return; lag 2 days</w:t>
            </w:r>
          </w:p>
        </w:tc>
      </w:tr>
      <w:tr>
        <w:tc>
          <w:tcPr>
            <w:tcW w:type="dxa" w:w="2016"/>
          </w:tcPr>
          <w:p>
            <w:pPr>
              <w:spacing w:after="40" w:before="40"/>
            </w:pPr>
            <w:r/>
            <w:r>
              <w:rPr>
                <w:sz w:val="18"/>
              </w:rPr>
              <w:t>Roll</w:t>
            </w:r>
          </w:p>
        </w:tc>
        <w:tc>
          <w:tcPr>
            <w:tcW w:type="dxa" w:w="4752"/>
          </w:tcPr>
          <w:p>
            <w:pPr>
              <w:spacing w:after="40" w:before="40"/>
            </w:pPr>
            <w:r/>
            <w:r>
              <w:rPr>
                <w:sz w:val="18"/>
              </w:rPr>
              <w:t>5th trading day of the month of the last trade date</w:t>
            </w:r>
          </w:p>
        </w:tc>
        <w:tc>
          <w:tcPr>
            <w:tcW w:type="dxa" w:w="2880"/>
          </w:tcPr>
          <w:p>
            <w:pPr>
              <w:spacing w:after="40" w:before="40"/>
            </w:pPr>
            <w:r/>
            <w:r>
              <w:rPr>
                <w:sz w:val="18"/>
              </w:rPr>
              <w:t>Bridge on the day after the last trade date</w:t>
            </w:r>
          </w:p>
        </w:tc>
      </w:tr>
      <w:tr>
        <w:tc>
          <w:tcPr>
            <w:tcW w:type="dxa" w:w="2016"/>
          </w:tcPr>
          <w:p>
            <w:pPr>
              <w:spacing w:after="40" w:before="40"/>
            </w:pPr>
            <w:r/>
            <w:r>
              <w:rPr>
                <w:sz w:val="18"/>
              </w:rPr>
              <w:t>Transaction cost</w:t>
            </w:r>
          </w:p>
        </w:tc>
        <w:tc>
          <w:tcPr>
            <w:tcW w:type="dxa" w:w="4752"/>
          </w:tcPr>
          <w:p>
            <w:pPr>
              <w:spacing w:after="40" w:before="40"/>
            </w:pPr>
            <w:r/>
            <w:r>
              <w:rPr>
                <w:sz w:val="18"/>
              </w:rPr>
              <w:t>2.5 bp per unit of position change; 2.5 bp more on a same-sign roll day</w:t>
            </w:r>
          </w:p>
        </w:tc>
        <w:tc>
          <w:tcPr>
            <w:tcW w:type="dxa" w:w="2880"/>
          </w:tcPr>
          <w:p>
            <w:pPr>
              <w:spacing w:after="40" w:before="40"/>
            </w:pPr>
            <w:r/>
            <w:r>
              <w:rPr>
                <w:sz w:val="18"/>
              </w:rPr>
              <w:t>5 bp round trip</w:t>
            </w:r>
          </w:p>
        </w:tc>
      </w:tr>
      <w:tr>
        <w:tc>
          <w:tcPr>
            <w:tcW w:type="dxa" w:w="2016"/>
          </w:tcPr>
          <w:p>
            <w:pPr>
              <w:spacing w:after="40" w:before="40"/>
            </w:pPr>
            <w:r/>
            <w:r>
              <w:rPr>
                <w:sz w:val="18"/>
              </w:rPr>
              <w:t>Inverse Vol</w:t>
            </w:r>
          </w:p>
        </w:tc>
        <w:tc>
          <w:tcPr>
            <w:tcW w:type="dxa" w:w="4752"/>
          </w:tcPr>
          <w:p>
            <w:pPr>
              <w:spacing w:after="40" w:before="40"/>
            </w:pPr>
            <w:r/>
            <w:r>
              <w:rPr>
                <w:sz w:val="18"/>
              </w:rPr>
              <w:t>1 / trailing 63-observation volatility, lagged one day, normalised</w:t>
            </w:r>
          </w:p>
        </w:tc>
        <w:tc>
          <w:tcPr>
            <w:tcW w:type="dxa" w:w="2880"/>
          </w:tcPr>
          <w:p>
            <w:pPr>
              <w:spacing w:after="40" w:before="40"/>
            </w:pPr>
            <w:r/>
            <w:r>
              <w:rPr>
                <w:sz w:val="18"/>
              </w:rPr>
              <w:t>Used for sleeves, asset classes and pairs</w:t>
            </w:r>
          </w:p>
        </w:tc>
      </w:tr>
      <w:tr>
        <w:tc>
          <w:tcPr>
            <w:tcW w:type="dxa" w:w="2016"/>
          </w:tcPr>
          <w:p>
            <w:pPr>
              <w:spacing w:after="40" w:before="40"/>
            </w:pPr>
            <w:r/>
            <w:r>
              <w:rPr>
                <w:sz w:val="18"/>
              </w:rPr>
              <w:t>Reporting</w:t>
            </w:r>
          </w:p>
        </w:tc>
        <w:tc>
          <w:tcPr>
            <w:tcW w:type="dxa" w:w="4752"/>
          </w:tcPr>
          <w:p>
            <w:pPr>
              <w:spacing w:after="40" w:before="40"/>
            </w:pPr>
            <w:r/>
            <w:r>
              <w:rPr>
                <w:sz w:val="18"/>
              </w:rPr>
              <w:t>1 Jan 2011 to 23 Sep 2026; 252-day annualisation</w:t>
            </w:r>
          </w:p>
        </w:tc>
        <w:tc>
          <w:tcPr>
            <w:tcW w:type="dxa" w:w="2880"/>
          </w:tcPr>
          <w:p>
            <w:pPr>
              <w:spacing w:after="40" w:before="40"/>
            </w:pPr>
            <w:r>
              <w:t>Regimes R1 to R3 plus 2026 YTD</w:t>
            </w:r>
            <w:r>
              <w:rPr>
                <w:sz w:val="18"/>
              </w:rPr>
            </w:r>
          </w:p>
        </w:tc>
      </w:tr>
    </w:tbl>
    <w:p>
      <w:pPr>
        <w:spacing w:after="40"/>
      </w:pPr>
    </w:p>
    <w:p>
      <w:pPr>
        <w:pStyle w:val="Heading2"/>
      </w:pPr>
      <w:r>
        <w:t>6. Position Convention and Transaction Costs</w:t>
      </w:r>
    </w:p>
    <w:p>
      <w:r>
        <w:rPr>
          <w:i w:val="0"/>
        </w:rPr>
        <w:t>Returns are those of an unfunded futures position of one unit of notional per product. No collateral interest, financing or margin is included, and no leverage is applied.</w:t>
      </w:r>
    </w:p>
    <w:p>
      <w:r>
        <w:rPr>
          <w:i w:val="0"/>
        </w:rPr>
        <w:t>A cost of 5 basis points round trip is charged, implemented as 2.5 basis points (0.025%) of notional per unit of position change:</w:t>
      </w:r>
    </w:p>
    <w:p>
      <w:pPr>
        <w:pStyle w:val="ListBullet"/>
      </w:pPr>
      <w:r>
        <w:rPr>
          <w:i w:val="0"/>
        </w:rPr>
        <w:t>cost(t) = |position(t) - position(t-1)| x 2.5 bp, so a flip from long to short costs 5 bp and entering or exiting costs 2.5 bp. The first day is charged on the absolute size of the opening position.</w:t>
      </w:r>
    </w:p>
    <w:p>
      <w:pPr>
        <w:pStyle w:val="ListBullet"/>
      </w:pPr>
      <w:r>
        <w:rPr>
          <w:i w:val="0"/>
        </w:rPr>
        <w:t>Roll-day charge: on a roll day (Section 4.2), if the position is non-zero both before and after and has the same sign, a further 2.5 bp is charged, because the rolling trade is real even when the view does not change. If the position is flat or changes sign on the roll day, only the ordinary change cost applies.</w:t>
      </w:r>
    </w:p>
    <w:p>
      <w:r>
        <w:rPr>
          <w:i w:val="0"/>
        </w:rPr>
        <w:t>The cost is subtracted directly from the daily log return. The roll-day charge is 2.5 bp, which is half of a round trip; a sensitivity at the full 5 bp has not been run.</w:t>
      </w:r>
    </w:p>
    <w:p>
      <w:pPr>
        <w:pStyle w:val="Heading2"/>
      </w:pPr>
      <w:r>
        <w:t>7. Return Calculation</w:t>
      </w:r>
    </w:p>
    <w:p>
      <w:r>
        <w:rPr>
          <w:i w:val="0"/>
        </w:rPr>
        <w:t>For each product and sleeve: gross daily log return = position(t) x [ln P(t) - ln P(t-1)], with P the continuous series of Section 4, and net daily log return = gross - cost(t). All later combinations work on these net daily log returns. Positions are computed on the product's full history; the return series are cut to the reporting window afterwards.</w:t>
      </w:r>
    </w:p>
    <w:p>
      <w:pPr>
        <w:pStyle w:val="Heading2"/>
      </w:pPr>
      <w:r>
        <w:t>8. Performance Statistics</w:t>
      </w:r>
    </w:p>
    <w:p>
      <w:r>
        <w:rPr>
          <w:i w:val="0"/>
        </w:rPr>
        <w:t>Statistics are computed per series and independently inside each horizon (Section 3.4), over the dates in that horizon on which the series is defined. A series needs at least 20 observations and non-zero variance, otherwise the statistics are left blank.</w:t>
      </w:r>
    </w:p>
    <w:p>
      <w:pPr>
        <w:pStyle w:val="ListBullet"/>
      </w:pPr>
      <w:r>
        <w:rPr>
          <w:b/>
        </w:rPr>
        <w:t>Annualised return:</w:t>
      </w:r>
      <w:r>
        <w:rPr>
          <w:i w:val="0"/>
        </w:rPr>
        <w:t xml:space="preserve"> Return = (exp(252 x mean daily net log return) - 1) x 100, the annual compound growth rate implied by the mean log return.</w:t>
      </w:r>
    </w:p>
    <w:p>
      <w:pPr>
        <w:pStyle w:val="ListBullet"/>
      </w:pPr>
      <w:r>
        <w:rPr>
          <w:b/>
        </w:rPr>
        <w:t>Annualised volatility:</w:t>
      </w:r>
      <w:r>
        <w:rPr>
          <w:i w:val="0"/>
        </w:rPr>
        <w:t xml:space="preserve"> The daily log returns are converted to simple returns, exp(r) - 1; their sample standard deviation (n-1 divisor) is multiplied by the square root of 252 and by 100.</w:t>
      </w:r>
    </w:p>
    <w:p>
      <w:pPr>
        <w:pStyle w:val="ListBullet"/>
      </w:pPr>
      <w:r>
        <w:rPr>
          <w:b/>
        </w:rPr>
        <w:t>Information ratio (IR):</w:t>
      </w:r>
      <w:r>
        <w:rPr>
          <w:i w:val="0"/>
        </w:rPr>
        <w:t xml:space="preserve"> Annualised return divided by annualised volatility, both in the same simple-return units, so the displayed IR equals the displayed return divided by the displayed volatility. No risk-free rate is subtracted.</w:t>
      </w:r>
    </w:p>
    <w:p>
      <w:pPr>
        <w:pStyle w:val="ListBullet"/>
      </w:pPr>
      <w:r>
        <w:rPr>
          <w:b/>
        </w:rPr>
        <w:t>Maximum drawdown:</w:t>
      </w:r>
      <w:r>
        <w:rPr>
          <w:i w:val="0"/>
        </w:rPr>
        <w:t xml:space="preserve"> Within the horizon, value = exp(cumulative sum of daily log returns) starting from 1 at the horizon's own first date; drawdown = value divided by its running maximum minus 1; the maximum drawdown is the most negative value, in percent. Each horizon restarts from zero rather than being sliced from one full-sample curve.</w:t>
      </w:r>
    </w:p>
    <w:p>
      <w:pPr>
        <w:pStyle w:val="Heading2"/>
      </w:pPr>
      <w:r>
        <w:t>9. Aggregation Within an Asset Class</w:t>
      </w:r>
    </w:p>
    <w:p>
      <w:pPr>
        <w:pStyle w:val="Heading3"/>
      </w:pPr>
      <w:r>
        <w:t>9.1 Products into a sleeve</w:t>
      </w:r>
    </w:p>
    <w:p>
      <w:r>
        <w:rPr>
          <w:i w:val="0"/>
        </w:rPr>
        <w:t>For each sleeve, the net daily log returns of the asset class's products are equal-weighted. Products can have different dates, so the aggregation is done on the intersection of dates: each product's net log return is converted to a cumulative level, restricted to the dates on which every product has a price, and differenced again, so the move over a date dropped for one product is carried into the next common date for every product. Nothing is deleted or double-counted, and the procedure uses only past data. Energy ex-NatGas uses the same procedure on four products.</w:t>
      </w:r>
    </w:p>
    <w:p>
      <w:pPr>
        <w:pStyle w:val="Heading3"/>
      </w:pPr>
      <w:r>
        <w:t>9.2 Sleeves into an asset-class portfolio</w:t>
      </w:r>
    </w:p>
    <w:p>
      <w:r>
        <w:rPr>
          <w:i w:val="0"/>
        </w:rPr>
        <w:t>The four sleeves (Momentum, Carry, Carry-Momentum, Value) of an asset class are combined in two ways:</w:t>
      </w:r>
    </w:p>
    <w:p>
      <w:pPr>
        <w:pStyle w:val="ListBullet"/>
      </w:pPr>
      <w:r>
        <w:rPr>
          <w:b/>
        </w:rPr>
        <w:t>EW PORT (Equal Weight):</w:t>
      </w:r>
      <w:r>
        <w:rPr>
          <w:i w:val="0"/>
        </w:rPr>
        <w:t xml:space="preserve"> The simple average of the four sleeves' daily net log returns.</w:t>
      </w:r>
    </w:p>
    <w:p>
      <w:pPr>
        <w:pStyle w:val="ListBullet"/>
      </w:pPr>
      <w:r>
        <w:rPr>
          <w:b/>
        </w:rPr>
        <w:t>Inverse Vol:</w:t>
      </w:r>
      <w:r>
        <w:rPr>
          <w:i w:val="0"/>
        </w:rPr>
        <w:t xml:space="preserve"> Weights are proportional to 1 / sigma(i,t), where sigma(i,t) is the standard deviation (n-1 divisor) of sleeve i's daily returns over the trailing 63 observations ending on the previous day (t-1), recomputed every day, and normalised to sum to 1, so day t's weights use no information from day t. The window must be completely filled; a sleeve with zero volatility over the window, or a missing return, makes the weights and therefore the portfolio undefined for that day.</w:t>
      </w:r>
    </w:p>
    <w:p>
      <w:r>
        <w:rPr>
          <w:i w:val="0"/>
        </w:rPr>
        <w:t>An undefined day is left out of the statistics of that series. The practical consequence for NGL is explained in Section 14.</w:t>
      </w:r>
    </w:p>
    <w:p>
      <w:pPr>
        <w:pStyle w:val="Heading2"/>
      </w:pPr>
      <w:r>
        <w:t>10. Combined Books ("All 5")</w:t>
      </w:r>
    </w:p>
    <w:p>
      <w:r>
        <w:rPr>
          <w:i w:val="0"/>
        </w:rPr>
        <w:t>Two books combine all five asset classes, one with the Energy asset class including Natural Gas ("All 5: with NatGas") and one with Energy ex-NatGas ("All 5: ex-NatGas"). Each is a two-stage construction with the method chosen separately at each stage:</w:t>
      </w:r>
    </w:p>
    <w:p>
      <w:pPr>
        <w:pStyle w:val="ListBullet"/>
      </w:pPr>
      <w:r>
        <w:rPr>
          <w:b/>
        </w:rPr>
        <w:t>Stage 1:</w:t>
      </w:r>
      <w:r>
        <w:rPr>
          <w:i w:val="0"/>
        </w:rPr>
        <w:t xml:space="preserve"> Each asset class's four sleeves are combined into an asset-class portfolio by Equal Weight or by Inverse Vol (Section 9.2) - the first word of the row name ("sleeves").</w:t>
      </w:r>
    </w:p>
    <w:p>
      <w:pPr>
        <w:pStyle w:val="ListBullet"/>
      </w:pPr>
      <w:r>
        <w:rPr>
          <w:b/>
        </w:rPr>
        <w:t>Stage 2:</w:t>
      </w:r>
      <w:r>
        <w:rPr>
          <w:i w:val="0"/>
        </w:rPr>
        <w:t xml:space="preserve"> The five asset-class portfolios are aligned on the intersection of their dates (the cumulative-level procedure of Section 9.1) and combined by Equal Weight (one fifth each) or by Inverse Vol (trailing 63-day, as above, across the five series) - the second part of the row name ("across").</w:t>
      </w:r>
    </w:p>
    <w:p>
      <w:r>
        <w:rPr>
          <w:i w:val="0"/>
        </w:rPr>
        <w:t>This gives four books per variant: EW sleeves / EW across, EW sleeves / Inverse Vol across, Inverse Vol sleeves / EW across and Inverse Vol sleeves / Inverse Vol across. The dashboard also shows the five asset-class EW PORT series on the same common dates as reference rows. The common calendar begins on 10 November 2009, the first date on which all five asset classes have data, and reporting starts in 2011 as always.</w:t>
      </w:r>
    </w:p>
    <w:p>
      <w:r>
        <w:rPr>
          <w:i w:val="0"/>
        </w:rPr>
        <w:t>By-Style tab. The same ingredients are also combined in the opposite order. Each style (Momentum, Carry, Carry-Momentum, Value) is first equal-weighted across the five asset classes' own sleeves on their common dates (the Section 9.1 procedure), giving one cross-asset-class series per style. The four style series are then combined into one Equal Weight portfolio and one Inverse Vol portfolio (trailing 63 observations, lagged one day), with Energy shown including or excluding Natural Gas. The Equal Weight result is identical to the "EW sleeves, EW across" book above, because both are an equal average of the same twenty series.</w:t>
      </w:r>
    </w:p>
    <w:p>
      <w:pPr>
        <w:pStyle w:val="Heading2"/>
      </w:pPr>
      <w:r>
        <w:t>11. Cross-Pair Portfolios</w:t>
      </w:r>
    </w:p>
    <w:p>
      <w:r>
        <w:rPr>
          <w:i w:val="0"/>
        </w:rPr>
        <w:t>A Cross-Pair portfolio combines the portfolios of two asset classes. All ten pairs of the five asset classes are shown, with Energy either including or excluding Natural Gas, under two constructions:</w:t>
      </w:r>
    </w:p>
    <w:p>
      <w:pPr>
        <w:pStyle w:val="ListBullet"/>
      </w:pPr>
      <w:r>
        <w:rPr>
          <w:b/>
        </w:rPr>
        <w:t>Equal Weight:</w:t>
      </w:r>
      <w:r>
        <w:rPr>
          <w:i w:val="0"/>
        </w:rPr>
        <w:t xml:space="preserve"> each asset class is its EW PORT, and the two are averaged 50/50 on their common dates.</w:t>
      </w:r>
    </w:p>
    <w:p>
      <w:pPr>
        <w:pStyle w:val="ListBullet"/>
      </w:pPr>
      <w:r>
        <w:rPr>
          <w:b/>
        </w:rPr>
        <w:t>Inverse Vol:</w:t>
      </w:r>
      <w:r>
        <w:rPr>
          <w:i w:val="0"/>
        </w:rPr>
        <w:t xml:space="preserve"> each asset class is its Inverse Vol portfolio, and the two are blended by trailing 63-day inverse volatility on their common dates.</w:t>
      </w:r>
    </w:p>
    <w:p>
      <w:r>
        <w:rPr>
          <w:i w:val="0"/>
        </w:rPr>
        <w:t>The asset-class portfolios inside a pair use the same method as the blend, and the pair's dates are the intersection of the two series' dates (Section 9.1 procedure).</w:t>
      </w:r>
    </w:p>
    <w:p>
      <w:pPr>
        <w:pStyle w:val="Heading2"/>
      </w:pPr>
      <w:r>
        <w:t>12. Correlations</w:t>
      </w:r>
    </w:p>
    <w:p>
      <w:r>
        <w:rPr>
          <w:i w:val="0"/>
        </w:rPr>
        <w:t>All correlations are Pearson correlations of daily net log returns from 1 January 2011.</w:t>
      </w:r>
    </w:p>
    <w:p>
      <w:pPr>
        <w:pStyle w:val="ListBullet"/>
      </w:pPr>
      <w:r>
        <w:rPr>
          <w:b/>
        </w:rPr>
        <w:t>Within asset class:</w:t>
      </w:r>
      <w:r>
        <w:rPr>
          <w:i w:val="0"/>
        </w:rPr>
        <w:t xml:space="preserve"> For each asset class (and Energy ex-NatGas), the correlation matrix of its four sleeves, EW PORT and Inverse Vol, using the days on which all six series are defined (for NGL this means from 23 February 2012, because its Inverse Vol series is undefined earlier; Section 14).</w:t>
      </w:r>
    </w:p>
    <w:p>
      <w:pPr>
        <w:pStyle w:val="ListBullet"/>
      </w:pPr>
      <w:r>
        <w:rPr>
          <w:b/>
        </w:rPr>
        <w:t>Across asset classes:</w:t>
      </w:r>
      <w:r>
        <w:rPr>
          <w:i w:val="0"/>
        </w:rPr>
        <w:t xml:space="preserve"> For each of the six series types (the four sleeves, EW PORT, Inverse Vol), the correlation matrix of the five asset classes' series (Energy including Natural Gas), aligned on common dates (Section 9.1 procedure) with only days on which all five are defined used.</w:t>
      </w:r>
    </w:p>
    <w:p>
      <w:pPr>
        <w:pStyle w:val="ListBullet"/>
      </w:pPr>
      <w:r>
        <w:rPr>
          <w:b/>
        </w:rPr>
        <w:t>Rolling:</w:t>
      </w:r>
      <w:r>
        <w:rPr>
          <w:i w:val="0"/>
        </w:rPr>
        <w:t xml:space="preserve"> Rolling Pearson correlation between two asset classes' EW PORT or Inverse Vol series, on the common dates, over a window of 60, 126 or 252 observations selected in the dashboard. The Equal Weight series start on 4 January 2011 and the Inverse Vol series on 24 February 2012 (Section 14).</w:t>
      </w:r>
    </w:p>
    <w:p>
      <w:pPr>
        <w:pStyle w:val="Heading2"/>
      </w:pPr>
      <w:r>
        <w:t>13. Cumulative-Return Curves</w:t>
      </w:r>
    </w:p>
    <w:p>
      <w:r>
        <w:rPr>
          <w:i w:val="0"/>
        </w:rPr>
        <w:t>Curves are the cumulative sum of daily net log returns from 1 January 2011 (a missing day counts as zero), stored every fifth trading day. The dashboard rebases each curve to zero at the first stored date on or after the selected start (2011, 2016, 2020, 2022 or 2026) and shows (exp(change in cumulative log return) - 1) x 100. Curves exist for each asset class's sleeves and portfolios and for the combined books.</w:t>
      </w:r>
    </w:p>
    <w:p>
      <w:r>
        <w:rPr>
          <w:i w:val="0"/>
        </w:rPr>
        <w:t>Two further views use the same machinery: a by-product table (the metrics of Section 8 for every product and sleeve) and, for Precious Metals and Agriculture, a comparison of the previous single-tenor-pair Carry and Carry-Momentum (Precious F1-F3; Agriculture F1-F2) with the short leg, the long leg and the two-pair sign-vote, at asset-class level.</w:t>
      </w:r>
    </w:p>
    <w:p>
      <w:pPr>
        <w:pStyle w:val="Heading2"/>
      </w:pPr>
      <w:r>
        <w:t>14. Known Limitations and Implementation Details</w:t>
      </w:r>
    </w:p>
    <w:p>
      <w:r>
        <w:rPr>
          <w:i w:val="0"/>
        </w:rPr>
        <w:t>The following are properties of the code as it stands. Each was checked against the code and data on 11 October 2026. None changes the construction described above; they matter when interpreting results.</w:t>
      </w:r>
    </w:p>
    <w:p>
      <w:pPr>
        <w:pStyle w:val="ListBullet"/>
      </w:pPr>
      <w:r>
        <w:rPr>
          <w:b/>
        </w:rPr>
        <w:t>Missing prices.</w:t>
      </w:r>
      <w:r>
        <w:rPr>
          <w:i w:val="0"/>
        </w:rPr>
        <w:t xml:space="preserve"> Brent (2 January 2017, an exchange holiday) and Sugar (30 June 2025) were the only missing front-month prices from 2011; they are handled by the source-data fixes of Section 3.1. Because moving averages tolerate up to 10% missing observations, any future isolated gap blanks Momentum for one day only, but a missing price still stops the continuous series from earning the move over the gap, so source gaps should be fixed in the data. Missing prices before 2011 (Aluminium, Zinc, Ethane, Isobutane, Soybean, Soybean Oil) do not affect reported numbers.</w:t>
      </w:r>
    </w:p>
    <w:p>
      <w:pPr>
        <w:pStyle w:val="ListBullet"/>
      </w:pPr>
      <w:r>
        <w:rPr>
          <w:b/>
        </w:rPr>
        <w:t>Different exchange calendars.</w:t>
      </w:r>
      <w:r>
        <w:rPr>
          <w:i w:val="0"/>
        </w:rPr>
        <w:t xml:space="preserve"> Each product's signals, lags and costs run on its own trading days. Products are combined on the dates all of them traded, and the return over a dropped date is added to the next common date. Energy loses about 105 dates (mostly Brent-only days), Agriculture 4, and the five-asset-class books about 178, leaving about 247 observations a year against the 252 used to annualise, which overstates annualised return by about 2% (relative) and IR by about 1% for those books. Some files also repeat the previous price on holidays (for example Good Friday), which counts as a zero-return day.</w:t>
      </w:r>
    </w:p>
    <w:p>
      <w:pPr>
        <w:pStyle w:val="ListBullet"/>
      </w:pPr>
      <w:r>
        <w:rPr>
          <w:b/>
        </w:rPr>
        <w:t>NGL warm-up.</w:t>
      </w:r>
      <w:r>
        <w:rPr>
          <w:i w:val="0"/>
        </w:rPr>
        <w:t xml:space="preserve"> NGL history starts in August to November 2009. Value needs 630 observations of F3, so the first Value signal appears between 14 February 2012 (Propane) and 19 June 2012 (Isobutane) and positions start two trading days later: NGL Value is flat for roughly the first 13 to 18 months of the reporting window. Isobutane's Carry (both pairs needed) first has a signal on 31 December 2010, so its position starts on 4 January 2011. During the flat period Value contributes zero return to NGL EW PORT. With zero volatility in the window the Inverse Vol weights are undefined, so the NGL Inverse Vol portfolio, and any book or Cross-Pair series built on it, is defined only from 23 February 2012. Statistics for those series cover 2012 onwards inside the full-sample column and R1, while the Equal Weight series cover all of 2011. All other products and sleeves are fully warmed up when the window opens.</w:t>
      </w:r>
    </w:p>
    <w:p>
      <w:pPr>
        <w:pStyle w:val="ListBullet"/>
      </w:pPr>
      <w:r>
        <w:rPr>
          <w:b/>
        </w:rPr>
        <w:t>Generic-series signals.</w:t>
      </w:r>
      <w:r>
        <w:rPr>
          <w:i w:val="0"/>
        </w:rPr>
        <w:t xml:space="preserve"> Momentum is computed on the unadjusted generic F1 series and Carry and Value on unadjusted generic tenors, so their inputs include the price steps that occur when the generic series changes contract. Returns, by contrast, are earned on the roll-adjusted continuous series.</w:t>
      </w:r>
    </w:p>
    <w:p>
      <w:pPr>
        <w:pStyle w:val="ListBullet"/>
      </w:pPr>
      <w:r>
        <w:rPr>
          <w:b/>
        </w:rPr>
        <w:t>Roll cost convention.</w:t>
      </w:r>
      <w:r>
        <w:rPr>
          <w:i w:val="0"/>
        </w:rPr>
        <w:t xml:space="preserve"> The roll-day charge is one-way (2.5 bp, half a round trip). A full 5 bp sensitivity has not been run.</w:t>
      </w:r>
    </w:p>
    <w:p>
      <w:pPr>
        <w:pStyle w:val="ListBullet"/>
      </w:pPr>
      <w:r>
        <w:rPr>
          <w:b/>
        </w:rPr>
        <w:t>Calendars and liquidity.</w:t>
      </w:r>
      <w:r>
        <w:rPr>
          <w:i w:val="0"/>
        </w:rPr>
        <w:t xml:space="preserve"> Only the Precious Metals and Agriculture calendars were aligned to Bloomberg contract months. The deep tenors used in Carry (Gold F7, Platinum and Palladium F5, the Agriculture long legs) lie beyond the range that was checked for liquidity, and no liquidity study exists for Agriculture. NGL Carry uses F2 as the near leg, which brings back heating-season seasonality the original F4 choice was meant to avoid; the NGL pairs are provisional. Heating Oil F13 and Isobutane F14 each have about 0.5% of days missing after 2011, which are skipped in the slope series.</w:t>
      </w:r>
    </w:p>
    <w:p>
      <w:pPr>
        <w:pStyle w:val="ListBullet"/>
      </w:pPr>
      <w:r>
        <w:rPr>
          <w:b/>
        </w:rPr>
        <w:t>Statistical status.</w:t>
      </w:r>
      <w:r>
        <w:rPr>
          <w:i w:val="0"/>
        </w:rPr>
        <w:t xml:space="preserve"> Results are in-sample over 2011 to 2026. Parameters were fixed by research decisions and no significance test, out-of-sample test or multiple-testing correction has been applied. Returns exclude financing, collateral income and any cost beyond the 5 bp round-trip convention.</w:t>
      </w:r>
    </w:p>
    <w:p>
      <w:pPr>
        <w:pStyle w:val="Heading2"/>
      </w:pPr>
      <w:r>
        <w:t>15. Reproducibility</w:t>
      </w:r>
    </w:p>
    <w:p>
      <w:r>
        <w:rPr>
          <w:i w:val="0"/>
        </w:rPr>
        <w:t>The dashboard is produced by the scripts in scripts/final_dashboard, run in this order from the repository root: compute_products.py (net returns of every product and sleeve), analyze_v2.py (asset-class tabs, combined books, Cross-Pair, correlations, curves), analyze_twopair.py (single-pair comparison) and build_final_dashboard_v2.py (the HTML page). The configuration (data files, roll rule, tenor pairs, lookbacks, lags) is in research/configs; the signal and return functions are in research/engine.py; the continuous series in scripts/rolling_continuous.py and research/ratio_continuous.py; the aggregation in research/cross_asset_engine.py. validate_engine.py rebuilds all 23 products x 4 sleeves from the repository defaults and compares them with the dashboard series (maximum difference 0). The regime windows are set in scripts/final_dashboard/final_regimes.py and read by analyze_v2.py and analyze_twopair.py. Dated changes are recorded in ENGINE_CHANGELOG.md.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Research Methodology, Final Research Dashboard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eastAsia="Calibri"/>
      <w:b/>
      <w:bCs/>
      <w:color w:val="1F2D3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eastAsia="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