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Multi-Asset Commodity Risk Premia: Research Summary</w:t>
      </w:r>
    </w:p>
    <w:p>
      <w:pPr/>
      <w:r>
        <w:rPr>
          <w:i/>
          <w:sz w:val="18"/>
        </w:rPr>
        <w:t>Metals, Energy, Precious Metals, NGL, Agriculture, Correlation Analysis, and Cross-Commodity Portfolio</w:t>
      </w:r>
    </w:p>
    <w:p>
      <w:pPr/>
      <w:r>
        <w:rPr>
          <w:i/>
          <w:sz w:val="18"/>
        </w:rPr>
        <w:t>Basis of all results: daily returns net of 5 bp round-trip transaction costs, 1 January 2011 to 23 September 2026. Return is the annualised compound return, Vol the annualised volatility and IR their ratio (no risk-free rate). Equal Weight (EW PORT) averages the components equally; Inverse Vol weights each component by the inverse of its trailing 63-day volatility, lagged one day. Regimes: R1 2011-2016, R2 2017-2021, R3 2022-2026; 2026+ is the 2026 year to date. Energy includes Natural Gas unless stated.</w:t>
      </w:r>
    </w:p>
    <w:p>
      <w:pPr>
        <w:pStyle w:val="Heading2"/>
      </w:pPr>
      <w:r>
        <w:t>Key Findings</w:t>
      </w:r>
    </w:p>
    <w:p>
      <w:pPr>
        <w:pStyle w:val="ListBullet"/>
      </w:pPr>
      <w:r>
        <w:t>NGL is the strongest sleeve in the research: Equal Weight (IR +1.14) and Inverse Vol (IR +1.11) are more than double the best of any other asset class, and Momentum, Carry, and Carry-Momentum are each positive in every regime, as they are in Energy.</w:t>
      </w:r>
    </w:p>
    <w:p>
      <w:pPr>
        <w:pStyle w:val="ListBullet"/>
      </w:pPr>
      <w:r>
        <w:t>Energy's Carry-Momentum is its strongest strategy (IR +0.58), and Value (IR -0.17) is the only Energy strategy with a negative full-sample IR; excluding Natural Gas improves every sleeve and lifts the Equal Weight portfolio from IR +0.49 to +0.59.</w:t>
      </w:r>
    </w:p>
    <w:p>
      <w:pPr>
        <w:pStyle w:val="ListBullet"/>
      </w:pPr>
      <w:r>
        <w:t>In Metals, Value is the only strategy with a clear edge (IR +0.47); both portfolio constructions (Equal Weight -0.04, Inverse Vol +0.11) underperform simply holding Value alone, since blending in three strategies with little or no edge dilutes the one signal that works.</w:t>
      </w:r>
    </w:p>
    <w:p>
      <w:pPr>
        <w:pStyle w:val="ListBullet"/>
      </w:pPr>
      <w:r>
        <w:t>Precious Metals and Agriculture are the two asset classes where portfolio construction fails: neither earns a positive IR (Precious Metals Equal Weight -0.21, Inverse Vol -0.21; Agriculture -0.21 and -0.24). Momentum is negative in both (Precious Metals -0.31, Agriculture -0.15), and in Agriculture all four strategies are net negative.</w:t>
      </w:r>
    </w:p>
    <w:p>
      <w:pPr>
        <w:pStyle w:val="ListBullet"/>
      </w:pPr>
      <w:r>
        <w:t>Energy-NGL is the most correlated pair of asset classes for all six series types (EW PORT correlation 0.33) and Metals-Precious Metals the second most correlated under EW PORT (0.20), yet standalone Energy-NGL is the best-performing of the ten pairs (Equal Weight IR +0.99, Inverse Vol +1.01), proving correlation and performance are separate questions.</w:t>
      </w:r>
    </w:p>
    <w:p>
      <w:pPr>
        <w:pStyle w:val="ListBullet"/>
      </w:pPr>
      <w:r>
        <w:t>The cross-commodity portfolio (each strategy equal-weighted across the five asset classes, then the four strategies combined) delivers Equal Weight IR +0.65 and Inverse Vol IR +0.72 at a volatility of 5.5%, is positive in every regime under both constructions, and is negatively correlated with equity (-0.19), a traditional 60/40 portfolio (-0.19) and even a passive commodity index (-0.07), genuine diversification, not repackaged beta.</w:t>
      </w:r>
    </w:p>
    <w:p>
      <w:pPr>
        <w:pStyle w:val="Heading2"/>
      </w:pPr>
      <w:r>
        <w:t>Metals</w:t>
      </w:r>
    </w:p>
    <w:p>
      <w:pPr>
        <w:pStyle w:val="ListBullet"/>
      </w:pPr>
      <w:r>
        <w:t>Momentum (Return -6.2%, Vol 15.5%, Max Drawdown -70.7%, IR -0.40): negative in two of three regimes (R1 -0.60, R3 -0.55) and roughly flat in R2 (+0.05); its only strongly positive window is the 2026 year to date (IR +1.05).</w:t>
      </w:r>
    </w:p>
    <w:p>
      <w:pPr>
        <w:pStyle w:val="ListBullet"/>
      </w:pPr>
      <w:r>
        <w:t>Carry (Return +1.5%, Vol 12.2%, Max Drawdown -40.1%, IR +0.12) and Carry-Momentum (Return -1.0%, Vol 11.2%, Max Drawdown -58.7%, IR -0.09): both earn their positive results in R1 (IR +0.61 / +0.74) and turn negative in R2 (-0.39 / -0.69) and R3 (-0.04 / -0.52). The R1 result is concentrated in Aluminium (Carry IR +0.99) and Zinc (+0.57), the two metals whose curves were in the steepest contango in that period (average F1-F13 slope of -4.2% and -2.4%, backwardated on only 1% and 3% of days), the years of large LME stocks and aluminium financing deals; contango eased in both metals in R2 and R3 (Aluminium -2.6% and -2.3%, Zinc +1.2% and +1.2%).</w:t>
      </w:r>
    </w:p>
    <w:p>
      <w:pPr>
        <w:pStyle w:val="ListBullet"/>
      </w:pPr>
      <w:r>
        <w:t>Value (Return +5.2%, Vol 11.1%, Max Drawdown -27.3%, IR +0.47): the strongest strategy and the only one with a clear edge, positive in every regime (R1 +0.59, R2 +0.08, R3 +0.76), though negative in the 2026 year to date (-0.90). It correlates at -0.49 with Momentum full-sample, the most negative pairing within the asset class and the strongest diversification relationship.</w:t>
      </w:r>
    </w:p>
    <w:p>
      <w:pPr>
        <w:pStyle w:val="ListBullet"/>
      </w:pPr>
      <w:r>
        <w:t>Portfolio construction: Equal Weight (Return -0.2%, Vol 6.6%, Max Drawdown -25.9%, IR -0.04) and Inverse Vol (Return +0.7%, Vol 6.0%, Max Drawdown -19.0%, IR +0.11) both underperform holding Value alone (Return +5.2%, Vol 11.1%, Max Drawdown -27.3%, IR +0.47) on IR. Inverse Vol has the shallower drawdown and lower volatility of the two, but neither approaches Value's IR.</w:t>
      </w:r>
    </w:p>
    <w:p>
      <w:pPr>
        <w:pStyle w:val="ListBullet"/>
      </w:pPr>
      <w:r>
        <w:t>Individual-metal decomposition: Momentum's blended IR of -0.40 masks a single working metal. Aluminium alone returns IR +0.22, the only positive result among the four, while Copper, Zinc, and Lead are all negative (Lead as low as -0.59). Value shows the opposite pattern, positive in every metal individually (+0.19 to +0.54), with blended volatility of 11.1% well below the roughly 16.5% average held by any one metal alone.</w:t>
      </w:r>
    </w:p>
    <w:p>
      <w:pPr>
        <w:pStyle w:val="ListBullet"/>
      </w:pPr>
      <w:r>
        <w:t>Why neither construction beats Value: diversification only adds value when it combines more than one genuine edge. Value is the only strategy with a clear edge (IR +0.47); Carry is marginal (+0.12) and Momentum (-0.40) and Carry-Momentum (-0.09) are negative, so blending them with Value dilutes the one real signal in the book instead of diversifying real risk. The same logic applies within a strategy: blending Momentum across metals dilutes Aluminium's one working signal, while blending Value across metals, where every metal carries a positive edge, lifts the IR above the average single metal (+0.47 against +0.32).</w:t>
      </w:r>
    </w:p>
    <w:p>
      <w:pPr>
        <w:jc w:val="center"/>
      </w:pPr>
      <w:r>
        <w:drawing>
          <wp:inline xmlns:a="http://schemas.openxmlformats.org/drawingml/2006/main" xmlns:pic="http://schemas.openxmlformats.org/drawingml/2006/picture">
            <wp:extent cx="5486400" cy="3269673"/>
            <wp:docPr id="1" name="Picture 1"/>
            <wp:cNvGraphicFramePr>
              <a:graphicFrameLocks noChangeAspect="1"/>
            </wp:cNvGraphicFramePr>
            <a:graphic>
              <a:graphicData uri="http://schemas.openxmlformats.org/drawingml/2006/picture">
                <pic:pic>
                  <pic:nvPicPr>
                    <pic:cNvPr id="0" name="fig_metals.png"/>
                    <pic:cNvPicPr/>
                  </pic:nvPicPr>
                  <pic:blipFill>
                    <a:blip r:embed="rId8"/>
                    <a:stretch>
                      <a:fillRect/>
                    </a:stretch>
                  </pic:blipFill>
                  <pic:spPr>
                    <a:xfrm>
                      <a:off x="0" y="0"/>
                      <a:ext cx="5486400" cy="3269673"/>
                    </a:xfrm>
                    <a:prstGeom prst="rect"/>
                  </pic:spPr>
                </pic:pic>
              </a:graphicData>
            </a:graphic>
          </wp:inline>
        </w:drawing>
      </w:r>
    </w:p>
    <w:p>
      <w:pPr>
        <w:jc w:val="center"/>
      </w:pPr>
      <w:r>
        <w:rPr>
          <w:b/>
          <w:sz w:val="18"/>
        </w:rPr>
        <w:t>Figure 1. Metals: Combined Strategy Performance (Cumulative Return, 2011-2026)</w:t>
      </w:r>
    </w:p>
    <w:p>
      <w:pPr>
        <w:pStyle w:val="Heading2"/>
      </w:pPr>
      <w:r>
        <w:t>Energy</w:t>
      </w:r>
    </w:p>
    <w:p>
      <w:pPr>
        <w:pStyle w:val="ListBullet"/>
      </w:pPr>
      <w:r>
        <w:t>Carry-Momentum (Return +12.0%, Vol 20.8%, Max Drawdown -26.3%, IR +0.58) is the strongest individual strategy in the Energy basket and, like Momentum and Carry, is positive in every regime (Carry-Momentum R1 +0.54, R2 +0.53, R3 +0.71), the clearest evidence in Energy that term-structure changes carry genuine, repeatable information.</w:t>
      </w:r>
    </w:p>
    <w:p>
      <w:pPr>
        <w:pStyle w:val="ListBullet"/>
      </w:pPr>
      <w:r>
        <w:t>Momentum (Return +13.2%, Vol 28.0%, Max Drawdown -55.4%, IR +0.47): positive in every regime (R1 +0.53, R2 +0.64, R3 +0.24), with most of its return earned in a few large directional moves: calendar years 2014, 2015, 2020 and 2021 account for 95% of its cumulative log return. They coincide with the 2014-2016 price collapse (WTI fell from $105 in June 2014 to $26 in February 2016, after OPEC's November 2014 decision to hold output against rising US shale supply), the 2020 demand collapse and the 2021 recovery. R3 is its weakest regime (the March 2022 spike to $124 after Russia's invasion of Ukraine added 14%) and the 2026 year to date its strongest (IR +2.19).</w:t>
      </w:r>
    </w:p>
    <w:p>
      <w:pPr>
        <w:pStyle w:val="ListBullet"/>
      </w:pPr>
      <w:r>
        <w:t>Carry (Return +6.5%, Vol 25.0%, Max Drawdown -53.9%, IR +0.26) is positive in every regime (R1 +0.34, R2 +0.42, R3 +0.02) and weakest in R3 (IR +0.02), although the curves were the most backwardated of the sample (WTI F1-F3 backwardated on 87% of days in R3 against 21% in R1 and 46% in R2). The V2 signal is measured against each curve's own trailing 252-day slope, so a high level of backwardation does not by itself produce Carry returns.</w:t>
      </w:r>
    </w:p>
    <w:p>
      <w:pPr>
        <w:pStyle w:val="ListBullet"/>
      </w:pPr>
      <w:r>
        <w:t>Value (Return -4.6%, Vol 26.6%, Max Drawdown -72.8%, IR -0.17) is the one consistent drag on a full-sample basis, negative in R1 (IR -0.46) and R3 (-0.13) and marginally positive in R2 (+0.09). The 2014-2016 price collapse (WTI from $105 to $26), triggered by US shale supply growth and OPEC's decision to hold output, behaves as a persistent trend rather than a mean-reverting cycle, exactly the environment a reversion strategy is built to lose in. It correlates at -0.49 with Momentum and -0.50 with Carry, the same diversification relationship seen in Metals (-0.49 with Momentum).</w:t>
      </w:r>
    </w:p>
    <w:p>
      <w:pPr>
        <w:pStyle w:val="ListBullet"/>
      </w:pPr>
      <w:r>
        <w:t>Portfolio construction: Equal Weight (Return +6.5%, Vol 13.4%, Max Drawdown -27.8%, IR +0.49) and Inverse Vol (Return +6.4%, Vol 13.4%, Max Drawdown -27.5%, IR +0.48) are almost identical and both positive in every regime (Equal Weight R1 +0.35, R2 +0.82, R3 +0.31; Inverse Vol R1 +0.34, R2 +0.79, R3 +0.31). Unlike Metals, where Inverse Vol lifts the portfolio, the choice of weighting makes no material difference in Energy.</w:t>
      </w:r>
    </w:p>
    <w:p>
      <w:pPr>
        <w:pStyle w:val="ListBullet"/>
      </w:pPr>
      <w:r>
        <w:t>Excluding Natural Gas (Energy ex-NatGas) improves every sleeve: Momentum +0.47 to +0.50, Carry +0.26 to +0.32, Carry-Momentum +0.58 to +0.64, Value -0.17 to -0.12 (IR). Equal Weight (Return +9.0%, Vol 15.4%, Max Drawdown -28.7%, IR +0.59) and Inverse Vol (Return +9.2%, Vol 15.2%, Max Drawdown -27.0%, IR +0.61) rise accordingly (from IR +0.49 and +0.48 with Natural Gas).</w:t>
      </w:r>
    </w:p>
    <w:p>
      <w:pPr>
        <w:pStyle w:val="ListBullet"/>
      </w:pPr>
      <w:r>
        <w:t>Individual-product decomposition: Momentum and Carry-Momentum work across WTI, Brent, RBOB, and Heating Oil (IR +0.25 to +0.60) but carry no edge in Natural Gas (IR +0.04 and -0.03), consistent with gas's weather- and basis-driven price action decoupling from the broader term-structure logic. Value is negative in every one of the five products (IR -0.01 to -0.24), a broad, structural failure, not a concentration issue the way Momentum's weakness in Metals was.</w:t>
      </w:r>
    </w:p>
    <w:p>
      <w:pPr>
        <w:pStyle w:val="ListBullet"/>
      </w:pPr>
      <w:r>
        <w:t>Physical storage bottlenecks, pipeline capacity limits, and producers' structural need to hedge downside force the market to pay a continuous insurance premium to whoever takes the other side of that risk, the same economic logic that shows up as Carry-Momentum's clean, all-regime positive record above.</w:t>
      </w:r>
    </w:p>
    <w:p>
      <w:pPr>
        <w:jc w:val="center"/>
      </w:pPr>
      <w:r>
        <w:drawing>
          <wp:inline xmlns:a="http://schemas.openxmlformats.org/drawingml/2006/main" xmlns:pic="http://schemas.openxmlformats.org/drawingml/2006/picture">
            <wp:extent cx="5486400" cy="3269673"/>
            <wp:docPr id="2" name="Picture 2"/>
            <wp:cNvGraphicFramePr>
              <a:graphicFrameLocks noChangeAspect="1"/>
            </wp:cNvGraphicFramePr>
            <a:graphic>
              <a:graphicData uri="http://schemas.openxmlformats.org/drawingml/2006/picture">
                <pic:pic>
                  <pic:nvPicPr>
                    <pic:cNvPr id="0" name="fig_energy.png"/>
                    <pic:cNvPicPr/>
                  </pic:nvPicPr>
                  <pic:blipFill>
                    <a:blip r:embed="rId9"/>
                    <a:stretch>
                      <a:fillRect/>
                    </a:stretch>
                  </pic:blipFill>
                  <pic:spPr>
                    <a:xfrm>
                      <a:off x="0" y="0"/>
                      <a:ext cx="5486400" cy="3269673"/>
                    </a:xfrm>
                    <a:prstGeom prst="rect"/>
                  </pic:spPr>
                </pic:pic>
              </a:graphicData>
            </a:graphic>
          </wp:inline>
        </w:drawing>
      </w:r>
    </w:p>
    <w:p>
      <w:pPr>
        <w:jc w:val="center"/>
      </w:pPr>
      <w:r>
        <w:rPr>
          <w:b/>
          <w:sz w:val="18"/>
        </w:rPr>
        <w:t>Figure 2. Energy: Combined Strategy Performance (Cumulative Return, 2011-2026)</w:t>
      </w:r>
    </w:p>
    <w:p>
      <w:pPr>
        <w:pStyle w:val="Heading2"/>
      </w:pPr>
      <w:r>
        <w:t>Precious Metals</w:t>
      </w:r>
    </w:p>
    <w:p>
      <w:pPr>
        <w:pStyle w:val="ListBullet"/>
      </w:pPr>
      <w:r>
        <w:t>Momentum (Return -6.5%, Vol 20.7%, Max Drawdown -77.8%, IR -0.31) is negative in every one of the three regimes (IR -0.25 to -0.46) and in the 2026 year to date (-0.30). Precious Metals are priced primarily off macro drivers, above all real yields (the weekly correlation of gold returns with changes in the 10-year real yield, FRED series DFII10, is -0.37 over the sample, -0.64 in R2 and -0.25 in R3), currency-debasement expectations and tail-risk demand, not off their own recent price action, so trend-following has nothing to extract.</w:t>
      </w:r>
    </w:p>
    <w:p>
      <w:pPr>
        <w:pStyle w:val="ListBullet"/>
      </w:pPr>
      <w:r>
        <w:t>Carry (Return -1.1%, Vol 15.5%, Max Drawdown -55.4%, IR -0.07) and Carry-Momentum (Return +0.9%, Vol 14.3%, Max Drawdown -58.4%, IR +0.06) show no consistent edge: Carry is positive in R1 (IR +0.31), negative in R2 (-0.48) and flat in R3 (-0.02), while Carry-Momentum is positive in R1 (+0.57) and R2 (+0.28) before turning negative in R3 (-0.53), consistent with the post-2022 higher-real-yield environment pushing the sector deeper into cost-of-carry contango: the 10-year real yield averaged 1.61% in R3 against 0.03% in R2, and Gold's F1-F7 curve averaged -4.5% in R3 against -1.8% in R2 and -0.6% in R1 (Silver F1-F6 -4.5%, -2.3% and -0.9%).</w:t>
      </w:r>
    </w:p>
    <w:p>
      <w:pPr>
        <w:pStyle w:val="ListBullet"/>
      </w:pPr>
      <w:r>
        <w:t>The long tenor pair does not change that conclusion. Carry IR: previous single pair (F1-F3) +0.00, short pair F1-F2 -0.09, long pair alone -0.04, two-pair blend -0.07. Carry-Momentum IR: previous single pair -0.14, short pair -0.03, long pair alone +0.13, two-pair blend +0.06.</w:t>
      </w:r>
    </w:p>
    <w:p>
      <w:pPr>
        <w:pStyle w:val="ListBullet"/>
      </w:pPr>
      <w:r>
        <w:t>Value (Return -0.3%, Vol 18.6%, Max Drawdown -55.2%, IR -0.02) carries no full-sample edge, and the pattern is mixed at the product level: Platinum is the only metal with a real signal (IR +0.16), Silver (-0.03) and Palladium (+0.01) are flat, and Gold (-0.25) is negative.</w:t>
      </w:r>
    </w:p>
    <w:p>
      <w:pPr>
        <w:pStyle w:val="ListBullet"/>
      </w:pPr>
      <w:r>
        <w:t>Portfolio construction: Equal Weight (Return -1.8%, Vol 8.6%, Max Drawdown -44.4%, IR -0.21) and Inverse Vol (Return -1.8%, Vol 8.4%, Max Drawdown -48.2%, IR -0.21) are both net negative full-sample. Precious Metals and Agriculture are the only two asset classes where neither construction earns a positive IR, and Carry-Momentum (IR +0.06) is the only Precious Metals strategy with a positive full-sample IR.</w:t>
      </w:r>
    </w:p>
    <w:p>
      <w:pPr>
        <w:pStyle w:val="ListBullet"/>
      </w:pPr>
      <w:r>
        <w:t>Individual-metal decomposition: Momentum's failure is uniform across all four metals (Gold -0.01, Silver -0.11, Platinum -0.16, Palladium -0.46), none positive. Carry works in Gold (+0.22), Silver (+0.16) and Platinum (+0.16); its negative blended IR comes from Palladium (-0.48). Value's flat full-sample edge sits entirely in Platinum (IR +0.16); the other three metals show no edge or a negative one.</w:t>
      </w:r>
    </w:p>
    <w:p>
      <w:pPr>
        <w:pStyle w:val="ListBullet"/>
      </w:pPr>
      <w:r>
        <w:t>Fundamentally, gold producers hedge little (the global producer hedge book was 218 tonnes in Q3 2017 and 182 tonnes at the end of 2024, World Gold Council), so there are few commercial hedgers paying an insurance premium to transfer downside risk to financial counterparties; without that premium, Momentum has no structural engine to harvest here.</w:t>
      </w:r>
    </w:p>
    <w:p>
      <w:pPr>
        <w:jc w:val="center"/>
      </w:pPr>
      <w:r>
        <w:drawing>
          <wp:inline xmlns:a="http://schemas.openxmlformats.org/drawingml/2006/main" xmlns:pic="http://schemas.openxmlformats.org/drawingml/2006/picture">
            <wp:extent cx="5486400" cy="3269673"/>
            <wp:docPr id="3" name="Picture 3"/>
            <wp:cNvGraphicFramePr>
              <a:graphicFrameLocks noChangeAspect="1"/>
            </wp:cNvGraphicFramePr>
            <a:graphic>
              <a:graphicData uri="http://schemas.openxmlformats.org/drawingml/2006/picture">
                <pic:pic>
                  <pic:nvPicPr>
                    <pic:cNvPr id="0" name="fig_precious.png"/>
                    <pic:cNvPicPr/>
                  </pic:nvPicPr>
                  <pic:blipFill>
                    <a:blip r:embed="rId10"/>
                    <a:stretch>
                      <a:fillRect/>
                    </a:stretch>
                  </pic:blipFill>
                  <pic:spPr>
                    <a:xfrm>
                      <a:off x="0" y="0"/>
                      <a:ext cx="5486400" cy="3269673"/>
                    </a:xfrm>
                    <a:prstGeom prst="rect"/>
                  </pic:spPr>
                </pic:pic>
              </a:graphicData>
            </a:graphic>
          </wp:inline>
        </w:drawing>
      </w:r>
    </w:p>
    <w:p>
      <w:pPr>
        <w:jc w:val="center"/>
      </w:pPr>
      <w:r>
        <w:rPr>
          <w:b/>
          <w:sz w:val="18"/>
        </w:rPr>
        <w:t>Figure 3. Precious Metals: Combined Strategy Performance (Cumulative Return, 2011-2026)</w:t>
      </w:r>
    </w:p>
    <w:p>
      <w:pPr>
        <w:pStyle w:val="Heading2"/>
      </w:pPr>
      <w:r>
        <w:t>NGL</w:t>
      </w:r>
    </w:p>
    <w:p>
      <w:pPr>
        <w:pStyle w:val="ListBullet"/>
      </w:pPr>
      <w:r>
        <w:t>NGL is the strongest sleeve in the research: Equal Weight (Return +15.4%, Vol 13.5%, Max Drawdown -19.0%, IR +1.14) and Inverse Vol (Return +14.9%, Vol 13.5%, Max Drawdown -21.7%, IR +1.11), the best full-sample IR of any asset class under both constructions. At the individual-strategy level, Momentum (IR +1.03), Carry (IR +0.92), and Carry-Momentum (IR +0.61) are positive in every one of the three regimes. Value (Return +1.7%, Vol 25.8%, Max Drawdown -71.9%, IR +0.07) is the exception: net positive full-sample but negative in R1 (-0.42), flat in R2 (+0.05) and strongly positive in R3 (+0.87).</w:t>
      </w:r>
    </w:p>
    <w:p>
      <w:pPr>
        <w:pStyle w:val="ListBullet"/>
      </w:pPr>
      <w:r>
        <w:t>NGL's portfolios are strong in every regime rather than in one: Equal Weight IR is R1 +1.01, R2 +1.40, R3 +1.00 and Inverse Vol R1 +1.06, R2 +1.21, R3 +1.05, and the 2026 year to date reads +1.88 and +1.86. Both are well ahead of every other asset class, whose best full-sample Equal Weight IR is +0.49 (Energy). Value is the one sleeve whose picture changes, from -0.42 in R1 to +0.87 in R3 and +2.72 in the 2026 year to date.</w:t>
      </w:r>
    </w:p>
    <w:p>
      <w:pPr>
        <w:pStyle w:val="ListBullet"/>
      </w:pPr>
      <w:r>
        <w:t>Two warm-up effects shape the early NGL figures. NGL price history starts in August to November 2009 and Value needs 630 observations of F3, so the Value sleeve contributes zero return for roughly the first 13 months of the reporting window and is invested in all four products only from 21 June 2012; with zero volatility in the window the Inverse Vol weights are undefined, so NGL Inverse Vol is defined only from 23 February 2012. The full-sample and R1 Inverse Vol statistics for NGL, and the books built on them, therefore cover 2012 onwards, while the Equal Weight series cover all of 2011.</w:t>
      </w:r>
    </w:p>
    <w:p>
      <w:pPr>
        <w:pStyle w:val="ListBullet"/>
      </w:pPr>
      <w:r>
        <w:t>Carry (Return +20.0%, Vol 21.8%, Max Drawdown -41.1%, IR +0.92) is the clearest embodiment of NGL's seasonal mechanics: predictable weather- and industrial-driven demand cycles push futures curves from contango in low-demand build periods into steep backwardation as inventories drain in peak season. In the data the F2-F4 slope averages +3.8% (backwardation) in December to March and -1.5% (contango) in June to September. Carry is positive in every regime (IR +0.45 to +1.41), capturing that swing.</w:t>
      </w:r>
    </w:p>
    <w:p>
      <w:pPr>
        <w:pStyle w:val="ListBullet"/>
      </w:pPr>
      <w:r>
        <w:t>The two portfolio constructions are close, with Equal Weight ahead on every measure: Equal Weight returns +15.4% against +14.9% for Inverse Vol at the same volatility (13.5%), with a shallower maximum drawdown (-19.0% against -21.7%) and a higher IR (+1.14 against +1.11).</w:t>
      </w:r>
    </w:p>
    <w:p>
      <w:pPr>
        <w:pStyle w:val="ListBullet"/>
      </w:pPr>
      <w:r>
        <w:t>Individual-product decomposition: Momentum works uniformly across all four products (IR +0.60 to +0.98), the highest weakest-product result of any strategy in any asset class in the research. Carry (IR +0.40 to +0.85) and Carry-Momentum (IR +0.13 to +0.65) are also positive in every product. Value's modest full-sample edge is concentrated in Butane and Isobutane (IR +0.25 / +0.15), while Ethane and Propane show none (IR -0.13 / +0.00), the same split that explains Value's regime inconsistency above.</w:t>
      </w:r>
    </w:p>
    <w:p>
      <w:pPr>
        <w:jc w:val="center"/>
      </w:pPr>
      <w:r>
        <w:drawing>
          <wp:inline xmlns:a="http://schemas.openxmlformats.org/drawingml/2006/main" xmlns:pic="http://schemas.openxmlformats.org/drawingml/2006/picture">
            <wp:extent cx="5486400" cy="3269673"/>
            <wp:docPr id="4" name="Picture 4"/>
            <wp:cNvGraphicFramePr>
              <a:graphicFrameLocks noChangeAspect="1"/>
            </wp:cNvGraphicFramePr>
            <a:graphic>
              <a:graphicData uri="http://schemas.openxmlformats.org/drawingml/2006/picture">
                <pic:pic>
                  <pic:nvPicPr>
                    <pic:cNvPr id="0" name="fig_ngl.png"/>
                    <pic:cNvPicPr/>
                  </pic:nvPicPr>
                  <pic:blipFill>
                    <a:blip r:embed="rId11"/>
                    <a:stretch>
                      <a:fillRect/>
                    </a:stretch>
                  </pic:blipFill>
                  <pic:spPr>
                    <a:xfrm>
                      <a:off x="0" y="0"/>
                      <a:ext cx="5486400" cy="3269673"/>
                    </a:xfrm>
                    <a:prstGeom prst="rect"/>
                  </pic:spPr>
                </pic:pic>
              </a:graphicData>
            </a:graphic>
          </wp:inline>
        </w:drawing>
      </w:r>
    </w:p>
    <w:p>
      <w:pPr>
        <w:jc w:val="center"/>
      </w:pPr>
      <w:r>
        <w:rPr>
          <w:b/>
          <w:sz w:val="18"/>
        </w:rPr>
        <w:t>Figure 4. NGL: Combined Strategy Performance (Cumulative Return, 2011-2026)</w:t>
      </w:r>
    </w:p>
    <w:p>
      <w:pPr>
        <w:pStyle w:val="Heading2"/>
      </w:pPr>
      <w:r>
        <w:t>Agriculture</w:t>
      </w:r>
    </w:p>
    <w:p>
      <w:pPr>
        <w:pStyle w:val="ListBullet"/>
      </w:pPr>
      <w:r>
        <w:t>Agriculture (six products: Corn, Wheat, Soybean, Soybean Oil, Coffee, Sugar) has no edge in any sleeve: all four strategies are net negative full-sample, and Equal Weight (Return -1.4%, Vol 6.5%, Max Drawdown -31.7%, IR -0.21) and Inverse Vol (Return -1.5%, Vol 6.3%, Max Drawdown -29.0%, IR -0.24) follow. Together with Precious Metals it is one of the two asset classes where neither portfolio construction earns a positive IR.</w:t>
      </w:r>
    </w:p>
    <w:p>
      <w:pPr>
        <w:pStyle w:val="ListBullet"/>
      </w:pPr>
      <w:r>
        <w:t>Momentum (Return -2.0%, Vol 13.2%, Max Drawdown -47.7%, IR -0.15) is negative in R1 (IR -0.23) and R3 (-0.31) and marginally positive in R2 (+0.11); the 2026 year to date is positive (+0.40).</w:t>
      </w:r>
    </w:p>
    <w:p>
      <w:pPr>
        <w:pStyle w:val="ListBullet"/>
      </w:pPr>
      <w:r>
        <w:t>Carry (Return -1.3%, Vol 10.0%, Max Drawdown -33.3%, IR -0.13) and Carry-Momentum (Return -2.0%, Vol 10.0%, Max Drawdown -37.5%, IR -0.20) earn a positive IR only in R2 (Carry +0.48, Carry-Momentum +0.20); both are negative in R1 (-0.20 / -0.02) and at their worst in R3 (-0.67 / -0.78), and both are negative again in the 2026 year to date (-0.50 / -0.95).</w:t>
      </w:r>
    </w:p>
    <w:p>
      <w:pPr>
        <w:pStyle w:val="ListBullet"/>
      </w:pPr>
      <w:r>
        <w:t>The long tenor pair matters little for the result. Carry IR: previous single pair (F1-F2) -0.30, long pair alone +0.08, two-pair blend -0.13. Carry-Momentum IR: previous single pair -0.08, long pair alone -0.26, two-pair blend -0.20.</w:t>
      </w:r>
    </w:p>
    <w:p>
      <w:pPr>
        <w:pStyle w:val="ListBullet"/>
      </w:pPr>
      <w:r>
        <w:t>Value (Return -0.2%, Vol 13.5%, Max Drawdown -47.9%, IR -0.01) is flat full-sample: positive in R1 (IR +0.19), negative in R2 (-0.24) and R3 (-0.07), with a strong but partial-year 2026 reading (+2.12).</w:t>
      </w:r>
    </w:p>
    <w:p>
      <w:pPr>
        <w:pStyle w:val="ListBullet"/>
      </w:pPr>
      <w:r>
        <w:t>Portfolio construction: both portfolios are positive only in R2 (Equal Weight +0.22, Inverse Vol +0.22) and negative in R1 (-0.10 / -0.24) and R3 (-0.76 / -0.67); the R3 losses drive the negative full-sample result.</w:t>
      </w:r>
    </w:p>
    <w:p>
      <w:pPr>
        <w:pStyle w:val="ListBullet"/>
      </w:pPr>
      <w:r>
        <w:t>Individual-product decomposition: no sleeve works across the six products. Momentum is negative in Corn (-0.29), Wheat (-0.19) and Soybean (-0.19) and flat to slightly positive in Soybean Oil (+0.03), Coffee (+0.11) and Sugar (+0.02). The best single product-sleeve result is Wheat Value (IR +0.19) and the weakest is Wheat Carry-Momentum (-0.40); Corn Momentum (-0.29) and Corn Value (-0.27) are the next weakest.</w:t>
      </w:r>
    </w:p>
    <w:p>
      <w:pPr>
        <w:jc w:val="center"/>
      </w:pPr>
      <w:r>
        <w:drawing>
          <wp:inline xmlns:a="http://schemas.openxmlformats.org/drawingml/2006/main" xmlns:pic="http://schemas.openxmlformats.org/drawingml/2006/picture">
            <wp:extent cx="5486400" cy="3269673"/>
            <wp:docPr id="5" name="Picture 5"/>
            <wp:cNvGraphicFramePr>
              <a:graphicFrameLocks noChangeAspect="1"/>
            </wp:cNvGraphicFramePr>
            <a:graphic>
              <a:graphicData uri="http://schemas.openxmlformats.org/drawingml/2006/picture">
                <pic:pic>
                  <pic:nvPicPr>
                    <pic:cNvPr id="0" name="fig_agri.png"/>
                    <pic:cNvPicPr/>
                  </pic:nvPicPr>
                  <pic:blipFill>
                    <a:blip r:embed="rId12"/>
                    <a:stretch>
                      <a:fillRect/>
                    </a:stretch>
                  </pic:blipFill>
                  <pic:spPr>
                    <a:xfrm>
                      <a:off x="0" y="0"/>
                      <a:ext cx="5486400" cy="3269673"/>
                    </a:xfrm>
                    <a:prstGeom prst="rect"/>
                  </pic:spPr>
                </pic:pic>
              </a:graphicData>
            </a:graphic>
          </wp:inline>
        </w:drawing>
      </w:r>
    </w:p>
    <w:p>
      <w:pPr>
        <w:jc w:val="center"/>
      </w:pPr>
      <w:r>
        <w:rPr>
          <w:b/>
          <w:sz w:val="18"/>
        </w:rPr>
        <w:t>Figure 5. Agriculture: Combined Strategy Performance (Cumulative Return, 2011-2026)</w:t>
      </w:r>
    </w:p>
    <w:p>
      <w:pPr>
        <w:pStyle w:val="Heading2"/>
      </w:pPr>
      <w:r>
        <w:t>Correlation Analysis</w:t>
      </w:r>
    </w:p>
    <w:p>
      <w:pPr>
        <w:pStyle w:val="Heading3"/>
      </w:pPr>
      <w:r>
        <w:t>Within-Asset-Class Correlation</w:t>
      </w:r>
    </w:p>
    <w:p>
      <w:pPr>
        <w:pStyle w:val="ListBullet"/>
      </w:pPr>
      <w:r>
        <w:t>Value is the least correlated sleeve with its own EW PORT in every asset class, correlating at only +0.02 in Metals, -0.10 in Energy and +0.04 in NGL. The diversification is weaker in Precious Metals (+0.12) and weakest in Agriculture (+0.31), where Value works against diversification more than anywhere else, though it is still the least correlated of the four sleeves there.</w:t>
      </w:r>
    </w:p>
    <w:p>
      <w:pPr>
        <w:pStyle w:val="ListBullet"/>
      </w:pPr>
      <w:r>
        <w:t>Momentum and Carry are the most correlated pair of base strategies in Energy (0.66), NGL (0.66) and Agriculture (0.40), both moving with the same underlying trend signal. Metals and Precious Metals each break this pattern: in both, Carry and Carry-Momentum are the closest pair (0.39 in Metals, 0.56 in Precious Metals). Value is negatively correlated with Momentum in all five asset classes (-0.49 Metals, -0.49 Energy, -0.46 NGL, -0.39 Precious Metals, -0.23 Agriculture).</w:t>
      </w:r>
    </w:p>
    <w:p>
      <w:pPr>
        <w:pStyle w:val="ListBullet"/>
      </w:pPr>
      <w:r>
        <w:t>Inverse Vol tracks its own Equal Weight portfolio closely everywhere, correlating between 0.95 and 0.99 across all five asset classes, expected since both portfolios are built from the same four sleeves and differ only in how they are weighted.</w:t>
      </w:r>
    </w:p>
    <w:p>
      <w:pPr>
        <w:pStyle w:val="Heading3"/>
      </w:pPr>
      <w:r>
        <w:t>Cross-Commodity Correlation</w:t>
      </w:r>
    </w:p>
    <w:p>
      <w:pPr>
        <w:pStyle w:val="ListBullet"/>
      </w:pPr>
      <w:r>
        <w:t>Energy and NGL are the most correlated cross-commodity pair for all six series types tracked: Momentum (0.46), Carry (0.20), Carry-Momentum (0.18), Value (0.54), EW PORT (0.33) and Inverse Vol (0.32), both trading the same underlying hydrocarbon complex.</w:t>
      </w:r>
    </w:p>
    <w:p>
      <w:pPr>
        <w:pStyle w:val="ListBullet"/>
      </w:pPr>
      <w:r>
        <w:t>Metals-Precious Metals is the second most correlated pair for Momentum (0.24), Carry (0.10) and EW PORT (0.20), despite the two asset classes having different fundamental drivers. For Value (0.25) and Carry-Momentum (0.06) the second most correlated pair is Energy-Agriculture, and Metals-Precious Metals is essentially uncorrelated for Carry-Momentum (0.01).</w:t>
      </w:r>
    </w:p>
    <w:p>
      <w:pPr>
        <w:pStyle w:val="ListBullet"/>
      </w:pPr>
      <w:r>
        <w:t>Carry-Momentum is the most genuinely diversifying strategy across commodities: its correlations to the same strategy in other asset classes average just 0.04 in magnitude, the lowest of the six series (Carry 0.06; the other four range 0.08 to 0.20), and none of its ten pairwise readings exceeds 0.18.</w:t>
      </w:r>
    </w:p>
    <w:p>
      <w:pPr>
        <w:pStyle w:val="Heading3"/>
      </w:pPr>
      <w:r>
        <w:t>Portfolio Construction Implication</w:t>
      </w:r>
    </w:p>
    <w:p>
      <w:pPr>
        <w:pStyle w:val="ListBullet"/>
      </w:pPr>
      <w:r>
        <w:t>The Cross-Pair tab shows all ten asset-class pairs. Under the EW PORT measure, Energy-NGL (0.33) and Metals-Precious Metals (0.20) are the two most correlated pairs; every other pair is at or below 0.10. The table below sets each pair's EW PORT correlation beside its full-sample IR under Equal Weight and Inverse Vol (Energy including Natural Gas).</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rPr>
                <w:sz w:val="18"/>
              </w:rPr>
              <w:t>Pair</w:t>
            </w:r>
          </w:p>
        </w:tc>
        <w:tc>
          <w:tcPr>
            <w:tcW w:type="dxa" w:w="2484"/>
          </w:tcPr>
          <w:p>
            <w:r>
              <w:rPr>
                <w:sz w:val="18"/>
              </w:rPr>
              <w:t>EW PORT correlation</w:t>
            </w:r>
          </w:p>
        </w:tc>
        <w:tc>
          <w:tcPr>
            <w:tcW w:type="dxa" w:w="2484"/>
          </w:tcPr>
          <w:p>
            <w:r>
              <w:rPr>
                <w:sz w:val="18"/>
              </w:rPr>
              <w:t>Equal Weight IR</w:t>
            </w:r>
          </w:p>
        </w:tc>
        <w:tc>
          <w:tcPr>
            <w:tcW w:type="dxa" w:w="2484"/>
          </w:tcPr>
          <w:p>
            <w:r>
              <w:rPr>
                <w:sz w:val="18"/>
              </w:rPr>
              <w:t>Inverse Vol IR</w:t>
            </w:r>
          </w:p>
        </w:tc>
      </w:tr>
      <w:tr>
        <w:tc>
          <w:tcPr>
            <w:tcW w:type="dxa" w:w="2484"/>
          </w:tcPr>
          <w:p>
            <w:r>
              <w:rPr>
                <w:sz w:val="18"/>
              </w:rPr>
              <w:t>Energy-NGL</w:t>
            </w:r>
          </w:p>
        </w:tc>
        <w:tc>
          <w:tcPr>
            <w:tcW w:type="dxa" w:w="2484"/>
          </w:tcPr>
          <w:p>
            <w:r>
              <w:rPr>
                <w:sz w:val="18"/>
              </w:rPr>
              <w:t>0.33</w:t>
            </w:r>
          </w:p>
        </w:tc>
        <w:tc>
          <w:tcPr>
            <w:tcW w:type="dxa" w:w="2484"/>
          </w:tcPr>
          <w:p>
            <w:r>
              <w:rPr>
                <w:sz w:val="18"/>
              </w:rPr>
              <w:t>+0.99</w:t>
            </w:r>
          </w:p>
        </w:tc>
        <w:tc>
          <w:tcPr>
            <w:tcW w:type="dxa" w:w="2484"/>
          </w:tcPr>
          <w:p>
            <w:r>
              <w:rPr>
                <w:sz w:val="18"/>
              </w:rPr>
              <w:t>+1.01</w:t>
            </w:r>
          </w:p>
        </w:tc>
      </w:tr>
      <w:tr>
        <w:tc>
          <w:tcPr>
            <w:tcW w:type="dxa" w:w="2484"/>
          </w:tcPr>
          <w:p>
            <w:r>
              <w:rPr>
                <w:sz w:val="18"/>
              </w:rPr>
              <w:t>Metals-NGL</w:t>
            </w:r>
          </w:p>
        </w:tc>
        <w:tc>
          <w:tcPr>
            <w:tcW w:type="dxa" w:w="2484"/>
          </w:tcPr>
          <w:p>
            <w:r>
              <w:rPr>
                <w:sz w:val="18"/>
              </w:rPr>
              <w:t>0.07</w:t>
            </w:r>
          </w:p>
        </w:tc>
        <w:tc>
          <w:tcPr>
            <w:tcW w:type="dxa" w:w="2484"/>
          </w:tcPr>
          <w:p>
            <w:r>
              <w:rPr>
                <w:sz w:val="18"/>
              </w:rPr>
              <w:t>+0.95</w:t>
            </w:r>
          </w:p>
        </w:tc>
        <w:tc>
          <w:tcPr>
            <w:tcW w:type="dxa" w:w="2484"/>
          </w:tcPr>
          <w:p>
            <w:r>
              <w:rPr>
                <w:sz w:val="18"/>
              </w:rPr>
              <w:t>+0.94</w:t>
            </w:r>
          </w:p>
        </w:tc>
      </w:tr>
      <w:tr>
        <w:tc>
          <w:tcPr>
            <w:tcW w:type="dxa" w:w="2484"/>
          </w:tcPr>
          <w:p>
            <w:r>
              <w:rPr>
                <w:sz w:val="18"/>
              </w:rPr>
              <w:t>NGL-Agriculture</w:t>
            </w:r>
          </w:p>
        </w:tc>
        <w:tc>
          <w:tcPr>
            <w:tcW w:type="dxa" w:w="2484"/>
          </w:tcPr>
          <w:p>
            <w:r>
              <w:rPr>
                <w:sz w:val="18"/>
              </w:rPr>
              <w:t>0.05</w:t>
            </w:r>
          </w:p>
        </w:tc>
        <w:tc>
          <w:tcPr>
            <w:tcW w:type="dxa" w:w="2484"/>
          </w:tcPr>
          <w:p>
            <w:r>
              <w:rPr>
                <w:sz w:val="18"/>
              </w:rPr>
              <w:t>+0.88</w:t>
            </w:r>
          </w:p>
        </w:tc>
        <w:tc>
          <w:tcPr>
            <w:tcW w:type="dxa" w:w="2484"/>
          </w:tcPr>
          <w:p>
            <w:r>
              <w:rPr>
                <w:sz w:val="18"/>
              </w:rPr>
              <w:t>+0.71</w:t>
            </w:r>
          </w:p>
        </w:tc>
      </w:tr>
      <w:tr>
        <w:tc>
          <w:tcPr>
            <w:tcW w:type="dxa" w:w="2484"/>
          </w:tcPr>
          <w:p>
            <w:r>
              <w:rPr>
                <w:sz w:val="18"/>
              </w:rPr>
              <w:t>Precious Metals-NGL</w:t>
            </w:r>
          </w:p>
        </w:tc>
        <w:tc>
          <w:tcPr>
            <w:tcW w:type="dxa" w:w="2484"/>
          </w:tcPr>
          <w:p>
            <w:r>
              <w:rPr>
                <w:sz w:val="18"/>
              </w:rPr>
              <w:t>0.03</w:t>
            </w:r>
          </w:p>
        </w:tc>
        <w:tc>
          <w:tcPr>
            <w:tcW w:type="dxa" w:w="2484"/>
          </w:tcPr>
          <w:p>
            <w:r>
              <w:rPr>
                <w:sz w:val="18"/>
              </w:rPr>
              <w:t>+0.80</w:t>
            </w:r>
          </w:p>
        </w:tc>
        <w:tc>
          <w:tcPr>
            <w:tcW w:type="dxa" w:w="2484"/>
          </w:tcPr>
          <w:p>
            <w:r>
              <w:rPr>
                <w:sz w:val="18"/>
              </w:rPr>
              <w:t>+0.47</w:t>
            </w:r>
          </w:p>
        </w:tc>
      </w:tr>
      <w:tr>
        <w:tc>
          <w:tcPr>
            <w:tcW w:type="dxa" w:w="2484"/>
          </w:tcPr>
          <w:p>
            <w:r>
              <w:rPr>
                <w:sz w:val="18"/>
              </w:rPr>
              <w:t>Metals-Energy</w:t>
            </w:r>
          </w:p>
        </w:tc>
        <w:tc>
          <w:tcPr>
            <w:tcW w:type="dxa" w:w="2484"/>
          </w:tcPr>
          <w:p>
            <w:r>
              <w:rPr>
                <w:sz w:val="18"/>
              </w:rPr>
              <w:t>0.08</w:t>
            </w:r>
          </w:p>
        </w:tc>
        <w:tc>
          <w:tcPr>
            <w:tcW w:type="dxa" w:w="2484"/>
          </w:tcPr>
          <w:p>
            <w:r>
              <w:rPr>
                <w:sz w:val="18"/>
              </w:rPr>
              <w:t>+0.41</w:t>
            </w:r>
          </w:p>
        </w:tc>
        <w:tc>
          <w:tcPr>
            <w:tcW w:type="dxa" w:w="2484"/>
          </w:tcPr>
          <w:p>
            <w:r>
              <w:rPr>
                <w:sz w:val="18"/>
              </w:rPr>
              <w:t>+0.44</w:t>
            </w:r>
          </w:p>
        </w:tc>
      </w:tr>
      <w:tr>
        <w:tc>
          <w:tcPr>
            <w:tcW w:type="dxa" w:w="2484"/>
          </w:tcPr>
          <w:p>
            <w:r>
              <w:rPr>
                <w:sz w:val="18"/>
              </w:rPr>
              <w:t>Energy-Agriculture</w:t>
            </w:r>
          </w:p>
        </w:tc>
        <w:tc>
          <w:tcPr>
            <w:tcW w:type="dxa" w:w="2484"/>
          </w:tcPr>
          <w:p>
            <w:r>
              <w:rPr>
                <w:sz w:val="18"/>
              </w:rPr>
              <w:t>0.10</w:t>
            </w:r>
          </w:p>
        </w:tc>
        <w:tc>
          <w:tcPr>
            <w:tcW w:type="dxa" w:w="2484"/>
          </w:tcPr>
          <w:p>
            <w:r>
              <w:rPr>
                <w:sz w:val="18"/>
              </w:rPr>
              <w:t>+0.33</w:t>
            </w:r>
          </w:p>
        </w:tc>
        <w:tc>
          <w:tcPr>
            <w:tcW w:type="dxa" w:w="2484"/>
          </w:tcPr>
          <w:p>
            <w:r>
              <w:rPr>
                <w:sz w:val="18"/>
              </w:rPr>
              <w:t>+0.24</w:t>
            </w:r>
          </w:p>
        </w:tc>
      </w:tr>
      <w:tr>
        <w:tc>
          <w:tcPr>
            <w:tcW w:type="dxa" w:w="2484"/>
          </w:tcPr>
          <w:p>
            <w:r>
              <w:rPr>
                <w:sz w:val="18"/>
              </w:rPr>
              <w:t>Energy-Precious Metals</w:t>
            </w:r>
          </w:p>
        </w:tc>
        <w:tc>
          <w:tcPr>
            <w:tcW w:type="dxa" w:w="2484"/>
          </w:tcPr>
          <w:p>
            <w:r>
              <w:rPr>
                <w:sz w:val="18"/>
              </w:rPr>
              <w:t>0.04</w:t>
            </w:r>
          </w:p>
        </w:tc>
        <w:tc>
          <w:tcPr>
            <w:tcW w:type="dxa" w:w="2484"/>
          </w:tcPr>
          <w:p>
            <w:r>
              <w:rPr>
                <w:sz w:val="18"/>
              </w:rPr>
              <w:t>+0.28</w:t>
            </w:r>
          </w:p>
        </w:tc>
        <w:tc>
          <w:tcPr>
            <w:tcW w:type="dxa" w:w="2484"/>
          </w:tcPr>
          <w:p>
            <w:r>
              <w:rPr>
                <w:sz w:val="18"/>
              </w:rPr>
              <w:t>+0.23</w:t>
            </w:r>
          </w:p>
        </w:tc>
      </w:tr>
      <w:tr>
        <w:tc>
          <w:tcPr>
            <w:tcW w:type="dxa" w:w="2484"/>
          </w:tcPr>
          <w:p>
            <w:r>
              <w:rPr>
                <w:sz w:val="18"/>
              </w:rPr>
              <w:t>Metals-Agriculture</w:t>
            </w:r>
          </w:p>
        </w:tc>
        <w:tc>
          <w:tcPr>
            <w:tcW w:type="dxa" w:w="2484"/>
          </w:tcPr>
          <w:p>
            <w:r>
              <w:rPr>
                <w:sz w:val="18"/>
              </w:rPr>
              <w:t>0.09</w:t>
            </w:r>
          </w:p>
        </w:tc>
        <w:tc>
          <w:tcPr>
            <w:tcW w:type="dxa" w:w="2484"/>
          </w:tcPr>
          <w:p>
            <w:r>
              <w:rPr>
                <w:sz w:val="18"/>
              </w:rPr>
              <w:t>-0.17</w:t>
            </w:r>
          </w:p>
        </w:tc>
        <w:tc>
          <w:tcPr>
            <w:tcW w:type="dxa" w:w="2484"/>
          </w:tcPr>
          <w:p>
            <w:r>
              <w:rPr>
                <w:sz w:val="18"/>
              </w:rPr>
              <w:t>-0.11</w:t>
            </w:r>
          </w:p>
        </w:tc>
      </w:tr>
      <w:tr>
        <w:tc>
          <w:tcPr>
            <w:tcW w:type="dxa" w:w="2484"/>
          </w:tcPr>
          <w:p>
            <w:r>
              <w:rPr>
                <w:sz w:val="18"/>
              </w:rPr>
              <w:t>Metals-Precious Metals</w:t>
            </w:r>
          </w:p>
        </w:tc>
        <w:tc>
          <w:tcPr>
            <w:tcW w:type="dxa" w:w="2484"/>
          </w:tcPr>
          <w:p>
            <w:r>
              <w:rPr>
                <w:sz w:val="18"/>
              </w:rPr>
              <w:t>0.20</w:t>
            </w:r>
          </w:p>
        </w:tc>
        <w:tc>
          <w:tcPr>
            <w:tcW w:type="dxa" w:w="2484"/>
          </w:tcPr>
          <w:p>
            <w:r>
              <w:rPr>
                <w:sz w:val="18"/>
              </w:rPr>
              <w:t>-0.18</w:t>
            </w:r>
          </w:p>
        </w:tc>
        <w:tc>
          <w:tcPr>
            <w:tcW w:type="dxa" w:w="2484"/>
          </w:tcPr>
          <w:p>
            <w:r>
              <w:rPr>
                <w:sz w:val="18"/>
              </w:rPr>
              <w:t>-0.03</w:t>
            </w:r>
          </w:p>
        </w:tc>
      </w:tr>
      <w:tr>
        <w:tc>
          <w:tcPr>
            <w:tcW w:type="dxa" w:w="2484"/>
          </w:tcPr>
          <w:p>
            <w:r>
              <w:rPr>
                <w:sz w:val="18"/>
              </w:rPr>
              <w:t>Precious Metals-Agriculture</w:t>
            </w:r>
          </w:p>
        </w:tc>
        <w:tc>
          <w:tcPr>
            <w:tcW w:type="dxa" w:w="2484"/>
          </w:tcPr>
          <w:p>
            <w:r>
              <w:rPr>
                <w:sz w:val="18"/>
              </w:rPr>
              <w:t>0.10</w:t>
            </w:r>
          </w:p>
        </w:tc>
        <w:tc>
          <w:tcPr>
            <w:tcW w:type="dxa" w:w="2484"/>
          </w:tcPr>
          <w:p>
            <w:r>
              <w:rPr>
                <w:sz w:val="18"/>
              </w:rPr>
              <w:t>-0.28</w:t>
            </w:r>
          </w:p>
        </w:tc>
        <w:tc>
          <w:tcPr>
            <w:tcW w:type="dxa" w:w="2484"/>
          </w:tcPr>
          <w:p>
            <w:r>
              <w:rPr>
                <w:sz w:val="18"/>
              </w:rPr>
              <w:t>-0.30</w:t>
            </w:r>
          </w:p>
        </w:tc>
      </w:tr>
    </w:tbl>
    <w:p>
      <w:pPr>
        <w:pStyle w:val="ListBullet"/>
      </w:pPr>
      <w:r>
        <w:t>Correlation and standalone performance are separate questions. Held on its own, Energy-NGL, the most correlated pair, produces the highest full-sample IR of the ten pairs under both constructions (Equal Weight +0.99, Inverse Vol +1.01), while Precious Metals-Agriculture produces the lowest (-0.28 and -0.30). Two individually strong books can still make a poor diversification pairing simply because they move together.</w:t>
      </w:r>
    </w:p>
    <w:p>
      <w:pPr>
        <w:pStyle w:val="Heading2"/>
      </w:pPr>
      <w:r>
        <w:t>Cross-Commodity Portfolio</w:t>
      </w:r>
    </w:p>
    <w:p>
      <w:pPr>
        <w:pStyle w:val="ListBullet"/>
      </w:pPr>
      <w:r>
        <w:t>Diversifying each individual strategy across all five asset classes first (equal-weighted), then combining strategies, lifts every strategy above its worst individual asset-class showing: Momentum (Return +4.6%, Vol 12.5%, Max Drawdown -36.0%, IR +0.37), Carry (Return +4.9%, Vol 8.7%, Max Drawdown -26.4%, IR +0.57), Carry-Momentum (Return +4.5%, Vol 7.9%, Max Drawdown -24.7%, IR +0.57), Value (Return +0.3%, Vol 12.1%, Max Drawdown -44.6%, IR +0.03). The worst asset-class IRs for the same strategies are -0.40, -0.13, -0.20 and -0.17.</w:t>
      </w:r>
    </w:p>
    <w:p>
      <w:pPr>
        <w:pStyle w:val="ListBullet"/>
      </w:pPr>
      <w:r>
        <w:t>At the top level, combining those four cross-commodity strategies gives Equal Weight (Return +3.6%, Vol 5.5%, Max Drawdown -18.8%, IR +0.65) and Inverse Vol (Return +4.0%, Vol 5.5%, Max Drawdown -17.2%, IR +0.72). Inverse Vol is the stronger construction, with the higher return and IR and the shallower drawdown at the same volatility.</w:t>
      </w:r>
    </w:p>
    <w:p>
      <w:pPr>
        <w:pStyle w:val="ListBullet"/>
      </w:pPr>
      <w:r>
        <w:t>The cross-commodity book is positive in every one of the three regimes under both constructions (Equal Weight R1 +0.80, R2 +1.03, R3 +0.17; Inverse Vol R1 +1.00, R2 +0.89, R3 +0.32). Among the single asset classes only Energy and NGL do the same, and both do so at more than twice the cross-commodity volatility (Equal Weight 13.4% and 13.5% against 5.5%).</w:t>
      </w:r>
    </w:p>
    <w:p>
      <w:pPr>
        <w:pStyle w:val="ListBullet"/>
      </w:pPr>
      <w:r>
        <w:t>The weakest regime for the cross-commodity book is R3 (Equal Weight IR +0.17, Inverse Vol +0.32), still positive but a fraction of the strength shown in R1 and R2. The partial 2026 window is exceptionally strong across both constructions (IR +2.25 and +2.36), led by Carry-Momentum's cross-commodity IR of +2.54 that year.</w:t>
      </w:r>
    </w:p>
    <w:p>
      <w:pPr>
        <w:pStyle w:val="ListBullet"/>
      </w:pPr>
      <w:r>
        <w:t>Excluding Natural Gas from Energy lifts the book to Equal Weight (Return +4.1%, Vol 5.8%, Max Drawdown -18.6%, IR +0.70) and Inverse Vol (Return +4.5%, Vol 5.8%, Max Drawdown -17.2%, IR +0.78). Combining in the opposite order, each asset class's four sleeves first and then the five asset-class portfolios, gives the identical Equal Weight result (IR +0.65); the three other weighting combinations give IRs of +0.54, +0.70 and +0.52 (sleeves Equal Weight / across Inverse Vol; sleeves Inverse Vol / across Equal Weight; Inverse Vol at both stages).</w:t>
      </w:r>
    </w:p>
    <w:p>
      <w:pPr>
        <w:pStyle w:val="ListBullet"/>
      </w:pPr>
      <w:r>
        <w:t>Across all ten asset-class pairings, Energy-NGL is the best-performing combination under both constructions (Equal Weight +0.99, Inverse Vol +1.01) even though it is the most correlated pair. The only pairs with a negative full-sample IR under either construction are the three built from Metals, Precious Metals and Agriculture alone: Metals-Precious Metals (-0.18 / -0.03), Metals-Agriculture (-0.17 / -0.11) and Precious Metals-Agriculture (-0.28 / -0.30), and each is negative in both R2 and R3 under Equal Weight, consistent with those three asset classes' own EW PORT IRs of -0.04, -0.21 and -0.21. Metals-NGL is the most construction-robust pair (Equal Weight +0.95, Inverse Vol +0.94), while Inverse Vol's effect is otherwise uneven: it pulls down Precious Metals-NGL most (+0.80 to +0.47), consistent with inverse-vol weighting dialing down NGL's higher-volatility portfolio (13.5% against 8.6% for Precious Metals). Replacing Energy with Energy ex-NatGas lifts all four Energy pairs under Equal Weight.</w:t>
      </w:r>
    </w:p>
    <w:p>
      <w:pPr>
        <w:pStyle w:val="ListBullet"/>
      </w:pPr>
      <w:r>
        <w:t>Benchmarked against traditional assets, the cross-commodity book is a genuine diversifier rather than repackaged commodity beta: both constructions correlate negatively with Equity (Equal Weight -0.19, Inverse Vol -0.20) and with a traditional 60/40 portfolio (-0.19, -0.20), stay close to zero against Fixed Income (-0.03, -0.03), and are also negatively correlated with a passive Commodity Index (-0.07, -0.07), confirming these are genuinely active long/short signals, not disguised long-only commodity exposure. Value is the one exception, the only strategy positively correlated with Equity and the 60/40 portfolio (+0.09, +0.09); among the base strategies, Value is the most negatively correlated with Gold (-0.15), while Momentum, Carry and Carry-Momentum are essentially uncorrelated with it (+0.01, -0.01, -0.01). The correlations use daily returns of the SPY, AGG, DBC and GLD ETFs on the days they share with the strategy series, from 2011 to 23 September 2026. Full detail in the Appendix.</w:t>
      </w:r>
    </w:p>
    <w:p>
      <w:pPr>
        <w:jc w:val="center"/>
      </w:pPr>
      <w:r>
        <w:drawing>
          <wp:inline xmlns:a="http://schemas.openxmlformats.org/drawingml/2006/main" xmlns:pic="http://schemas.openxmlformats.org/drawingml/2006/picture">
            <wp:extent cx="5486400" cy="3269673"/>
            <wp:docPr id="6" name="Picture 6"/>
            <wp:cNvGraphicFramePr>
              <a:graphicFrameLocks noChangeAspect="1"/>
            </wp:cNvGraphicFramePr>
            <a:graphic>
              <a:graphicData uri="http://schemas.openxmlformats.org/drawingml/2006/picture">
                <pic:pic>
                  <pic:nvPicPr>
                    <pic:cNvPr id="0" name="fig_cross.png"/>
                    <pic:cNvPicPr/>
                  </pic:nvPicPr>
                  <pic:blipFill>
                    <a:blip r:embed="rId13"/>
                    <a:stretch>
                      <a:fillRect/>
                    </a:stretch>
                  </pic:blipFill>
                  <pic:spPr>
                    <a:xfrm>
                      <a:off x="0" y="0"/>
                      <a:ext cx="5486400" cy="3269673"/>
                    </a:xfrm>
                    <a:prstGeom prst="rect"/>
                  </pic:spPr>
                </pic:pic>
              </a:graphicData>
            </a:graphic>
          </wp:inline>
        </w:drawing>
      </w:r>
    </w:p>
    <w:p>
      <w:pPr>
        <w:jc w:val="center"/>
      </w:pPr>
      <w:r>
        <w:rPr>
          <w:b/>
          <w:sz w:val="18"/>
        </w:rPr>
        <w:t>Figure 6. Cross-Commodity Portfolio: Combined Strategy Performance (Cumulative Return, 2011-2026)</w:t>
      </w:r>
    </w:p>
    <w:p>
      <w:r>
        <w:br w:type="page"/>
      </w:r>
    </w:p>
    <w:p>
      <w:pPr>
        <w:pStyle w:val="Heading2"/>
      </w:pPr>
      <w:r>
        <w:t>Appendix: Regime-Level Detail</w:t>
      </w:r>
    </w:p>
    <w:p>
      <w:pPr/>
      <w:r>
        <w:rPr>
          <w:b/>
          <w:sz w:val="18"/>
        </w:rPr>
        <w:t>Table A1. Metals: Strategy Information Ratios by Regime</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tc>
        <w:tc>
          <w:tcPr>
            <w:tcW w:type="dxa" w:w="1656"/>
          </w:tcPr>
          <w:p>
            <w:r>
              <w:rPr>
                <w:sz w:val="18"/>
              </w:rPr>
              <w:t>Full</w:t>
            </w:r>
          </w:p>
        </w:tc>
        <w:tc>
          <w:tcPr>
            <w:tcW w:type="dxa" w:w="1656"/>
          </w:tcPr>
          <w:p>
            <w:r>
              <w:rPr>
                <w:sz w:val="18"/>
              </w:rPr>
              <w:t>2011-16</w:t>
            </w:r>
          </w:p>
        </w:tc>
        <w:tc>
          <w:tcPr>
            <w:tcW w:type="dxa" w:w="1656"/>
          </w:tcPr>
          <w:p>
            <w:r>
              <w:rPr>
                <w:sz w:val="18"/>
              </w:rPr>
              <w:t>2017-21</w:t>
            </w:r>
          </w:p>
        </w:tc>
        <w:tc>
          <w:tcPr>
            <w:tcW w:type="dxa" w:w="1656"/>
          </w:tcPr>
          <w:p>
            <w:r>
              <w:rPr>
                <w:sz w:val="18"/>
              </w:rPr>
              <w:t>2022-26</w:t>
            </w:r>
          </w:p>
        </w:tc>
        <w:tc>
          <w:tcPr>
            <w:tcW w:type="dxa" w:w="1656"/>
          </w:tcPr>
          <w:p>
            <w:r>
              <w:rPr>
                <w:sz w:val="18"/>
              </w:rPr>
              <w:t>2026+</w:t>
            </w:r>
          </w:p>
        </w:tc>
      </w:tr>
      <w:tr>
        <w:tc>
          <w:tcPr>
            <w:tcW w:type="dxa" w:w="1656"/>
          </w:tcPr>
          <w:p>
            <w:r>
              <w:rPr>
                <w:sz w:val="18"/>
              </w:rPr>
              <w:t>Momentum</w:t>
            </w:r>
          </w:p>
        </w:tc>
        <w:tc>
          <w:tcPr>
            <w:tcW w:type="dxa" w:w="1656"/>
          </w:tcPr>
          <w:p>
            <w:r>
              <w:rPr>
                <w:sz w:val="18"/>
              </w:rPr>
              <w:t>-0.40</w:t>
            </w:r>
          </w:p>
        </w:tc>
        <w:tc>
          <w:tcPr>
            <w:tcW w:type="dxa" w:w="1656"/>
          </w:tcPr>
          <w:p>
            <w:r>
              <w:rPr>
                <w:sz w:val="18"/>
              </w:rPr>
              <w:t>-0.60</w:t>
            </w:r>
          </w:p>
        </w:tc>
        <w:tc>
          <w:tcPr>
            <w:tcW w:type="dxa" w:w="1656"/>
          </w:tcPr>
          <w:p>
            <w:r>
              <w:rPr>
                <w:sz w:val="18"/>
              </w:rPr>
              <w:t>+0.05</w:t>
            </w:r>
          </w:p>
        </w:tc>
        <w:tc>
          <w:tcPr>
            <w:tcW w:type="dxa" w:w="1656"/>
          </w:tcPr>
          <w:p>
            <w:r>
              <w:rPr>
                <w:sz w:val="18"/>
              </w:rPr>
              <w:t>-0.55</w:t>
            </w:r>
          </w:p>
        </w:tc>
        <w:tc>
          <w:tcPr>
            <w:tcW w:type="dxa" w:w="1656"/>
          </w:tcPr>
          <w:p>
            <w:r>
              <w:rPr>
                <w:sz w:val="18"/>
              </w:rPr>
              <w:t>+1.05</w:t>
            </w:r>
          </w:p>
        </w:tc>
      </w:tr>
      <w:tr>
        <w:tc>
          <w:tcPr>
            <w:tcW w:type="dxa" w:w="1656"/>
          </w:tcPr>
          <w:p>
            <w:r>
              <w:rPr>
                <w:sz w:val="18"/>
              </w:rPr>
              <w:t>Carry</w:t>
            </w:r>
          </w:p>
        </w:tc>
        <w:tc>
          <w:tcPr>
            <w:tcW w:type="dxa" w:w="1656"/>
          </w:tcPr>
          <w:p>
            <w:r>
              <w:rPr>
                <w:sz w:val="18"/>
              </w:rPr>
              <w:t>+0.12</w:t>
            </w:r>
          </w:p>
        </w:tc>
        <w:tc>
          <w:tcPr>
            <w:tcW w:type="dxa" w:w="1656"/>
          </w:tcPr>
          <w:p>
            <w:r>
              <w:rPr>
                <w:sz w:val="18"/>
              </w:rPr>
              <w:t>+0.61</w:t>
            </w:r>
          </w:p>
        </w:tc>
        <w:tc>
          <w:tcPr>
            <w:tcW w:type="dxa" w:w="1656"/>
          </w:tcPr>
          <w:p>
            <w:r>
              <w:rPr>
                <w:sz w:val="18"/>
              </w:rPr>
              <w:t>-0.39</w:t>
            </w:r>
          </w:p>
        </w:tc>
        <w:tc>
          <w:tcPr>
            <w:tcW w:type="dxa" w:w="1656"/>
          </w:tcPr>
          <w:p>
            <w:r>
              <w:rPr>
                <w:sz w:val="18"/>
              </w:rPr>
              <w:t>-0.04</w:t>
            </w:r>
          </w:p>
        </w:tc>
        <w:tc>
          <w:tcPr>
            <w:tcW w:type="dxa" w:w="1656"/>
          </w:tcPr>
          <w:p>
            <w:r>
              <w:rPr>
                <w:sz w:val="18"/>
              </w:rPr>
              <w:t>+0.11</w:t>
            </w:r>
          </w:p>
        </w:tc>
      </w:tr>
      <w:tr>
        <w:tc>
          <w:tcPr>
            <w:tcW w:type="dxa" w:w="1656"/>
          </w:tcPr>
          <w:p>
            <w:r>
              <w:rPr>
                <w:sz w:val="18"/>
              </w:rPr>
              <w:t>Carry-Momentum</w:t>
            </w:r>
          </w:p>
        </w:tc>
        <w:tc>
          <w:tcPr>
            <w:tcW w:type="dxa" w:w="1656"/>
          </w:tcPr>
          <w:p>
            <w:r>
              <w:rPr>
                <w:sz w:val="18"/>
              </w:rPr>
              <w:t>-0.09</w:t>
            </w:r>
          </w:p>
        </w:tc>
        <w:tc>
          <w:tcPr>
            <w:tcW w:type="dxa" w:w="1656"/>
          </w:tcPr>
          <w:p>
            <w:r>
              <w:rPr>
                <w:sz w:val="18"/>
              </w:rPr>
              <w:t>+0.74</w:t>
            </w:r>
          </w:p>
        </w:tc>
        <w:tc>
          <w:tcPr>
            <w:tcW w:type="dxa" w:w="1656"/>
          </w:tcPr>
          <w:p>
            <w:r>
              <w:rPr>
                <w:sz w:val="18"/>
              </w:rPr>
              <w:t>-0.69</w:t>
            </w:r>
          </w:p>
        </w:tc>
        <w:tc>
          <w:tcPr>
            <w:tcW w:type="dxa" w:w="1656"/>
          </w:tcPr>
          <w:p>
            <w:r>
              <w:rPr>
                <w:sz w:val="18"/>
              </w:rPr>
              <w:t>-0.52</w:t>
            </w:r>
          </w:p>
        </w:tc>
        <w:tc>
          <w:tcPr>
            <w:tcW w:type="dxa" w:w="1656"/>
          </w:tcPr>
          <w:p>
            <w:r>
              <w:rPr>
                <w:sz w:val="18"/>
              </w:rPr>
              <w:t>+1.56</w:t>
            </w:r>
          </w:p>
        </w:tc>
      </w:tr>
      <w:tr>
        <w:tc>
          <w:tcPr>
            <w:tcW w:type="dxa" w:w="1656"/>
          </w:tcPr>
          <w:p>
            <w:r>
              <w:rPr>
                <w:sz w:val="18"/>
              </w:rPr>
              <w:t>Value</w:t>
            </w:r>
          </w:p>
        </w:tc>
        <w:tc>
          <w:tcPr>
            <w:tcW w:type="dxa" w:w="1656"/>
          </w:tcPr>
          <w:p>
            <w:r>
              <w:rPr>
                <w:sz w:val="18"/>
              </w:rPr>
              <w:t>+0.47</w:t>
            </w:r>
          </w:p>
        </w:tc>
        <w:tc>
          <w:tcPr>
            <w:tcW w:type="dxa" w:w="1656"/>
          </w:tcPr>
          <w:p>
            <w:r>
              <w:rPr>
                <w:sz w:val="18"/>
              </w:rPr>
              <w:t>+0.59</w:t>
            </w:r>
          </w:p>
        </w:tc>
        <w:tc>
          <w:tcPr>
            <w:tcW w:type="dxa" w:w="1656"/>
          </w:tcPr>
          <w:p>
            <w:r>
              <w:rPr>
                <w:sz w:val="18"/>
              </w:rPr>
              <w:t>+0.08</w:t>
            </w:r>
          </w:p>
        </w:tc>
        <w:tc>
          <w:tcPr>
            <w:tcW w:type="dxa" w:w="1656"/>
          </w:tcPr>
          <w:p>
            <w:r>
              <w:rPr>
                <w:sz w:val="18"/>
              </w:rPr>
              <w:t>+0.76</w:t>
            </w:r>
          </w:p>
        </w:tc>
        <w:tc>
          <w:tcPr>
            <w:tcW w:type="dxa" w:w="1656"/>
          </w:tcPr>
          <w:p>
            <w:r>
              <w:rPr>
                <w:sz w:val="18"/>
              </w:rPr>
              <w:t>-0.90</w:t>
            </w:r>
          </w:p>
        </w:tc>
      </w:tr>
    </w:tbl>
    <w:p/>
    <w:p>
      <w:pPr/>
      <w:r>
        <w:rPr>
          <w:b/>
          <w:sz w:val="18"/>
        </w:rPr>
        <w:t>Table A2. Metals: Portfolio Construction Information Ratios by Regime</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tc>
        <w:tc>
          <w:tcPr>
            <w:tcW w:type="dxa" w:w="1656"/>
          </w:tcPr>
          <w:p>
            <w:r>
              <w:rPr>
                <w:sz w:val="18"/>
              </w:rPr>
              <w:t>Full</w:t>
            </w:r>
          </w:p>
        </w:tc>
        <w:tc>
          <w:tcPr>
            <w:tcW w:type="dxa" w:w="1656"/>
          </w:tcPr>
          <w:p>
            <w:r>
              <w:rPr>
                <w:sz w:val="18"/>
              </w:rPr>
              <w:t>2011-16</w:t>
            </w:r>
          </w:p>
        </w:tc>
        <w:tc>
          <w:tcPr>
            <w:tcW w:type="dxa" w:w="1656"/>
          </w:tcPr>
          <w:p>
            <w:r>
              <w:rPr>
                <w:sz w:val="18"/>
              </w:rPr>
              <w:t>2017-21</w:t>
            </w:r>
          </w:p>
        </w:tc>
        <w:tc>
          <w:tcPr>
            <w:tcW w:type="dxa" w:w="1656"/>
          </w:tcPr>
          <w:p>
            <w:r>
              <w:rPr>
                <w:sz w:val="18"/>
              </w:rPr>
              <w:t>2022-26</w:t>
            </w:r>
          </w:p>
        </w:tc>
        <w:tc>
          <w:tcPr>
            <w:tcW w:type="dxa" w:w="1656"/>
          </w:tcPr>
          <w:p>
            <w:r>
              <w:rPr>
                <w:sz w:val="18"/>
              </w:rPr>
              <w:t>2026+</w:t>
            </w:r>
          </w:p>
        </w:tc>
      </w:tr>
      <w:tr>
        <w:tc>
          <w:tcPr>
            <w:tcW w:type="dxa" w:w="1656"/>
          </w:tcPr>
          <w:p>
            <w:r>
              <w:rPr>
                <w:sz w:val="18"/>
              </w:rPr>
              <w:t>Equal Weight</w:t>
            </w:r>
          </w:p>
        </w:tc>
        <w:tc>
          <w:tcPr>
            <w:tcW w:type="dxa" w:w="1656"/>
          </w:tcPr>
          <w:p>
            <w:r>
              <w:rPr>
                <w:sz w:val="18"/>
              </w:rPr>
              <w:t>-0.04</w:t>
            </w:r>
          </w:p>
        </w:tc>
        <w:tc>
          <w:tcPr>
            <w:tcW w:type="dxa" w:w="1656"/>
          </w:tcPr>
          <w:p>
            <w:r>
              <w:rPr>
                <w:sz w:val="18"/>
              </w:rPr>
              <w:t>+0.42</w:t>
            </w:r>
          </w:p>
        </w:tc>
        <w:tc>
          <w:tcPr>
            <w:tcW w:type="dxa" w:w="1656"/>
          </w:tcPr>
          <w:p>
            <w:r>
              <w:rPr>
                <w:sz w:val="18"/>
              </w:rPr>
              <w:t>-0.44</w:t>
            </w:r>
          </w:p>
        </w:tc>
        <w:tc>
          <w:tcPr>
            <w:tcW w:type="dxa" w:w="1656"/>
          </w:tcPr>
          <w:p>
            <w:r>
              <w:rPr>
                <w:sz w:val="18"/>
              </w:rPr>
              <w:t>-0.26</w:t>
            </w:r>
          </w:p>
        </w:tc>
        <w:tc>
          <w:tcPr>
            <w:tcW w:type="dxa" w:w="1656"/>
          </w:tcPr>
          <w:p>
            <w:r>
              <w:rPr>
                <w:sz w:val="18"/>
              </w:rPr>
              <w:t>+0.80</w:t>
            </w:r>
          </w:p>
        </w:tc>
      </w:tr>
      <w:tr>
        <w:tc>
          <w:tcPr>
            <w:tcW w:type="dxa" w:w="1656"/>
          </w:tcPr>
          <w:p>
            <w:r>
              <w:rPr>
                <w:sz w:val="18"/>
              </w:rPr>
              <w:t>Inverse Vol</w:t>
            </w:r>
          </w:p>
        </w:tc>
        <w:tc>
          <w:tcPr>
            <w:tcW w:type="dxa" w:w="1656"/>
          </w:tcPr>
          <w:p>
            <w:r>
              <w:rPr>
                <w:sz w:val="18"/>
              </w:rPr>
              <w:t>+0.11</w:t>
            </w:r>
          </w:p>
        </w:tc>
        <w:tc>
          <w:tcPr>
            <w:tcW w:type="dxa" w:w="1656"/>
          </w:tcPr>
          <w:p>
            <w:r>
              <w:rPr>
                <w:sz w:val="18"/>
              </w:rPr>
              <w:t>+0.61</w:t>
            </w:r>
          </w:p>
        </w:tc>
        <w:tc>
          <w:tcPr>
            <w:tcW w:type="dxa" w:w="1656"/>
          </w:tcPr>
          <w:p>
            <w:r>
              <w:rPr>
                <w:sz w:val="18"/>
              </w:rPr>
              <w:t>-0.44</w:t>
            </w:r>
          </w:p>
        </w:tc>
        <w:tc>
          <w:tcPr>
            <w:tcW w:type="dxa" w:w="1656"/>
          </w:tcPr>
          <w:p>
            <w:r>
              <w:rPr>
                <w:sz w:val="18"/>
              </w:rPr>
              <w:t>+0.03</w:t>
            </w:r>
          </w:p>
        </w:tc>
        <w:tc>
          <w:tcPr>
            <w:tcW w:type="dxa" w:w="1656"/>
          </w:tcPr>
          <w:p>
            <w:r>
              <w:rPr>
                <w:sz w:val="18"/>
              </w:rPr>
              <w:t>+0.79</w:t>
            </w:r>
          </w:p>
        </w:tc>
      </w:tr>
    </w:tbl>
    <w:p/>
    <w:p>
      <w:pPr/>
      <w:r>
        <w:rPr>
          <w:b/>
          <w:sz w:val="18"/>
        </w:rPr>
        <w:t>Table A3. Metals: Individual-Metal Information Ratios, All Strategies (Full Sample)</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tc>
        <w:tc>
          <w:tcPr>
            <w:tcW w:type="dxa" w:w="1987"/>
          </w:tcPr>
          <w:p>
            <w:r>
              <w:rPr>
                <w:sz w:val="18"/>
              </w:rPr>
              <w:t>Copper</w:t>
            </w:r>
          </w:p>
        </w:tc>
        <w:tc>
          <w:tcPr>
            <w:tcW w:type="dxa" w:w="1987"/>
          </w:tcPr>
          <w:p>
            <w:r>
              <w:rPr>
                <w:sz w:val="18"/>
              </w:rPr>
              <w:t>Aluminium</w:t>
            </w:r>
          </w:p>
        </w:tc>
        <w:tc>
          <w:tcPr>
            <w:tcW w:type="dxa" w:w="1987"/>
          </w:tcPr>
          <w:p>
            <w:r>
              <w:rPr>
                <w:sz w:val="18"/>
              </w:rPr>
              <w:t>Lead</w:t>
            </w:r>
          </w:p>
        </w:tc>
        <w:tc>
          <w:tcPr>
            <w:tcW w:type="dxa" w:w="1987"/>
          </w:tcPr>
          <w:p>
            <w:r>
              <w:rPr>
                <w:sz w:val="18"/>
              </w:rPr>
              <w:t>Zinc</w:t>
            </w:r>
          </w:p>
        </w:tc>
      </w:tr>
      <w:tr>
        <w:tc>
          <w:tcPr>
            <w:tcW w:type="dxa" w:w="1987"/>
          </w:tcPr>
          <w:p>
            <w:r>
              <w:rPr>
                <w:sz w:val="18"/>
              </w:rPr>
              <w:t>Momentum</w:t>
            </w:r>
          </w:p>
        </w:tc>
        <w:tc>
          <w:tcPr>
            <w:tcW w:type="dxa" w:w="1987"/>
          </w:tcPr>
          <w:p>
            <w:r>
              <w:rPr>
                <w:sz w:val="18"/>
              </w:rPr>
              <w:t>-0.40</w:t>
            </w:r>
          </w:p>
        </w:tc>
        <w:tc>
          <w:tcPr>
            <w:tcW w:type="dxa" w:w="1987"/>
          </w:tcPr>
          <w:p>
            <w:r>
              <w:rPr>
                <w:sz w:val="18"/>
              </w:rPr>
              <w:t>+0.22</w:t>
            </w:r>
          </w:p>
        </w:tc>
        <w:tc>
          <w:tcPr>
            <w:tcW w:type="dxa" w:w="1987"/>
          </w:tcPr>
          <w:p>
            <w:r>
              <w:rPr>
                <w:sz w:val="18"/>
              </w:rPr>
              <w:t>-0.59</w:t>
            </w:r>
          </w:p>
        </w:tc>
        <w:tc>
          <w:tcPr>
            <w:tcW w:type="dxa" w:w="1987"/>
          </w:tcPr>
          <w:p>
            <w:r>
              <w:rPr>
                <w:sz w:val="18"/>
              </w:rPr>
              <w:t>-0.27</w:t>
            </w:r>
          </w:p>
        </w:tc>
      </w:tr>
      <w:tr>
        <w:tc>
          <w:tcPr>
            <w:tcW w:type="dxa" w:w="1987"/>
          </w:tcPr>
          <w:p>
            <w:r>
              <w:rPr>
                <w:sz w:val="18"/>
              </w:rPr>
              <w:t>Carry</w:t>
            </w:r>
          </w:p>
        </w:tc>
        <w:tc>
          <w:tcPr>
            <w:tcW w:type="dxa" w:w="1987"/>
          </w:tcPr>
          <w:p>
            <w:r>
              <w:rPr>
                <w:sz w:val="18"/>
              </w:rPr>
              <w:t>+0.18</w:t>
            </w:r>
          </w:p>
        </w:tc>
        <w:tc>
          <w:tcPr>
            <w:tcW w:type="dxa" w:w="1987"/>
          </w:tcPr>
          <w:p>
            <w:r>
              <w:rPr>
                <w:sz w:val="18"/>
              </w:rPr>
              <w:t>+0.36</w:t>
            </w:r>
          </w:p>
        </w:tc>
        <w:tc>
          <w:tcPr>
            <w:tcW w:type="dxa" w:w="1987"/>
          </w:tcPr>
          <w:p>
            <w:r>
              <w:rPr>
                <w:sz w:val="18"/>
              </w:rPr>
              <w:t>-0.20</w:t>
            </w:r>
          </w:p>
        </w:tc>
        <w:tc>
          <w:tcPr>
            <w:tcW w:type="dxa" w:w="1987"/>
          </w:tcPr>
          <w:p>
            <w:r>
              <w:rPr>
                <w:sz w:val="18"/>
              </w:rPr>
              <w:t>+0.02</w:t>
            </w:r>
          </w:p>
        </w:tc>
      </w:tr>
      <w:tr>
        <w:tc>
          <w:tcPr>
            <w:tcW w:type="dxa" w:w="1987"/>
          </w:tcPr>
          <w:p>
            <w:r>
              <w:rPr>
                <w:sz w:val="18"/>
              </w:rPr>
              <w:t>Carry-Momentum</w:t>
            </w:r>
          </w:p>
        </w:tc>
        <w:tc>
          <w:tcPr>
            <w:tcW w:type="dxa" w:w="1987"/>
          </w:tcPr>
          <w:p>
            <w:r>
              <w:rPr>
                <w:sz w:val="18"/>
              </w:rPr>
              <w:t>+0.18</w:t>
            </w:r>
          </w:p>
        </w:tc>
        <w:tc>
          <w:tcPr>
            <w:tcW w:type="dxa" w:w="1987"/>
          </w:tcPr>
          <w:p>
            <w:r>
              <w:rPr>
                <w:sz w:val="18"/>
              </w:rPr>
              <w:t>-0.02</w:t>
            </w:r>
          </w:p>
        </w:tc>
        <w:tc>
          <w:tcPr>
            <w:tcW w:type="dxa" w:w="1987"/>
          </w:tcPr>
          <w:p>
            <w:r>
              <w:rPr>
                <w:sz w:val="18"/>
              </w:rPr>
              <w:t>-0.12</w:t>
            </w:r>
          </w:p>
        </w:tc>
        <w:tc>
          <w:tcPr>
            <w:tcW w:type="dxa" w:w="1987"/>
          </w:tcPr>
          <w:p>
            <w:r>
              <w:rPr>
                <w:sz w:val="18"/>
              </w:rPr>
              <w:t>-0.21</w:t>
            </w:r>
          </w:p>
        </w:tc>
      </w:tr>
      <w:tr>
        <w:tc>
          <w:tcPr>
            <w:tcW w:type="dxa" w:w="1987"/>
          </w:tcPr>
          <w:p>
            <w:r>
              <w:rPr>
                <w:sz w:val="18"/>
              </w:rPr>
              <w:t>Value</w:t>
            </w:r>
          </w:p>
        </w:tc>
        <w:tc>
          <w:tcPr>
            <w:tcW w:type="dxa" w:w="1987"/>
          </w:tcPr>
          <w:p>
            <w:r>
              <w:rPr>
                <w:sz w:val="18"/>
              </w:rPr>
              <w:t>+0.22</w:t>
            </w:r>
          </w:p>
        </w:tc>
        <w:tc>
          <w:tcPr>
            <w:tcW w:type="dxa" w:w="1987"/>
          </w:tcPr>
          <w:p>
            <w:r>
              <w:rPr>
                <w:sz w:val="18"/>
              </w:rPr>
              <w:t>+0.19</w:t>
            </w:r>
          </w:p>
        </w:tc>
        <w:tc>
          <w:tcPr>
            <w:tcW w:type="dxa" w:w="1987"/>
          </w:tcPr>
          <w:p>
            <w:r>
              <w:rPr>
                <w:sz w:val="18"/>
              </w:rPr>
              <w:t>+0.54</w:t>
            </w:r>
          </w:p>
        </w:tc>
        <w:tc>
          <w:tcPr>
            <w:tcW w:type="dxa" w:w="1987"/>
          </w:tcPr>
          <w:p>
            <w:r>
              <w:rPr>
                <w:sz w:val="18"/>
              </w:rPr>
              <w:t>+0.34</w:t>
            </w:r>
          </w:p>
        </w:tc>
      </w:tr>
    </w:tbl>
    <w:p/>
    <w:p>
      <w:pPr/>
      <w:r>
        <w:rPr>
          <w:b/>
          <w:sz w:val="18"/>
        </w:rPr>
        <w:t>Table A4. Energy: Strategy Information Ratios by Regime</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tc>
        <w:tc>
          <w:tcPr>
            <w:tcW w:type="dxa" w:w="1656"/>
          </w:tcPr>
          <w:p>
            <w:r>
              <w:rPr>
                <w:sz w:val="18"/>
              </w:rPr>
              <w:t>Full</w:t>
            </w:r>
          </w:p>
        </w:tc>
        <w:tc>
          <w:tcPr>
            <w:tcW w:type="dxa" w:w="1656"/>
          </w:tcPr>
          <w:p>
            <w:r>
              <w:rPr>
                <w:sz w:val="18"/>
              </w:rPr>
              <w:t>2011-16</w:t>
            </w:r>
          </w:p>
        </w:tc>
        <w:tc>
          <w:tcPr>
            <w:tcW w:type="dxa" w:w="1656"/>
          </w:tcPr>
          <w:p>
            <w:r>
              <w:rPr>
                <w:sz w:val="18"/>
              </w:rPr>
              <w:t>2017-21</w:t>
            </w:r>
          </w:p>
        </w:tc>
        <w:tc>
          <w:tcPr>
            <w:tcW w:type="dxa" w:w="1656"/>
          </w:tcPr>
          <w:p>
            <w:r>
              <w:rPr>
                <w:sz w:val="18"/>
              </w:rPr>
              <w:t>2022-26</w:t>
            </w:r>
          </w:p>
        </w:tc>
        <w:tc>
          <w:tcPr>
            <w:tcW w:type="dxa" w:w="1656"/>
          </w:tcPr>
          <w:p>
            <w:r>
              <w:rPr>
                <w:sz w:val="18"/>
              </w:rPr>
              <w:t>2026+</w:t>
            </w:r>
          </w:p>
        </w:tc>
      </w:tr>
      <w:tr>
        <w:tc>
          <w:tcPr>
            <w:tcW w:type="dxa" w:w="1656"/>
          </w:tcPr>
          <w:p>
            <w:r>
              <w:rPr>
                <w:sz w:val="18"/>
              </w:rPr>
              <w:t>Momentum</w:t>
            </w:r>
          </w:p>
        </w:tc>
        <w:tc>
          <w:tcPr>
            <w:tcW w:type="dxa" w:w="1656"/>
          </w:tcPr>
          <w:p>
            <w:r>
              <w:rPr>
                <w:sz w:val="18"/>
              </w:rPr>
              <w:t>+0.47</w:t>
            </w:r>
          </w:p>
        </w:tc>
        <w:tc>
          <w:tcPr>
            <w:tcW w:type="dxa" w:w="1656"/>
          </w:tcPr>
          <w:p>
            <w:r>
              <w:rPr>
                <w:sz w:val="18"/>
              </w:rPr>
              <w:t>+0.53</w:t>
            </w:r>
          </w:p>
        </w:tc>
        <w:tc>
          <w:tcPr>
            <w:tcW w:type="dxa" w:w="1656"/>
          </w:tcPr>
          <w:p>
            <w:r>
              <w:rPr>
                <w:sz w:val="18"/>
              </w:rPr>
              <w:t>+0.64</w:t>
            </w:r>
          </w:p>
        </w:tc>
        <w:tc>
          <w:tcPr>
            <w:tcW w:type="dxa" w:w="1656"/>
          </w:tcPr>
          <w:p>
            <w:r>
              <w:rPr>
                <w:sz w:val="18"/>
              </w:rPr>
              <w:t>+0.24</w:t>
            </w:r>
          </w:p>
        </w:tc>
        <w:tc>
          <w:tcPr>
            <w:tcW w:type="dxa" w:w="1656"/>
          </w:tcPr>
          <w:p>
            <w:r>
              <w:rPr>
                <w:sz w:val="18"/>
              </w:rPr>
              <w:t>+2.19</w:t>
            </w:r>
          </w:p>
        </w:tc>
      </w:tr>
      <w:tr>
        <w:tc>
          <w:tcPr>
            <w:tcW w:type="dxa" w:w="1656"/>
          </w:tcPr>
          <w:p>
            <w:r>
              <w:rPr>
                <w:sz w:val="18"/>
              </w:rPr>
              <w:t>Carry</w:t>
            </w:r>
          </w:p>
        </w:tc>
        <w:tc>
          <w:tcPr>
            <w:tcW w:type="dxa" w:w="1656"/>
          </w:tcPr>
          <w:p>
            <w:r>
              <w:rPr>
                <w:sz w:val="18"/>
              </w:rPr>
              <w:t>+0.26</w:t>
            </w:r>
          </w:p>
        </w:tc>
        <w:tc>
          <w:tcPr>
            <w:tcW w:type="dxa" w:w="1656"/>
          </w:tcPr>
          <w:p>
            <w:r>
              <w:rPr>
                <w:sz w:val="18"/>
              </w:rPr>
              <w:t>+0.34</w:t>
            </w:r>
          </w:p>
        </w:tc>
        <w:tc>
          <w:tcPr>
            <w:tcW w:type="dxa" w:w="1656"/>
          </w:tcPr>
          <w:p>
            <w:r>
              <w:rPr>
                <w:sz w:val="18"/>
              </w:rPr>
              <w:t>+0.42</w:t>
            </w:r>
          </w:p>
        </w:tc>
        <w:tc>
          <w:tcPr>
            <w:tcW w:type="dxa" w:w="1656"/>
          </w:tcPr>
          <w:p>
            <w:r>
              <w:rPr>
                <w:sz w:val="18"/>
              </w:rPr>
              <w:t>+0.02</w:t>
            </w:r>
          </w:p>
        </w:tc>
        <w:tc>
          <w:tcPr>
            <w:tcW w:type="dxa" w:w="1656"/>
          </w:tcPr>
          <w:p>
            <w:r>
              <w:rPr>
                <w:sz w:val="18"/>
              </w:rPr>
              <w:t>+0.89</w:t>
            </w:r>
          </w:p>
        </w:tc>
      </w:tr>
      <w:tr>
        <w:tc>
          <w:tcPr>
            <w:tcW w:type="dxa" w:w="1656"/>
          </w:tcPr>
          <w:p>
            <w:r>
              <w:rPr>
                <w:sz w:val="18"/>
              </w:rPr>
              <w:t>Carry-Momentum</w:t>
            </w:r>
          </w:p>
        </w:tc>
        <w:tc>
          <w:tcPr>
            <w:tcW w:type="dxa" w:w="1656"/>
          </w:tcPr>
          <w:p>
            <w:r>
              <w:rPr>
                <w:sz w:val="18"/>
              </w:rPr>
              <w:t>+0.58</w:t>
            </w:r>
          </w:p>
        </w:tc>
        <w:tc>
          <w:tcPr>
            <w:tcW w:type="dxa" w:w="1656"/>
          </w:tcPr>
          <w:p>
            <w:r>
              <w:rPr>
                <w:sz w:val="18"/>
              </w:rPr>
              <w:t>+0.54</w:t>
            </w:r>
          </w:p>
        </w:tc>
        <w:tc>
          <w:tcPr>
            <w:tcW w:type="dxa" w:w="1656"/>
          </w:tcPr>
          <w:p>
            <w:r>
              <w:rPr>
                <w:sz w:val="18"/>
              </w:rPr>
              <w:t>+0.53</w:t>
            </w:r>
          </w:p>
        </w:tc>
        <w:tc>
          <w:tcPr>
            <w:tcW w:type="dxa" w:w="1656"/>
          </w:tcPr>
          <w:p>
            <w:r>
              <w:rPr>
                <w:sz w:val="18"/>
              </w:rPr>
              <w:t>+0.71</w:t>
            </w:r>
          </w:p>
        </w:tc>
        <w:tc>
          <w:tcPr>
            <w:tcW w:type="dxa" w:w="1656"/>
          </w:tcPr>
          <w:p>
            <w:r>
              <w:rPr>
                <w:sz w:val="18"/>
              </w:rPr>
              <w:t>+2.48</w:t>
            </w:r>
          </w:p>
        </w:tc>
      </w:tr>
      <w:tr>
        <w:tc>
          <w:tcPr>
            <w:tcW w:type="dxa" w:w="1656"/>
          </w:tcPr>
          <w:p>
            <w:r>
              <w:rPr>
                <w:sz w:val="18"/>
              </w:rPr>
              <w:t>Value</w:t>
            </w:r>
          </w:p>
        </w:tc>
        <w:tc>
          <w:tcPr>
            <w:tcW w:type="dxa" w:w="1656"/>
          </w:tcPr>
          <w:p>
            <w:r>
              <w:rPr>
                <w:sz w:val="18"/>
              </w:rPr>
              <w:t>-0.17</w:t>
            </w:r>
          </w:p>
        </w:tc>
        <w:tc>
          <w:tcPr>
            <w:tcW w:type="dxa" w:w="1656"/>
          </w:tcPr>
          <w:p>
            <w:r>
              <w:rPr>
                <w:sz w:val="18"/>
              </w:rPr>
              <w:t>-0.46</w:t>
            </w:r>
          </w:p>
        </w:tc>
        <w:tc>
          <w:tcPr>
            <w:tcW w:type="dxa" w:w="1656"/>
          </w:tcPr>
          <w:p>
            <w:r>
              <w:rPr>
                <w:sz w:val="18"/>
              </w:rPr>
              <w:t>+0.09</w:t>
            </w:r>
          </w:p>
        </w:tc>
        <w:tc>
          <w:tcPr>
            <w:tcW w:type="dxa" w:w="1656"/>
          </w:tcPr>
          <w:p>
            <w:r>
              <w:rPr>
                <w:sz w:val="18"/>
              </w:rPr>
              <w:t>-0.13</w:t>
            </w:r>
          </w:p>
        </w:tc>
        <w:tc>
          <w:tcPr>
            <w:tcW w:type="dxa" w:w="1656"/>
          </w:tcPr>
          <w:p>
            <w:r>
              <w:rPr>
                <w:sz w:val="18"/>
              </w:rPr>
              <w:t>-0.00</w:t>
            </w:r>
          </w:p>
        </w:tc>
      </w:tr>
    </w:tbl>
    <w:p/>
    <w:p>
      <w:pPr/>
      <w:r>
        <w:rPr>
          <w:b/>
          <w:sz w:val="18"/>
        </w:rPr>
        <w:t>Table A5. Energy: Portfolio Construction Information Ratios by Regime</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tc>
        <w:tc>
          <w:tcPr>
            <w:tcW w:type="dxa" w:w="1656"/>
          </w:tcPr>
          <w:p>
            <w:r>
              <w:rPr>
                <w:sz w:val="18"/>
              </w:rPr>
              <w:t>Full</w:t>
            </w:r>
          </w:p>
        </w:tc>
        <w:tc>
          <w:tcPr>
            <w:tcW w:type="dxa" w:w="1656"/>
          </w:tcPr>
          <w:p>
            <w:r>
              <w:rPr>
                <w:sz w:val="18"/>
              </w:rPr>
              <w:t>2011-16</w:t>
            </w:r>
          </w:p>
        </w:tc>
        <w:tc>
          <w:tcPr>
            <w:tcW w:type="dxa" w:w="1656"/>
          </w:tcPr>
          <w:p>
            <w:r>
              <w:rPr>
                <w:sz w:val="18"/>
              </w:rPr>
              <w:t>2017-21</w:t>
            </w:r>
          </w:p>
        </w:tc>
        <w:tc>
          <w:tcPr>
            <w:tcW w:type="dxa" w:w="1656"/>
          </w:tcPr>
          <w:p>
            <w:r>
              <w:rPr>
                <w:sz w:val="18"/>
              </w:rPr>
              <w:t>2022-26</w:t>
            </w:r>
          </w:p>
        </w:tc>
        <w:tc>
          <w:tcPr>
            <w:tcW w:type="dxa" w:w="1656"/>
          </w:tcPr>
          <w:p>
            <w:r>
              <w:rPr>
                <w:sz w:val="18"/>
              </w:rPr>
              <w:t>2026+</w:t>
            </w:r>
          </w:p>
        </w:tc>
      </w:tr>
      <w:tr>
        <w:tc>
          <w:tcPr>
            <w:tcW w:type="dxa" w:w="1656"/>
          </w:tcPr>
          <w:p>
            <w:r>
              <w:rPr>
                <w:sz w:val="18"/>
              </w:rPr>
              <w:t>Equal Weight</w:t>
            </w:r>
          </w:p>
        </w:tc>
        <w:tc>
          <w:tcPr>
            <w:tcW w:type="dxa" w:w="1656"/>
          </w:tcPr>
          <w:p>
            <w:r>
              <w:rPr>
                <w:sz w:val="18"/>
              </w:rPr>
              <w:t>+0.49</w:t>
            </w:r>
          </w:p>
        </w:tc>
        <w:tc>
          <w:tcPr>
            <w:tcW w:type="dxa" w:w="1656"/>
          </w:tcPr>
          <w:p>
            <w:r>
              <w:rPr>
                <w:sz w:val="18"/>
              </w:rPr>
              <w:t>+0.35</w:t>
            </w:r>
          </w:p>
        </w:tc>
        <w:tc>
          <w:tcPr>
            <w:tcW w:type="dxa" w:w="1656"/>
          </w:tcPr>
          <w:p>
            <w:r>
              <w:rPr>
                <w:sz w:val="18"/>
              </w:rPr>
              <w:t>+0.82</w:t>
            </w:r>
          </w:p>
        </w:tc>
        <w:tc>
          <w:tcPr>
            <w:tcW w:type="dxa" w:w="1656"/>
          </w:tcPr>
          <w:p>
            <w:r>
              <w:rPr>
                <w:sz w:val="18"/>
              </w:rPr>
              <w:t>+0.31</w:t>
            </w:r>
          </w:p>
        </w:tc>
        <w:tc>
          <w:tcPr>
            <w:tcW w:type="dxa" w:w="1656"/>
          </w:tcPr>
          <w:p>
            <w:r>
              <w:rPr>
                <w:sz w:val="18"/>
              </w:rPr>
              <w:t>+2.22</w:t>
            </w:r>
          </w:p>
        </w:tc>
      </w:tr>
      <w:tr>
        <w:tc>
          <w:tcPr>
            <w:tcW w:type="dxa" w:w="1656"/>
          </w:tcPr>
          <w:p>
            <w:r>
              <w:rPr>
                <w:sz w:val="18"/>
              </w:rPr>
              <w:t>Inverse Vol</w:t>
            </w:r>
          </w:p>
        </w:tc>
        <w:tc>
          <w:tcPr>
            <w:tcW w:type="dxa" w:w="1656"/>
          </w:tcPr>
          <w:p>
            <w:r>
              <w:rPr>
                <w:sz w:val="18"/>
              </w:rPr>
              <w:t>+0.48</w:t>
            </w:r>
          </w:p>
        </w:tc>
        <w:tc>
          <w:tcPr>
            <w:tcW w:type="dxa" w:w="1656"/>
          </w:tcPr>
          <w:p>
            <w:r>
              <w:rPr>
                <w:sz w:val="18"/>
              </w:rPr>
              <w:t>+0.34</w:t>
            </w:r>
          </w:p>
        </w:tc>
        <w:tc>
          <w:tcPr>
            <w:tcW w:type="dxa" w:w="1656"/>
          </w:tcPr>
          <w:p>
            <w:r>
              <w:rPr>
                <w:sz w:val="18"/>
              </w:rPr>
              <w:t>+0.79</w:t>
            </w:r>
          </w:p>
        </w:tc>
        <w:tc>
          <w:tcPr>
            <w:tcW w:type="dxa" w:w="1656"/>
          </w:tcPr>
          <w:p>
            <w:r>
              <w:rPr>
                <w:sz w:val="18"/>
              </w:rPr>
              <w:t>+0.31</w:t>
            </w:r>
          </w:p>
        </w:tc>
        <w:tc>
          <w:tcPr>
            <w:tcW w:type="dxa" w:w="1656"/>
          </w:tcPr>
          <w:p>
            <w:r>
              <w:rPr>
                <w:sz w:val="18"/>
              </w:rPr>
              <w:t>+1.92</w:t>
            </w:r>
          </w:p>
        </w:tc>
      </w:tr>
    </w:tbl>
    <w:p/>
    <w:p>
      <w:pPr/>
      <w:r>
        <w:rPr>
          <w:b/>
          <w:sz w:val="18"/>
        </w:rPr>
        <w:t>Table A6. Energy: Individual-Product Information Ratios, All Strategies (Full Sample)</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tc>
        <w:tc>
          <w:tcPr>
            <w:tcW w:type="dxa" w:w="1656"/>
          </w:tcPr>
          <w:p>
            <w:r>
              <w:rPr>
                <w:sz w:val="18"/>
              </w:rPr>
              <w:t>WTI</w:t>
            </w:r>
          </w:p>
        </w:tc>
        <w:tc>
          <w:tcPr>
            <w:tcW w:type="dxa" w:w="1656"/>
          </w:tcPr>
          <w:p>
            <w:r>
              <w:rPr>
                <w:sz w:val="18"/>
              </w:rPr>
              <w:t>Brent</w:t>
            </w:r>
          </w:p>
        </w:tc>
        <w:tc>
          <w:tcPr>
            <w:tcW w:type="dxa" w:w="1656"/>
          </w:tcPr>
          <w:p>
            <w:r>
              <w:rPr>
                <w:sz w:val="18"/>
              </w:rPr>
              <w:t>RBOB</w:t>
            </w:r>
          </w:p>
        </w:tc>
        <w:tc>
          <w:tcPr>
            <w:tcW w:type="dxa" w:w="1656"/>
          </w:tcPr>
          <w:p>
            <w:r>
              <w:rPr>
                <w:sz w:val="18"/>
              </w:rPr>
              <w:t>HeatingOil</w:t>
            </w:r>
          </w:p>
        </w:tc>
        <w:tc>
          <w:tcPr>
            <w:tcW w:type="dxa" w:w="1656"/>
          </w:tcPr>
          <w:p>
            <w:r>
              <w:rPr>
                <w:sz w:val="18"/>
              </w:rPr>
              <w:t>NatGas</w:t>
            </w:r>
          </w:p>
        </w:tc>
      </w:tr>
      <w:tr>
        <w:tc>
          <w:tcPr>
            <w:tcW w:type="dxa" w:w="1656"/>
          </w:tcPr>
          <w:p>
            <w:r>
              <w:rPr>
                <w:sz w:val="18"/>
              </w:rPr>
              <w:t>Momentum</w:t>
            </w:r>
          </w:p>
        </w:tc>
        <w:tc>
          <w:tcPr>
            <w:tcW w:type="dxa" w:w="1656"/>
          </w:tcPr>
          <w:p>
            <w:r>
              <w:rPr>
                <w:sz w:val="18"/>
              </w:rPr>
              <w:t>+0.45</w:t>
            </w:r>
          </w:p>
        </w:tc>
        <w:tc>
          <w:tcPr>
            <w:tcW w:type="dxa" w:w="1656"/>
          </w:tcPr>
          <w:p>
            <w:r>
              <w:rPr>
                <w:sz w:val="18"/>
              </w:rPr>
              <w:t>+0.42</w:t>
            </w:r>
          </w:p>
        </w:tc>
        <w:tc>
          <w:tcPr>
            <w:tcW w:type="dxa" w:w="1656"/>
          </w:tcPr>
          <w:p>
            <w:r>
              <w:rPr>
                <w:sz w:val="18"/>
              </w:rPr>
              <w:t>+0.25</w:t>
            </w:r>
          </w:p>
        </w:tc>
        <w:tc>
          <w:tcPr>
            <w:tcW w:type="dxa" w:w="1656"/>
          </w:tcPr>
          <w:p>
            <w:r>
              <w:rPr>
                <w:sz w:val="18"/>
              </w:rPr>
              <w:t>+0.60</w:t>
            </w:r>
          </w:p>
        </w:tc>
        <w:tc>
          <w:tcPr>
            <w:tcW w:type="dxa" w:w="1656"/>
          </w:tcPr>
          <w:p>
            <w:r>
              <w:rPr>
                <w:sz w:val="18"/>
              </w:rPr>
              <w:t>+0.04</w:t>
            </w:r>
          </w:p>
        </w:tc>
      </w:tr>
      <w:tr>
        <w:tc>
          <w:tcPr>
            <w:tcW w:type="dxa" w:w="1656"/>
          </w:tcPr>
          <w:p>
            <w:r>
              <w:rPr>
                <w:sz w:val="18"/>
              </w:rPr>
              <w:t>Carry</w:t>
            </w:r>
          </w:p>
        </w:tc>
        <w:tc>
          <w:tcPr>
            <w:tcW w:type="dxa" w:w="1656"/>
          </w:tcPr>
          <w:p>
            <w:r>
              <w:rPr>
                <w:sz w:val="18"/>
              </w:rPr>
              <w:t>+0.12</w:t>
            </w:r>
          </w:p>
        </w:tc>
        <w:tc>
          <w:tcPr>
            <w:tcW w:type="dxa" w:w="1656"/>
          </w:tcPr>
          <w:p>
            <w:r>
              <w:rPr>
                <w:sz w:val="18"/>
              </w:rPr>
              <w:t>+0.24</w:t>
            </w:r>
          </w:p>
        </w:tc>
        <w:tc>
          <w:tcPr>
            <w:tcW w:type="dxa" w:w="1656"/>
          </w:tcPr>
          <w:p>
            <w:r>
              <w:rPr>
                <w:sz w:val="18"/>
              </w:rPr>
              <w:t>+0.08</w:t>
            </w:r>
          </w:p>
        </w:tc>
        <w:tc>
          <w:tcPr>
            <w:tcW w:type="dxa" w:w="1656"/>
          </w:tcPr>
          <w:p>
            <w:r>
              <w:rPr>
                <w:sz w:val="18"/>
              </w:rPr>
              <w:t>+0.71</w:t>
            </w:r>
          </w:p>
        </w:tc>
        <w:tc>
          <w:tcPr>
            <w:tcW w:type="dxa" w:w="1656"/>
          </w:tcPr>
          <w:p>
            <w:r>
              <w:rPr>
                <w:sz w:val="18"/>
              </w:rPr>
              <w:t>-0.09</w:t>
            </w:r>
          </w:p>
        </w:tc>
      </w:tr>
      <w:tr>
        <w:tc>
          <w:tcPr>
            <w:tcW w:type="dxa" w:w="1656"/>
          </w:tcPr>
          <w:p>
            <w:r>
              <w:rPr>
                <w:sz w:val="18"/>
              </w:rPr>
              <w:t>Carry-Momentum</w:t>
            </w:r>
          </w:p>
        </w:tc>
        <w:tc>
          <w:tcPr>
            <w:tcW w:type="dxa" w:w="1656"/>
          </w:tcPr>
          <w:p>
            <w:r>
              <w:rPr>
                <w:sz w:val="18"/>
              </w:rPr>
              <w:t>+0.46</w:t>
            </w:r>
          </w:p>
        </w:tc>
        <w:tc>
          <w:tcPr>
            <w:tcW w:type="dxa" w:w="1656"/>
          </w:tcPr>
          <w:p>
            <w:r>
              <w:rPr>
                <w:sz w:val="18"/>
              </w:rPr>
              <w:t>+0.56</w:t>
            </w:r>
          </w:p>
        </w:tc>
        <w:tc>
          <w:tcPr>
            <w:tcW w:type="dxa" w:w="1656"/>
          </w:tcPr>
          <w:p>
            <w:r>
              <w:rPr>
                <w:sz w:val="18"/>
              </w:rPr>
              <w:t>+0.43</w:t>
            </w:r>
          </w:p>
        </w:tc>
        <w:tc>
          <w:tcPr>
            <w:tcW w:type="dxa" w:w="1656"/>
          </w:tcPr>
          <w:p>
            <w:r>
              <w:rPr>
                <w:sz w:val="18"/>
              </w:rPr>
              <w:t>+0.40</w:t>
            </w:r>
          </w:p>
        </w:tc>
        <w:tc>
          <w:tcPr>
            <w:tcW w:type="dxa" w:w="1656"/>
          </w:tcPr>
          <w:p>
            <w:r>
              <w:rPr>
                <w:sz w:val="18"/>
              </w:rPr>
              <w:t>-0.03</w:t>
            </w:r>
          </w:p>
        </w:tc>
      </w:tr>
      <w:tr>
        <w:tc>
          <w:tcPr>
            <w:tcW w:type="dxa" w:w="1656"/>
          </w:tcPr>
          <w:p>
            <w:r>
              <w:rPr>
                <w:sz w:val="18"/>
              </w:rPr>
              <w:t>Value</w:t>
            </w:r>
          </w:p>
        </w:tc>
        <w:tc>
          <w:tcPr>
            <w:tcW w:type="dxa" w:w="1656"/>
          </w:tcPr>
          <w:p>
            <w:r>
              <w:rPr>
                <w:sz w:val="18"/>
              </w:rPr>
              <w:t>-0.05</w:t>
            </w:r>
          </w:p>
        </w:tc>
        <w:tc>
          <w:tcPr>
            <w:tcW w:type="dxa" w:w="1656"/>
          </w:tcPr>
          <w:p>
            <w:r>
              <w:rPr>
                <w:sz w:val="18"/>
              </w:rPr>
              <w:t>-0.01</w:t>
            </w:r>
          </w:p>
        </w:tc>
        <w:tc>
          <w:tcPr>
            <w:tcW w:type="dxa" w:w="1656"/>
          </w:tcPr>
          <w:p>
            <w:r>
              <w:rPr>
                <w:sz w:val="18"/>
              </w:rPr>
              <w:t>-0.14</w:t>
            </w:r>
          </w:p>
        </w:tc>
        <w:tc>
          <w:tcPr>
            <w:tcW w:type="dxa" w:w="1656"/>
          </w:tcPr>
          <w:p>
            <w:r>
              <w:rPr>
                <w:sz w:val="18"/>
              </w:rPr>
              <w:t>-0.24</w:t>
            </w:r>
          </w:p>
        </w:tc>
        <w:tc>
          <w:tcPr>
            <w:tcW w:type="dxa" w:w="1656"/>
          </w:tcPr>
          <w:p>
            <w:r>
              <w:rPr>
                <w:sz w:val="18"/>
              </w:rPr>
              <w:t>-0.19</w:t>
            </w:r>
          </w:p>
        </w:tc>
      </w:tr>
    </w:tbl>
    <w:p/>
    <w:p>
      <w:pPr/>
      <w:r>
        <w:rPr>
          <w:b/>
          <w:sz w:val="18"/>
        </w:rPr>
        <w:t>Table A7. Energy ex-NatGas: Strategy and Portfolio Information Ratios by Regime</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tc>
        <w:tc>
          <w:tcPr>
            <w:tcW w:type="dxa" w:w="1656"/>
          </w:tcPr>
          <w:p>
            <w:r>
              <w:rPr>
                <w:sz w:val="18"/>
              </w:rPr>
              <w:t>Full</w:t>
            </w:r>
          </w:p>
        </w:tc>
        <w:tc>
          <w:tcPr>
            <w:tcW w:type="dxa" w:w="1656"/>
          </w:tcPr>
          <w:p>
            <w:r>
              <w:rPr>
                <w:sz w:val="18"/>
              </w:rPr>
              <w:t>2011-16</w:t>
            </w:r>
          </w:p>
        </w:tc>
        <w:tc>
          <w:tcPr>
            <w:tcW w:type="dxa" w:w="1656"/>
          </w:tcPr>
          <w:p>
            <w:r>
              <w:rPr>
                <w:sz w:val="18"/>
              </w:rPr>
              <w:t>2017-21</w:t>
            </w:r>
          </w:p>
        </w:tc>
        <w:tc>
          <w:tcPr>
            <w:tcW w:type="dxa" w:w="1656"/>
          </w:tcPr>
          <w:p>
            <w:r>
              <w:rPr>
                <w:sz w:val="18"/>
              </w:rPr>
              <w:t>2022-26</w:t>
            </w:r>
          </w:p>
        </w:tc>
        <w:tc>
          <w:tcPr>
            <w:tcW w:type="dxa" w:w="1656"/>
          </w:tcPr>
          <w:p>
            <w:r>
              <w:rPr>
                <w:sz w:val="18"/>
              </w:rPr>
              <w:t>2026+</w:t>
            </w:r>
          </w:p>
        </w:tc>
      </w:tr>
      <w:tr>
        <w:tc>
          <w:tcPr>
            <w:tcW w:type="dxa" w:w="1656"/>
          </w:tcPr>
          <w:p>
            <w:r>
              <w:rPr>
                <w:sz w:val="18"/>
              </w:rPr>
              <w:t>Momentum</w:t>
            </w:r>
          </w:p>
        </w:tc>
        <w:tc>
          <w:tcPr>
            <w:tcW w:type="dxa" w:w="1656"/>
          </w:tcPr>
          <w:p>
            <w:r>
              <w:rPr>
                <w:sz w:val="18"/>
              </w:rPr>
              <w:t>+0.50</w:t>
            </w:r>
          </w:p>
        </w:tc>
        <w:tc>
          <w:tcPr>
            <w:tcW w:type="dxa" w:w="1656"/>
          </w:tcPr>
          <w:p>
            <w:r>
              <w:rPr>
                <w:sz w:val="18"/>
              </w:rPr>
              <w:t>+0.46</w:t>
            </w:r>
          </w:p>
        </w:tc>
        <w:tc>
          <w:tcPr>
            <w:tcW w:type="dxa" w:w="1656"/>
          </w:tcPr>
          <w:p>
            <w:r>
              <w:rPr>
                <w:sz w:val="18"/>
              </w:rPr>
              <w:t>+0.66</w:t>
            </w:r>
          </w:p>
        </w:tc>
        <w:tc>
          <w:tcPr>
            <w:tcW w:type="dxa" w:w="1656"/>
          </w:tcPr>
          <w:p>
            <w:r>
              <w:rPr>
                <w:sz w:val="18"/>
              </w:rPr>
              <w:t>+0.37</w:t>
            </w:r>
          </w:p>
        </w:tc>
        <w:tc>
          <w:tcPr>
            <w:tcW w:type="dxa" w:w="1656"/>
          </w:tcPr>
          <w:p>
            <w:r>
              <w:rPr>
                <w:sz w:val="18"/>
              </w:rPr>
              <w:t>+2.61</w:t>
            </w:r>
          </w:p>
        </w:tc>
      </w:tr>
      <w:tr>
        <w:tc>
          <w:tcPr>
            <w:tcW w:type="dxa" w:w="1656"/>
          </w:tcPr>
          <w:p>
            <w:r>
              <w:rPr>
                <w:sz w:val="18"/>
              </w:rPr>
              <w:t>Carry</w:t>
            </w:r>
          </w:p>
        </w:tc>
        <w:tc>
          <w:tcPr>
            <w:tcW w:type="dxa" w:w="1656"/>
          </w:tcPr>
          <w:p>
            <w:r>
              <w:rPr>
                <w:sz w:val="18"/>
              </w:rPr>
              <w:t>+0.32</w:t>
            </w:r>
          </w:p>
        </w:tc>
        <w:tc>
          <w:tcPr>
            <w:tcW w:type="dxa" w:w="1656"/>
          </w:tcPr>
          <w:p>
            <w:r>
              <w:rPr>
                <w:sz w:val="18"/>
              </w:rPr>
              <w:t>+0.32</w:t>
            </w:r>
          </w:p>
        </w:tc>
        <w:tc>
          <w:tcPr>
            <w:tcW w:type="dxa" w:w="1656"/>
          </w:tcPr>
          <w:p>
            <w:r>
              <w:rPr>
                <w:sz w:val="18"/>
              </w:rPr>
              <w:t>+0.52</w:t>
            </w:r>
          </w:p>
        </w:tc>
        <w:tc>
          <w:tcPr>
            <w:tcW w:type="dxa" w:w="1656"/>
          </w:tcPr>
          <w:p>
            <w:r>
              <w:rPr>
                <w:sz w:val="18"/>
              </w:rPr>
              <w:t>+0.10</w:t>
            </w:r>
          </w:p>
        </w:tc>
        <w:tc>
          <w:tcPr>
            <w:tcW w:type="dxa" w:w="1656"/>
          </w:tcPr>
          <w:p>
            <w:r>
              <w:rPr>
                <w:sz w:val="18"/>
              </w:rPr>
              <w:t>+1.55</w:t>
            </w:r>
          </w:p>
        </w:tc>
      </w:tr>
      <w:tr>
        <w:tc>
          <w:tcPr>
            <w:tcW w:type="dxa" w:w="1656"/>
          </w:tcPr>
          <w:p>
            <w:r>
              <w:rPr>
                <w:sz w:val="18"/>
              </w:rPr>
              <w:t>Carry-Momentum</w:t>
            </w:r>
          </w:p>
        </w:tc>
        <w:tc>
          <w:tcPr>
            <w:tcW w:type="dxa" w:w="1656"/>
          </w:tcPr>
          <w:p>
            <w:r>
              <w:rPr>
                <w:sz w:val="18"/>
              </w:rPr>
              <w:t>+0.64</w:t>
            </w:r>
          </w:p>
        </w:tc>
        <w:tc>
          <w:tcPr>
            <w:tcW w:type="dxa" w:w="1656"/>
          </w:tcPr>
          <w:p>
            <w:r>
              <w:rPr>
                <w:sz w:val="18"/>
              </w:rPr>
              <w:t>+0.57</w:t>
            </w:r>
          </w:p>
        </w:tc>
        <w:tc>
          <w:tcPr>
            <w:tcW w:type="dxa" w:w="1656"/>
          </w:tcPr>
          <w:p>
            <w:r>
              <w:rPr>
                <w:sz w:val="18"/>
              </w:rPr>
              <w:t>+0.73</w:t>
            </w:r>
          </w:p>
        </w:tc>
        <w:tc>
          <w:tcPr>
            <w:tcW w:type="dxa" w:w="1656"/>
          </w:tcPr>
          <w:p>
            <w:r>
              <w:rPr>
                <w:sz w:val="18"/>
              </w:rPr>
              <w:t>+0.64</w:t>
            </w:r>
          </w:p>
        </w:tc>
        <w:tc>
          <w:tcPr>
            <w:tcW w:type="dxa" w:w="1656"/>
          </w:tcPr>
          <w:p>
            <w:r>
              <w:rPr>
                <w:sz w:val="18"/>
              </w:rPr>
              <w:t>+2.77</w:t>
            </w:r>
          </w:p>
        </w:tc>
      </w:tr>
      <w:tr>
        <w:tc>
          <w:tcPr>
            <w:tcW w:type="dxa" w:w="1656"/>
          </w:tcPr>
          <w:p>
            <w:r>
              <w:rPr>
                <w:sz w:val="18"/>
              </w:rPr>
              <w:t>Value</w:t>
            </w:r>
          </w:p>
        </w:tc>
        <w:tc>
          <w:tcPr>
            <w:tcW w:type="dxa" w:w="1656"/>
          </w:tcPr>
          <w:p>
            <w:r>
              <w:rPr>
                <w:sz w:val="18"/>
              </w:rPr>
              <w:t>-0.12</w:t>
            </w:r>
          </w:p>
        </w:tc>
        <w:tc>
          <w:tcPr>
            <w:tcW w:type="dxa" w:w="1656"/>
          </w:tcPr>
          <w:p>
            <w:r>
              <w:rPr>
                <w:sz w:val="18"/>
              </w:rPr>
              <w:t>-0.36</w:t>
            </w:r>
          </w:p>
        </w:tc>
        <w:tc>
          <w:tcPr>
            <w:tcW w:type="dxa" w:w="1656"/>
          </w:tcPr>
          <w:p>
            <w:r>
              <w:rPr>
                <w:sz w:val="18"/>
              </w:rPr>
              <w:t>+0.07</w:t>
            </w:r>
          </w:p>
        </w:tc>
        <w:tc>
          <w:tcPr>
            <w:tcW w:type="dxa" w:w="1656"/>
          </w:tcPr>
          <w:p>
            <w:r>
              <w:rPr>
                <w:sz w:val="18"/>
              </w:rPr>
              <w:t>-0.03</w:t>
            </w:r>
          </w:p>
        </w:tc>
        <w:tc>
          <w:tcPr>
            <w:tcW w:type="dxa" w:w="1656"/>
          </w:tcPr>
          <w:p>
            <w:r>
              <w:rPr>
                <w:sz w:val="18"/>
              </w:rPr>
              <w:t>-0.02</w:t>
            </w:r>
          </w:p>
        </w:tc>
      </w:tr>
      <w:tr>
        <w:tc>
          <w:tcPr>
            <w:tcW w:type="dxa" w:w="1656"/>
          </w:tcPr>
          <w:p>
            <w:r>
              <w:rPr>
                <w:sz w:val="18"/>
              </w:rPr>
              <w:t>Equal Weight</w:t>
            </w:r>
          </w:p>
        </w:tc>
        <w:tc>
          <w:tcPr>
            <w:tcW w:type="dxa" w:w="1656"/>
          </w:tcPr>
          <w:p>
            <w:r>
              <w:rPr>
                <w:sz w:val="18"/>
              </w:rPr>
              <w:t>+0.59</w:t>
            </w:r>
          </w:p>
        </w:tc>
        <w:tc>
          <w:tcPr>
            <w:tcW w:type="dxa" w:w="1656"/>
          </w:tcPr>
          <w:p>
            <w:r>
              <w:rPr>
                <w:sz w:val="18"/>
              </w:rPr>
              <w:t>+0.38</w:t>
            </w:r>
          </w:p>
        </w:tc>
        <w:tc>
          <w:tcPr>
            <w:tcW w:type="dxa" w:w="1656"/>
          </w:tcPr>
          <w:p>
            <w:r>
              <w:rPr>
                <w:sz w:val="18"/>
              </w:rPr>
              <w:t>+0.96</w:t>
            </w:r>
          </w:p>
        </w:tc>
        <w:tc>
          <w:tcPr>
            <w:tcW w:type="dxa" w:w="1656"/>
          </w:tcPr>
          <w:p>
            <w:r>
              <w:rPr>
                <w:sz w:val="18"/>
              </w:rPr>
              <w:t>+0.43</w:t>
            </w:r>
          </w:p>
        </w:tc>
        <w:tc>
          <w:tcPr>
            <w:tcW w:type="dxa" w:w="1656"/>
          </w:tcPr>
          <w:p>
            <w:r>
              <w:rPr>
                <w:sz w:val="18"/>
              </w:rPr>
              <w:t>+2.89</w:t>
            </w:r>
          </w:p>
        </w:tc>
      </w:tr>
      <w:tr>
        <w:tc>
          <w:tcPr>
            <w:tcW w:type="dxa" w:w="1656"/>
          </w:tcPr>
          <w:p>
            <w:r>
              <w:rPr>
                <w:sz w:val="18"/>
              </w:rPr>
              <w:t>Inverse Vol</w:t>
            </w:r>
          </w:p>
        </w:tc>
        <w:tc>
          <w:tcPr>
            <w:tcW w:type="dxa" w:w="1656"/>
          </w:tcPr>
          <w:p>
            <w:r>
              <w:rPr>
                <w:sz w:val="18"/>
              </w:rPr>
              <w:t>+0.61</w:t>
            </w:r>
          </w:p>
        </w:tc>
        <w:tc>
          <w:tcPr>
            <w:tcW w:type="dxa" w:w="1656"/>
          </w:tcPr>
          <w:p>
            <w:r>
              <w:rPr>
                <w:sz w:val="18"/>
              </w:rPr>
              <w:t>+0.36</w:t>
            </w:r>
          </w:p>
        </w:tc>
        <w:tc>
          <w:tcPr>
            <w:tcW w:type="dxa" w:w="1656"/>
          </w:tcPr>
          <w:p>
            <w:r>
              <w:rPr>
                <w:sz w:val="18"/>
              </w:rPr>
              <w:t>+0.97</w:t>
            </w:r>
          </w:p>
        </w:tc>
        <w:tc>
          <w:tcPr>
            <w:tcW w:type="dxa" w:w="1656"/>
          </w:tcPr>
          <w:p>
            <w:r>
              <w:rPr>
                <w:sz w:val="18"/>
              </w:rPr>
              <w:t>+0.47</w:t>
            </w:r>
          </w:p>
        </w:tc>
        <w:tc>
          <w:tcPr>
            <w:tcW w:type="dxa" w:w="1656"/>
          </w:tcPr>
          <w:p>
            <w:r>
              <w:rPr>
                <w:sz w:val="18"/>
              </w:rPr>
              <w:t>+2.73</w:t>
            </w:r>
          </w:p>
        </w:tc>
      </w:tr>
    </w:tbl>
    <w:p/>
    <w:p>
      <w:pPr/>
      <w:r>
        <w:rPr>
          <w:b/>
          <w:sz w:val="18"/>
        </w:rPr>
        <w:t>Table A8. Precious Metals: Strategy Information Ratios by Regime</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tc>
        <w:tc>
          <w:tcPr>
            <w:tcW w:type="dxa" w:w="1656"/>
          </w:tcPr>
          <w:p>
            <w:r>
              <w:rPr>
                <w:sz w:val="18"/>
              </w:rPr>
              <w:t>Full</w:t>
            </w:r>
          </w:p>
        </w:tc>
        <w:tc>
          <w:tcPr>
            <w:tcW w:type="dxa" w:w="1656"/>
          </w:tcPr>
          <w:p>
            <w:r>
              <w:rPr>
                <w:sz w:val="18"/>
              </w:rPr>
              <w:t>2011-16</w:t>
            </w:r>
          </w:p>
        </w:tc>
        <w:tc>
          <w:tcPr>
            <w:tcW w:type="dxa" w:w="1656"/>
          </w:tcPr>
          <w:p>
            <w:r>
              <w:rPr>
                <w:sz w:val="18"/>
              </w:rPr>
              <w:t>2017-21</w:t>
            </w:r>
          </w:p>
        </w:tc>
        <w:tc>
          <w:tcPr>
            <w:tcW w:type="dxa" w:w="1656"/>
          </w:tcPr>
          <w:p>
            <w:r>
              <w:rPr>
                <w:sz w:val="18"/>
              </w:rPr>
              <w:t>2022-26</w:t>
            </w:r>
          </w:p>
        </w:tc>
        <w:tc>
          <w:tcPr>
            <w:tcW w:type="dxa" w:w="1656"/>
          </w:tcPr>
          <w:p>
            <w:r>
              <w:rPr>
                <w:sz w:val="18"/>
              </w:rPr>
              <w:t>2026+</w:t>
            </w:r>
          </w:p>
        </w:tc>
      </w:tr>
      <w:tr>
        <w:tc>
          <w:tcPr>
            <w:tcW w:type="dxa" w:w="1656"/>
          </w:tcPr>
          <w:p>
            <w:r>
              <w:rPr>
                <w:sz w:val="18"/>
              </w:rPr>
              <w:t>Momentum</w:t>
            </w:r>
          </w:p>
        </w:tc>
        <w:tc>
          <w:tcPr>
            <w:tcW w:type="dxa" w:w="1656"/>
          </w:tcPr>
          <w:p>
            <w:r>
              <w:rPr>
                <w:sz w:val="18"/>
              </w:rPr>
              <w:t>-0.31</w:t>
            </w:r>
          </w:p>
        </w:tc>
        <w:tc>
          <w:tcPr>
            <w:tcW w:type="dxa" w:w="1656"/>
          </w:tcPr>
          <w:p>
            <w:r>
              <w:rPr>
                <w:sz w:val="18"/>
              </w:rPr>
              <w:t>-0.25</w:t>
            </w:r>
          </w:p>
        </w:tc>
        <w:tc>
          <w:tcPr>
            <w:tcW w:type="dxa" w:w="1656"/>
          </w:tcPr>
          <w:p>
            <w:r>
              <w:rPr>
                <w:sz w:val="18"/>
              </w:rPr>
              <w:t>-0.46</w:t>
            </w:r>
          </w:p>
        </w:tc>
        <w:tc>
          <w:tcPr>
            <w:tcW w:type="dxa" w:w="1656"/>
          </w:tcPr>
          <w:p>
            <w:r>
              <w:rPr>
                <w:sz w:val="18"/>
              </w:rPr>
              <w:t>-0.29</w:t>
            </w:r>
          </w:p>
        </w:tc>
        <w:tc>
          <w:tcPr>
            <w:tcW w:type="dxa" w:w="1656"/>
          </w:tcPr>
          <w:p>
            <w:r>
              <w:rPr>
                <w:sz w:val="18"/>
              </w:rPr>
              <w:t>-0.30</w:t>
            </w:r>
          </w:p>
        </w:tc>
      </w:tr>
      <w:tr>
        <w:tc>
          <w:tcPr>
            <w:tcW w:type="dxa" w:w="1656"/>
          </w:tcPr>
          <w:p>
            <w:r>
              <w:rPr>
                <w:sz w:val="18"/>
              </w:rPr>
              <w:t>Carry</w:t>
            </w:r>
          </w:p>
        </w:tc>
        <w:tc>
          <w:tcPr>
            <w:tcW w:type="dxa" w:w="1656"/>
          </w:tcPr>
          <w:p>
            <w:r>
              <w:rPr>
                <w:sz w:val="18"/>
              </w:rPr>
              <w:t>-0.07</w:t>
            </w:r>
          </w:p>
        </w:tc>
        <w:tc>
          <w:tcPr>
            <w:tcW w:type="dxa" w:w="1656"/>
          </w:tcPr>
          <w:p>
            <w:r>
              <w:rPr>
                <w:sz w:val="18"/>
              </w:rPr>
              <w:t>+0.31</w:t>
            </w:r>
          </w:p>
        </w:tc>
        <w:tc>
          <w:tcPr>
            <w:tcW w:type="dxa" w:w="1656"/>
          </w:tcPr>
          <w:p>
            <w:r>
              <w:rPr>
                <w:sz w:val="18"/>
              </w:rPr>
              <w:t>-0.48</w:t>
            </w:r>
          </w:p>
        </w:tc>
        <w:tc>
          <w:tcPr>
            <w:tcW w:type="dxa" w:w="1656"/>
          </w:tcPr>
          <w:p>
            <w:r>
              <w:rPr>
                <w:sz w:val="18"/>
              </w:rPr>
              <w:t>-0.02</w:t>
            </w:r>
          </w:p>
        </w:tc>
        <w:tc>
          <w:tcPr>
            <w:tcW w:type="dxa" w:w="1656"/>
          </w:tcPr>
          <w:p>
            <w:r>
              <w:rPr>
                <w:sz w:val="18"/>
              </w:rPr>
              <w:t>+0.74</w:t>
            </w:r>
          </w:p>
        </w:tc>
      </w:tr>
      <w:tr>
        <w:tc>
          <w:tcPr>
            <w:tcW w:type="dxa" w:w="1656"/>
          </w:tcPr>
          <w:p>
            <w:r>
              <w:rPr>
                <w:sz w:val="18"/>
              </w:rPr>
              <w:t>Carry-Momentum</w:t>
            </w:r>
          </w:p>
        </w:tc>
        <w:tc>
          <w:tcPr>
            <w:tcW w:type="dxa" w:w="1656"/>
          </w:tcPr>
          <w:p>
            <w:r>
              <w:rPr>
                <w:sz w:val="18"/>
              </w:rPr>
              <w:t>+0.06</w:t>
            </w:r>
          </w:p>
        </w:tc>
        <w:tc>
          <w:tcPr>
            <w:tcW w:type="dxa" w:w="1656"/>
          </w:tcPr>
          <w:p>
            <w:r>
              <w:rPr>
                <w:sz w:val="18"/>
              </w:rPr>
              <w:t>+0.57</w:t>
            </w:r>
          </w:p>
        </w:tc>
        <w:tc>
          <w:tcPr>
            <w:tcW w:type="dxa" w:w="1656"/>
          </w:tcPr>
          <w:p>
            <w:r>
              <w:rPr>
                <w:sz w:val="18"/>
              </w:rPr>
              <w:t>+0.28</w:t>
            </w:r>
          </w:p>
        </w:tc>
        <w:tc>
          <w:tcPr>
            <w:tcW w:type="dxa" w:w="1656"/>
          </w:tcPr>
          <w:p>
            <w:r>
              <w:rPr>
                <w:sz w:val="18"/>
              </w:rPr>
              <w:t>-0.53</w:t>
            </w:r>
          </w:p>
        </w:tc>
        <w:tc>
          <w:tcPr>
            <w:tcW w:type="dxa" w:w="1656"/>
          </w:tcPr>
          <w:p>
            <w:r>
              <w:rPr>
                <w:sz w:val="18"/>
              </w:rPr>
              <w:t>+1.25</w:t>
            </w:r>
          </w:p>
        </w:tc>
      </w:tr>
      <w:tr>
        <w:tc>
          <w:tcPr>
            <w:tcW w:type="dxa" w:w="1656"/>
          </w:tcPr>
          <w:p>
            <w:r>
              <w:rPr>
                <w:sz w:val="18"/>
              </w:rPr>
              <w:t>Value</w:t>
            </w:r>
          </w:p>
        </w:tc>
        <w:tc>
          <w:tcPr>
            <w:tcW w:type="dxa" w:w="1656"/>
          </w:tcPr>
          <w:p>
            <w:r>
              <w:rPr>
                <w:sz w:val="18"/>
              </w:rPr>
              <w:t>-0.02</w:t>
            </w:r>
          </w:p>
        </w:tc>
        <w:tc>
          <w:tcPr>
            <w:tcW w:type="dxa" w:w="1656"/>
          </w:tcPr>
          <w:p>
            <w:r>
              <w:rPr>
                <w:sz w:val="18"/>
              </w:rPr>
              <w:t>+0.13</w:t>
            </w:r>
          </w:p>
        </w:tc>
        <w:tc>
          <w:tcPr>
            <w:tcW w:type="dxa" w:w="1656"/>
          </w:tcPr>
          <w:p>
            <w:r>
              <w:rPr>
                <w:sz w:val="18"/>
              </w:rPr>
              <w:t>-0.07</w:t>
            </w:r>
          </w:p>
        </w:tc>
        <w:tc>
          <w:tcPr>
            <w:tcW w:type="dxa" w:w="1656"/>
          </w:tcPr>
          <w:p>
            <w:r>
              <w:rPr>
                <w:sz w:val="18"/>
              </w:rPr>
              <w:t>-0.13</w:t>
            </w:r>
          </w:p>
        </w:tc>
        <w:tc>
          <w:tcPr>
            <w:tcW w:type="dxa" w:w="1656"/>
          </w:tcPr>
          <w:p>
            <w:r>
              <w:rPr>
                <w:sz w:val="18"/>
              </w:rPr>
              <w:t>+0.48</w:t>
            </w:r>
          </w:p>
        </w:tc>
      </w:tr>
    </w:tbl>
    <w:p/>
    <w:p>
      <w:pPr/>
      <w:r>
        <w:rPr>
          <w:b/>
          <w:sz w:val="18"/>
        </w:rPr>
        <w:t>Table A9. Precious Metals: Portfolio Construction Information Ratios by Regime</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tc>
        <w:tc>
          <w:tcPr>
            <w:tcW w:type="dxa" w:w="1656"/>
          </w:tcPr>
          <w:p>
            <w:r>
              <w:rPr>
                <w:sz w:val="18"/>
              </w:rPr>
              <w:t>Full</w:t>
            </w:r>
          </w:p>
        </w:tc>
        <w:tc>
          <w:tcPr>
            <w:tcW w:type="dxa" w:w="1656"/>
          </w:tcPr>
          <w:p>
            <w:r>
              <w:rPr>
                <w:sz w:val="18"/>
              </w:rPr>
              <w:t>2011-16</w:t>
            </w:r>
          </w:p>
        </w:tc>
        <w:tc>
          <w:tcPr>
            <w:tcW w:type="dxa" w:w="1656"/>
          </w:tcPr>
          <w:p>
            <w:r>
              <w:rPr>
                <w:sz w:val="18"/>
              </w:rPr>
              <w:t>2017-21</w:t>
            </w:r>
          </w:p>
        </w:tc>
        <w:tc>
          <w:tcPr>
            <w:tcW w:type="dxa" w:w="1656"/>
          </w:tcPr>
          <w:p>
            <w:r>
              <w:rPr>
                <w:sz w:val="18"/>
              </w:rPr>
              <w:t>2022-26</w:t>
            </w:r>
          </w:p>
        </w:tc>
        <w:tc>
          <w:tcPr>
            <w:tcW w:type="dxa" w:w="1656"/>
          </w:tcPr>
          <w:p>
            <w:r>
              <w:rPr>
                <w:sz w:val="18"/>
              </w:rPr>
              <w:t>2026+</w:t>
            </w:r>
          </w:p>
        </w:tc>
      </w:tr>
      <w:tr>
        <w:tc>
          <w:tcPr>
            <w:tcW w:type="dxa" w:w="1656"/>
          </w:tcPr>
          <w:p>
            <w:r>
              <w:rPr>
                <w:sz w:val="18"/>
              </w:rPr>
              <w:t>Equal Weight</w:t>
            </w:r>
          </w:p>
        </w:tc>
        <w:tc>
          <w:tcPr>
            <w:tcW w:type="dxa" w:w="1656"/>
          </w:tcPr>
          <w:p>
            <w:r>
              <w:rPr>
                <w:sz w:val="18"/>
              </w:rPr>
              <w:t>-0.21</w:t>
            </w:r>
          </w:p>
        </w:tc>
        <w:tc>
          <w:tcPr>
            <w:tcW w:type="dxa" w:w="1656"/>
          </w:tcPr>
          <w:p>
            <w:r>
              <w:rPr>
                <w:sz w:val="18"/>
              </w:rPr>
              <w:t>+0.26</w:t>
            </w:r>
          </w:p>
        </w:tc>
        <w:tc>
          <w:tcPr>
            <w:tcW w:type="dxa" w:w="1656"/>
          </w:tcPr>
          <w:p>
            <w:r>
              <w:rPr>
                <w:sz w:val="18"/>
              </w:rPr>
              <w:t>-0.49</w:t>
            </w:r>
          </w:p>
        </w:tc>
        <w:tc>
          <w:tcPr>
            <w:tcW w:type="dxa" w:w="1656"/>
          </w:tcPr>
          <w:p>
            <w:r>
              <w:rPr>
                <w:sz w:val="18"/>
              </w:rPr>
              <w:t>-0.48</w:t>
            </w:r>
          </w:p>
        </w:tc>
        <w:tc>
          <w:tcPr>
            <w:tcW w:type="dxa" w:w="1656"/>
          </w:tcPr>
          <w:p>
            <w:r>
              <w:rPr>
                <w:sz w:val="18"/>
              </w:rPr>
              <w:t>+0.82</w:t>
            </w:r>
          </w:p>
        </w:tc>
      </w:tr>
      <w:tr>
        <w:tc>
          <w:tcPr>
            <w:tcW w:type="dxa" w:w="1656"/>
          </w:tcPr>
          <w:p>
            <w:r>
              <w:rPr>
                <w:sz w:val="18"/>
              </w:rPr>
              <w:t>Inverse Vol</w:t>
            </w:r>
          </w:p>
        </w:tc>
        <w:tc>
          <w:tcPr>
            <w:tcW w:type="dxa" w:w="1656"/>
          </w:tcPr>
          <w:p>
            <w:r>
              <w:rPr>
                <w:sz w:val="18"/>
              </w:rPr>
              <w:t>-0.21</w:t>
            </w:r>
          </w:p>
        </w:tc>
        <w:tc>
          <w:tcPr>
            <w:tcW w:type="dxa" w:w="1656"/>
          </w:tcPr>
          <w:p>
            <w:r>
              <w:rPr>
                <w:sz w:val="18"/>
              </w:rPr>
              <w:t>+0.23</w:t>
            </w:r>
          </w:p>
        </w:tc>
        <w:tc>
          <w:tcPr>
            <w:tcW w:type="dxa" w:w="1656"/>
          </w:tcPr>
          <w:p>
            <w:r>
              <w:rPr>
                <w:sz w:val="18"/>
              </w:rPr>
              <w:t>-0.48</w:t>
            </w:r>
          </w:p>
        </w:tc>
        <w:tc>
          <w:tcPr>
            <w:tcW w:type="dxa" w:w="1656"/>
          </w:tcPr>
          <w:p>
            <w:r>
              <w:rPr>
                <w:sz w:val="18"/>
              </w:rPr>
              <w:t>-0.47</w:t>
            </w:r>
          </w:p>
        </w:tc>
        <w:tc>
          <w:tcPr>
            <w:tcW w:type="dxa" w:w="1656"/>
          </w:tcPr>
          <w:p>
            <w:r>
              <w:rPr>
                <w:sz w:val="18"/>
              </w:rPr>
              <w:t>+0.97</w:t>
            </w:r>
          </w:p>
        </w:tc>
      </w:tr>
    </w:tbl>
    <w:p/>
    <w:p>
      <w:pPr/>
      <w:r>
        <w:rPr>
          <w:b/>
          <w:sz w:val="18"/>
        </w:rPr>
        <w:t>Table A10. Precious Metals: Individual-Metal Information Ratios, All Strategies (Full Sample)</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tc>
        <w:tc>
          <w:tcPr>
            <w:tcW w:type="dxa" w:w="1987"/>
          </w:tcPr>
          <w:p>
            <w:r>
              <w:rPr>
                <w:sz w:val="18"/>
              </w:rPr>
              <w:t>Gold</w:t>
            </w:r>
          </w:p>
        </w:tc>
        <w:tc>
          <w:tcPr>
            <w:tcW w:type="dxa" w:w="1987"/>
          </w:tcPr>
          <w:p>
            <w:r>
              <w:rPr>
                <w:sz w:val="18"/>
              </w:rPr>
              <w:t>Silver</w:t>
            </w:r>
          </w:p>
        </w:tc>
        <w:tc>
          <w:tcPr>
            <w:tcW w:type="dxa" w:w="1987"/>
          </w:tcPr>
          <w:p>
            <w:r>
              <w:rPr>
                <w:sz w:val="18"/>
              </w:rPr>
              <w:t>Platinum</w:t>
            </w:r>
          </w:p>
        </w:tc>
        <w:tc>
          <w:tcPr>
            <w:tcW w:type="dxa" w:w="1987"/>
          </w:tcPr>
          <w:p>
            <w:r>
              <w:rPr>
                <w:sz w:val="18"/>
              </w:rPr>
              <w:t>Palladium</w:t>
            </w:r>
          </w:p>
        </w:tc>
      </w:tr>
      <w:tr>
        <w:tc>
          <w:tcPr>
            <w:tcW w:type="dxa" w:w="1987"/>
          </w:tcPr>
          <w:p>
            <w:r>
              <w:rPr>
                <w:sz w:val="18"/>
              </w:rPr>
              <w:t>Momentum</w:t>
            </w:r>
          </w:p>
        </w:tc>
        <w:tc>
          <w:tcPr>
            <w:tcW w:type="dxa" w:w="1987"/>
          </w:tcPr>
          <w:p>
            <w:r>
              <w:rPr>
                <w:sz w:val="18"/>
              </w:rPr>
              <w:t>-0.01</w:t>
            </w:r>
          </w:p>
        </w:tc>
        <w:tc>
          <w:tcPr>
            <w:tcW w:type="dxa" w:w="1987"/>
          </w:tcPr>
          <w:p>
            <w:r>
              <w:rPr>
                <w:sz w:val="18"/>
              </w:rPr>
              <w:t>-0.11</w:t>
            </w:r>
          </w:p>
        </w:tc>
        <w:tc>
          <w:tcPr>
            <w:tcW w:type="dxa" w:w="1987"/>
          </w:tcPr>
          <w:p>
            <w:r>
              <w:rPr>
                <w:sz w:val="18"/>
              </w:rPr>
              <w:t>-0.16</w:t>
            </w:r>
          </w:p>
        </w:tc>
        <w:tc>
          <w:tcPr>
            <w:tcW w:type="dxa" w:w="1987"/>
          </w:tcPr>
          <w:p>
            <w:r>
              <w:rPr>
                <w:sz w:val="18"/>
              </w:rPr>
              <w:t>-0.46</w:t>
            </w:r>
          </w:p>
        </w:tc>
      </w:tr>
      <w:tr>
        <w:tc>
          <w:tcPr>
            <w:tcW w:type="dxa" w:w="1987"/>
          </w:tcPr>
          <w:p>
            <w:r>
              <w:rPr>
                <w:sz w:val="18"/>
              </w:rPr>
              <w:t>Carry</w:t>
            </w:r>
          </w:p>
        </w:tc>
        <w:tc>
          <w:tcPr>
            <w:tcW w:type="dxa" w:w="1987"/>
          </w:tcPr>
          <w:p>
            <w:r>
              <w:rPr>
                <w:sz w:val="18"/>
              </w:rPr>
              <w:t>+0.22</w:t>
            </w:r>
          </w:p>
        </w:tc>
        <w:tc>
          <w:tcPr>
            <w:tcW w:type="dxa" w:w="1987"/>
          </w:tcPr>
          <w:p>
            <w:r>
              <w:rPr>
                <w:sz w:val="18"/>
              </w:rPr>
              <w:t>+0.16</w:t>
            </w:r>
          </w:p>
        </w:tc>
        <w:tc>
          <w:tcPr>
            <w:tcW w:type="dxa" w:w="1987"/>
          </w:tcPr>
          <w:p>
            <w:r>
              <w:rPr>
                <w:sz w:val="18"/>
              </w:rPr>
              <w:t>+0.16</w:t>
            </w:r>
          </w:p>
        </w:tc>
        <w:tc>
          <w:tcPr>
            <w:tcW w:type="dxa" w:w="1987"/>
          </w:tcPr>
          <w:p>
            <w:r>
              <w:rPr>
                <w:sz w:val="18"/>
              </w:rPr>
              <w:t>-0.48</w:t>
            </w:r>
          </w:p>
        </w:tc>
      </w:tr>
      <w:tr>
        <w:tc>
          <w:tcPr>
            <w:tcW w:type="dxa" w:w="1987"/>
          </w:tcPr>
          <w:p>
            <w:r>
              <w:rPr>
                <w:sz w:val="18"/>
              </w:rPr>
              <w:t>Carry-Momentum</w:t>
            </w:r>
          </w:p>
        </w:tc>
        <w:tc>
          <w:tcPr>
            <w:tcW w:type="dxa" w:w="1987"/>
          </w:tcPr>
          <w:p>
            <w:r>
              <w:rPr>
                <w:sz w:val="18"/>
              </w:rPr>
              <w:t>+0.08</w:t>
            </w:r>
          </w:p>
        </w:tc>
        <w:tc>
          <w:tcPr>
            <w:tcW w:type="dxa" w:w="1987"/>
          </w:tcPr>
          <w:p>
            <w:r>
              <w:rPr>
                <w:sz w:val="18"/>
              </w:rPr>
              <w:t>+0.24</w:t>
            </w:r>
          </w:p>
        </w:tc>
        <w:tc>
          <w:tcPr>
            <w:tcW w:type="dxa" w:w="1987"/>
          </w:tcPr>
          <w:p>
            <w:r>
              <w:rPr>
                <w:sz w:val="18"/>
              </w:rPr>
              <w:t>+0.19</w:t>
            </w:r>
          </w:p>
        </w:tc>
        <w:tc>
          <w:tcPr>
            <w:tcW w:type="dxa" w:w="1987"/>
          </w:tcPr>
          <w:p>
            <w:r>
              <w:rPr>
                <w:sz w:val="18"/>
              </w:rPr>
              <w:t>-0.27</w:t>
            </w:r>
          </w:p>
        </w:tc>
      </w:tr>
      <w:tr>
        <w:tc>
          <w:tcPr>
            <w:tcW w:type="dxa" w:w="1987"/>
          </w:tcPr>
          <w:p>
            <w:r>
              <w:rPr>
                <w:sz w:val="18"/>
              </w:rPr>
              <w:t>Value</w:t>
            </w:r>
          </w:p>
        </w:tc>
        <w:tc>
          <w:tcPr>
            <w:tcW w:type="dxa" w:w="1987"/>
          </w:tcPr>
          <w:p>
            <w:r>
              <w:rPr>
                <w:sz w:val="18"/>
              </w:rPr>
              <w:t>-0.25</w:t>
            </w:r>
          </w:p>
        </w:tc>
        <w:tc>
          <w:tcPr>
            <w:tcW w:type="dxa" w:w="1987"/>
          </w:tcPr>
          <w:p>
            <w:r>
              <w:rPr>
                <w:sz w:val="18"/>
              </w:rPr>
              <w:t>-0.03</w:t>
            </w:r>
          </w:p>
        </w:tc>
        <w:tc>
          <w:tcPr>
            <w:tcW w:type="dxa" w:w="1987"/>
          </w:tcPr>
          <w:p>
            <w:r>
              <w:rPr>
                <w:sz w:val="18"/>
              </w:rPr>
              <w:t>+0.16</w:t>
            </w:r>
          </w:p>
        </w:tc>
        <w:tc>
          <w:tcPr>
            <w:tcW w:type="dxa" w:w="1987"/>
          </w:tcPr>
          <w:p>
            <w:r>
              <w:rPr>
                <w:sz w:val="18"/>
              </w:rPr>
              <w:t>+0.01</w:t>
            </w:r>
          </w:p>
        </w:tc>
      </w:tr>
    </w:tbl>
    <w:p/>
    <w:p>
      <w:pPr/>
      <w:r>
        <w:rPr>
          <w:b/>
          <w:sz w:val="18"/>
        </w:rPr>
        <w:t>Table A11. Precious Metals: Carry Tenor Pairs, Full-Sample Information Ratios</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tc>
        <w:tc>
          <w:tcPr>
            <w:tcW w:type="dxa" w:w="1987"/>
          </w:tcPr>
          <w:p>
            <w:r>
              <w:rPr>
                <w:sz w:val="18"/>
              </w:rPr>
              <w:t>Previous single pair (F1-F3)</w:t>
            </w:r>
          </w:p>
        </w:tc>
        <w:tc>
          <w:tcPr>
            <w:tcW w:type="dxa" w:w="1987"/>
          </w:tcPr>
          <w:p>
            <w:r>
              <w:rPr>
                <w:sz w:val="18"/>
              </w:rPr>
              <w:t>Short pair (F1-F2)</w:t>
            </w:r>
          </w:p>
        </w:tc>
        <w:tc>
          <w:tcPr>
            <w:tcW w:type="dxa" w:w="1987"/>
          </w:tcPr>
          <w:p>
            <w:r>
              <w:rPr>
                <w:sz w:val="18"/>
              </w:rPr>
              <w:t>Long pair alone</w:t>
            </w:r>
          </w:p>
        </w:tc>
        <w:tc>
          <w:tcPr>
            <w:tcW w:type="dxa" w:w="1987"/>
          </w:tcPr>
          <w:p>
            <w:r>
              <w:rPr>
                <w:sz w:val="18"/>
              </w:rPr>
              <w:t>Two-pair blend</w:t>
            </w:r>
          </w:p>
        </w:tc>
      </w:tr>
      <w:tr>
        <w:tc>
          <w:tcPr>
            <w:tcW w:type="dxa" w:w="1987"/>
          </w:tcPr>
          <w:p>
            <w:r>
              <w:rPr>
                <w:sz w:val="18"/>
              </w:rPr>
              <w:t>Carry</w:t>
            </w:r>
          </w:p>
        </w:tc>
        <w:tc>
          <w:tcPr>
            <w:tcW w:type="dxa" w:w="1987"/>
          </w:tcPr>
          <w:p>
            <w:r>
              <w:rPr>
                <w:sz w:val="18"/>
              </w:rPr>
              <w:t>+0.00</w:t>
            </w:r>
          </w:p>
        </w:tc>
        <w:tc>
          <w:tcPr>
            <w:tcW w:type="dxa" w:w="1987"/>
          </w:tcPr>
          <w:p>
            <w:r>
              <w:rPr>
                <w:sz w:val="18"/>
              </w:rPr>
              <w:t>-0.09</w:t>
            </w:r>
          </w:p>
        </w:tc>
        <w:tc>
          <w:tcPr>
            <w:tcW w:type="dxa" w:w="1987"/>
          </w:tcPr>
          <w:p>
            <w:r>
              <w:rPr>
                <w:sz w:val="18"/>
              </w:rPr>
              <w:t>-0.04</w:t>
            </w:r>
          </w:p>
        </w:tc>
        <w:tc>
          <w:tcPr>
            <w:tcW w:type="dxa" w:w="1987"/>
          </w:tcPr>
          <w:p>
            <w:r>
              <w:rPr>
                <w:sz w:val="18"/>
              </w:rPr>
              <w:t>-0.07</w:t>
            </w:r>
          </w:p>
        </w:tc>
      </w:tr>
      <w:tr>
        <w:tc>
          <w:tcPr>
            <w:tcW w:type="dxa" w:w="1987"/>
          </w:tcPr>
          <w:p>
            <w:r>
              <w:rPr>
                <w:sz w:val="18"/>
              </w:rPr>
              <w:t>Carry-Momentum</w:t>
            </w:r>
          </w:p>
        </w:tc>
        <w:tc>
          <w:tcPr>
            <w:tcW w:type="dxa" w:w="1987"/>
          </w:tcPr>
          <w:p>
            <w:r>
              <w:rPr>
                <w:sz w:val="18"/>
              </w:rPr>
              <w:t>-0.14</w:t>
            </w:r>
          </w:p>
        </w:tc>
        <w:tc>
          <w:tcPr>
            <w:tcW w:type="dxa" w:w="1987"/>
          </w:tcPr>
          <w:p>
            <w:r>
              <w:rPr>
                <w:sz w:val="18"/>
              </w:rPr>
              <w:t>-0.03</w:t>
            </w:r>
          </w:p>
        </w:tc>
        <w:tc>
          <w:tcPr>
            <w:tcW w:type="dxa" w:w="1987"/>
          </w:tcPr>
          <w:p>
            <w:r>
              <w:rPr>
                <w:sz w:val="18"/>
              </w:rPr>
              <w:t>+0.13</w:t>
            </w:r>
          </w:p>
        </w:tc>
        <w:tc>
          <w:tcPr>
            <w:tcW w:type="dxa" w:w="1987"/>
          </w:tcPr>
          <w:p>
            <w:r>
              <w:rPr>
                <w:sz w:val="18"/>
              </w:rPr>
              <w:t>+0.06</w:t>
            </w:r>
          </w:p>
        </w:tc>
      </w:tr>
    </w:tbl>
    <w:p/>
    <w:p>
      <w:pPr/>
      <w:r>
        <w:rPr>
          <w:b/>
          <w:sz w:val="18"/>
        </w:rPr>
        <w:t>Table A12. NGL: Strategy Information Ratios by Regime</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tc>
        <w:tc>
          <w:tcPr>
            <w:tcW w:type="dxa" w:w="1656"/>
          </w:tcPr>
          <w:p>
            <w:r>
              <w:rPr>
                <w:sz w:val="18"/>
              </w:rPr>
              <w:t>Full</w:t>
            </w:r>
          </w:p>
        </w:tc>
        <w:tc>
          <w:tcPr>
            <w:tcW w:type="dxa" w:w="1656"/>
          </w:tcPr>
          <w:p>
            <w:r>
              <w:rPr>
                <w:sz w:val="18"/>
              </w:rPr>
              <w:t>2011-16</w:t>
            </w:r>
          </w:p>
        </w:tc>
        <w:tc>
          <w:tcPr>
            <w:tcW w:type="dxa" w:w="1656"/>
          </w:tcPr>
          <w:p>
            <w:r>
              <w:rPr>
                <w:sz w:val="18"/>
              </w:rPr>
              <w:t>2017-21</w:t>
            </w:r>
          </w:p>
        </w:tc>
        <w:tc>
          <w:tcPr>
            <w:tcW w:type="dxa" w:w="1656"/>
          </w:tcPr>
          <w:p>
            <w:r>
              <w:rPr>
                <w:sz w:val="18"/>
              </w:rPr>
              <w:t>2022-26</w:t>
            </w:r>
          </w:p>
        </w:tc>
        <w:tc>
          <w:tcPr>
            <w:tcW w:type="dxa" w:w="1656"/>
          </w:tcPr>
          <w:p>
            <w:r>
              <w:rPr>
                <w:sz w:val="18"/>
              </w:rPr>
              <w:t>2026+</w:t>
            </w:r>
          </w:p>
        </w:tc>
      </w:tr>
      <w:tr>
        <w:tc>
          <w:tcPr>
            <w:tcW w:type="dxa" w:w="1656"/>
          </w:tcPr>
          <w:p>
            <w:r>
              <w:rPr>
                <w:sz w:val="18"/>
              </w:rPr>
              <w:t>Momentum</w:t>
            </w:r>
          </w:p>
        </w:tc>
        <w:tc>
          <w:tcPr>
            <w:tcW w:type="dxa" w:w="1656"/>
          </w:tcPr>
          <w:p>
            <w:r>
              <w:rPr>
                <w:sz w:val="18"/>
              </w:rPr>
              <w:t>+1.03</w:t>
            </w:r>
          </w:p>
        </w:tc>
        <w:tc>
          <w:tcPr>
            <w:tcW w:type="dxa" w:w="1656"/>
          </w:tcPr>
          <w:p>
            <w:r>
              <w:rPr>
                <w:sz w:val="18"/>
              </w:rPr>
              <w:t>+0.81</w:t>
            </w:r>
          </w:p>
        </w:tc>
        <w:tc>
          <w:tcPr>
            <w:tcW w:type="dxa" w:w="1656"/>
          </w:tcPr>
          <w:p>
            <w:r>
              <w:rPr>
                <w:sz w:val="18"/>
              </w:rPr>
              <w:t>+1.87</w:t>
            </w:r>
          </w:p>
        </w:tc>
        <w:tc>
          <w:tcPr>
            <w:tcW w:type="dxa" w:w="1656"/>
          </w:tcPr>
          <w:p>
            <w:r>
              <w:rPr>
                <w:sz w:val="18"/>
              </w:rPr>
              <w:t>+0.41</w:t>
            </w:r>
          </w:p>
        </w:tc>
        <w:tc>
          <w:tcPr>
            <w:tcW w:type="dxa" w:w="1656"/>
          </w:tcPr>
          <w:p>
            <w:r>
              <w:rPr>
                <w:sz w:val="18"/>
              </w:rPr>
              <w:t>+0.89</w:t>
            </w:r>
          </w:p>
        </w:tc>
      </w:tr>
      <w:tr>
        <w:tc>
          <w:tcPr>
            <w:tcW w:type="dxa" w:w="1656"/>
          </w:tcPr>
          <w:p>
            <w:r>
              <w:rPr>
                <w:sz w:val="18"/>
              </w:rPr>
              <w:t>Carry</w:t>
            </w:r>
          </w:p>
        </w:tc>
        <w:tc>
          <w:tcPr>
            <w:tcW w:type="dxa" w:w="1656"/>
          </w:tcPr>
          <w:p>
            <w:r>
              <w:rPr>
                <w:sz w:val="18"/>
              </w:rPr>
              <w:t>+0.92</w:t>
            </w:r>
          </w:p>
        </w:tc>
        <w:tc>
          <w:tcPr>
            <w:tcW w:type="dxa" w:w="1656"/>
          </w:tcPr>
          <w:p>
            <w:r>
              <w:rPr>
                <w:sz w:val="18"/>
              </w:rPr>
              <w:t>+1.41</w:t>
            </w:r>
          </w:p>
        </w:tc>
        <w:tc>
          <w:tcPr>
            <w:tcW w:type="dxa" w:w="1656"/>
          </w:tcPr>
          <w:p>
            <w:r>
              <w:rPr>
                <w:sz w:val="18"/>
              </w:rPr>
              <w:t>+0.81</w:t>
            </w:r>
          </w:p>
        </w:tc>
        <w:tc>
          <w:tcPr>
            <w:tcW w:type="dxa" w:w="1656"/>
          </w:tcPr>
          <w:p>
            <w:r>
              <w:rPr>
                <w:sz w:val="18"/>
              </w:rPr>
              <w:t>+0.45</w:t>
            </w:r>
          </w:p>
        </w:tc>
        <w:tc>
          <w:tcPr>
            <w:tcW w:type="dxa" w:w="1656"/>
          </w:tcPr>
          <w:p>
            <w:r>
              <w:rPr>
                <w:sz w:val="18"/>
              </w:rPr>
              <w:t>+0.23</w:t>
            </w:r>
          </w:p>
        </w:tc>
      </w:tr>
      <w:tr>
        <w:tc>
          <w:tcPr>
            <w:tcW w:type="dxa" w:w="1656"/>
          </w:tcPr>
          <w:p>
            <w:r>
              <w:rPr>
                <w:sz w:val="18"/>
              </w:rPr>
              <w:t>Carry-Momentum</w:t>
            </w:r>
          </w:p>
        </w:tc>
        <w:tc>
          <w:tcPr>
            <w:tcW w:type="dxa" w:w="1656"/>
          </w:tcPr>
          <w:p>
            <w:r>
              <w:rPr>
                <w:sz w:val="18"/>
              </w:rPr>
              <w:t>+0.61</w:t>
            </w:r>
          </w:p>
        </w:tc>
        <w:tc>
          <w:tcPr>
            <w:tcW w:type="dxa" w:w="1656"/>
          </w:tcPr>
          <w:p>
            <w:r>
              <w:rPr>
                <w:sz w:val="18"/>
              </w:rPr>
              <w:t>+0.51</w:t>
            </w:r>
          </w:p>
        </w:tc>
        <w:tc>
          <w:tcPr>
            <w:tcW w:type="dxa" w:w="1656"/>
          </w:tcPr>
          <w:p>
            <w:r>
              <w:rPr>
                <w:sz w:val="18"/>
              </w:rPr>
              <w:t>+0.59</w:t>
            </w:r>
          </w:p>
        </w:tc>
        <w:tc>
          <w:tcPr>
            <w:tcW w:type="dxa" w:w="1656"/>
          </w:tcPr>
          <w:p>
            <w:r>
              <w:rPr>
                <w:sz w:val="18"/>
              </w:rPr>
              <w:t>+0.80</w:t>
            </w:r>
          </w:p>
        </w:tc>
        <w:tc>
          <w:tcPr>
            <w:tcW w:type="dxa" w:w="1656"/>
          </w:tcPr>
          <w:p>
            <w:r>
              <w:rPr>
                <w:sz w:val="18"/>
              </w:rPr>
              <w:t>+1.61</w:t>
            </w:r>
          </w:p>
        </w:tc>
      </w:tr>
      <w:tr>
        <w:tc>
          <w:tcPr>
            <w:tcW w:type="dxa" w:w="1656"/>
          </w:tcPr>
          <w:p>
            <w:r>
              <w:rPr>
                <w:sz w:val="18"/>
              </w:rPr>
              <w:t>Value</w:t>
            </w:r>
          </w:p>
        </w:tc>
        <w:tc>
          <w:tcPr>
            <w:tcW w:type="dxa" w:w="1656"/>
          </w:tcPr>
          <w:p>
            <w:r>
              <w:rPr>
                <w:sz w:val="18"/>
              </w:rPr>
              <w:t>+0.07</w:t>
            </w:r>
          </w:p>
        </w:tc>
        <w:tc>
          <w:tcPr>
            <w:tcW w:type="dxa" w:w="1656"/>
          </w:tcPr>
          <w:p>
            <w:r>
              <w:rPr>
                <w:sz w:val="18"/>
              </w:rPr>
              <w:t>-0.42</w:t>
            </w:r>
          </w:p>
        </w:tc>
        <w:tc>
          <w:tcPr>
            <w:tcW w:type="dxa" w:w="1656"/>
          </w:tcPr>
          <w:p>
            <w:r>
              <w:rPr>
                <w:sz w:val="18"/>
              </w:rPr>
              <w:t>+0.05</w:t>
            </w:r>
          </w:p>
        </w:tc>
        <w:tc>
          <w:tcPr>
            <w:tcW w:type="dxa" w:w="1656"/>
          </w:tcPr>
          <w:p>
            <w:r>
              <w:rPr>
                <w:sz w:val="18"/>
              </w:rPr>
              <w:t>+0.87</w:t>
            </w:r>
          </w:p>
        </w:tc>
        <w:tc>
          <w:tcPr>
            <w:tcW w:type="dxa" w:w="1656"/>
          </w:tcPr>
          <w:p>
            <w:r>
              <w:rPr>
                <w:sz w:val="18"/>
              </w:rPr>
              <w:t>+2.72</w:t>
            </w:r>
          </w:p>
        </w:tc>
      </w:tr>
    </w:tbl>
    <w:p/>
    <w:p>
      <w:pPr/>
      <w:r>
        <w:rPr>
          <w:b/>
          <w:sz w:val="18"/>
        </w:rPr>
        <w:t>Table A13. NGL: Portfolio Construction Information Ratios by Regime</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tc>
        <w:tc>
          <w:tcPr>
            <w:tcW w:type="dxa" w:w="1656"/>
          </w:tcPr>
          <w:p>
            <w:r>
              <w:rPr>
                <w:sz w:val="18"/>
              </w:rPr>
              <w:t>Full</w:t>
            </w:r>
          </w:p>
        </w:tc>
        <w:tc>
          <w:tcPr>
            <w:tcW w:type="dxa" w:w="1656"/>
          </w:tcPr>
          <w:p>
            <w:r>
              <w:rPr>
                <w:sz w:val="18"/>
              </w:rPr>
              <w:t>2011-16</w:t>
            </w:r>
          </w:p>
        </w:tc>
        <w:tc>
          <w:tcPr>
            <w:tcW w:type="dxa" w:w="1656"/>
          </w:tcPr>
          <w:p>
            <w:r>
              <w:rPr>
                <w:sz w:val="18"/>
              </w:rPr>
              <w:t>2017-21</w:t>
            </w:r>
          </w:p>
        </w:tc>
        <w:tc>
          <w:tcPr>
            <w:tcW w:type="dxa" w:w="1656"/>
          </w:tcPr>
          <w:p>
            <w:r>
              <w:rPr>
                <w:sz w:val="18"/>
              </w:rPr>
              <w:t>2022-26</w:t>
            </w:r>
          </w:p>
        </w:tc>
        <w:tc>
          <w:tcPr>
            <w:tcW w:type="dxa" w:w="1656"/>
          </w:tcPr>
          <w:p>
            <w:r>
              <w:rPr>
                <w:sz w:val="18"/>
              </w:rPr>
              <w:t>2026+</w:t>
            </w:r>
          </w:p>
        </w:tc>
      </w:tr>
      <w:tr>
        <w:tc>
          <w:tcPr>
            <w:tcW w:type="dxa" w:w="1656"/>
          </w:tcPr>
          <w:p>
            <w:r>
              <w:rPr>
                <w:sz w:val="18"/>
              </w:rPr>
              <w:t>Equal Weight</w:t>
            </w:r>
          </w:p>
        </w:tc>
        <w:tc>
          <w:tcPr>
            <w:tcW w:type="dxa" w:w="1656"/>
          </w:tcPr>
          <w:p>
            <w:r>
              <w:rPr>
                <w:sz w:val="18"/>
              </w:rPr>
              <w:t>+1.14</w:t>
            </w:r>
          </w:p>
        </w:tc>
        <w:tc>
          <w:tcPr>
            <w:tcW w:type="dxa" w:w="1656"/>
          </w:tcPr>
          <w:p>
            <w:r>
              <w:rPr>
                <w:sz w:val="18"/>
              </w:rPr>
              <w:t>+1.01</w:t>
            </w:r>
          </w:p>
        </w:tc>
        <w:tc>
          <w:tcPr>
            <w:tcW w:type="dxa" w:w="1656"/>
          </w:tcPr>
          <w:p>
            <w:r>
              <w:rPr>
                <w:sz w:val="18"/>
              </w:rPr>
              <w:t>+1.40</w:t>
            </w:r>
          </w:p>
        </w:tc>
        <w:tc>
          <w:tcPr>
            <w:tcW w:type="dxa" w:w="1656"/>
          </w:tcPr>
          <w:p>
            <w:r>
              <w:rPr>
                <w:sz w:val="18"/>
              </w:rPr>
              <w:t>+1.00</w:t>
            </w:r>
          </w:p>
        </w:tc>
        <w:tc>
          <w:tcPr>
            <w:tcW w:type="dxa" w:w="1656"/>
          </w:tcPr>
          <w:p>
            <w:r>
              <w:rPr>
                <w:sz w:val="18"/>
              </w:rPr>
              <w:t>+1.88</w:t>
            </w:r>
          </w:p>
        </w:tc>
      </w:tr>
      <w:tr>
        <w:tc>
          <w:tcPr>
            <w:tcW w:type="dxa" w:w="1656"/>
          </w:tcPr>
          <w:p>
            <w:r>
              <w:rPr>
                <w:sz w:val="18"/>
              </w:rPr>
              <w:t>Inverse Vol</w:t>
            </w:r>
          </w:p>
        </w:tc>
        <w:tc>
          <w:tcPr>
            <w:tcW w:type="dxa" w:w="1656"/>
          </w:tcPr>
          <w:p>
            <w:r>
              <w:rPr>
                <w:sz w:val="18"/>
              </w:rPr>
              <w:t>+1.11</w:t>
            </w:r>
          </w:p>
        </w:tc>
        <w:tc>
          <w:tcPr>
            <w:tcW w:type="dxa" w:w="1656"/>
          </w:tcPr>
          <w:p>
            <w:r>
              <w:rPr>
                <w:sz w:val="18"/>
              </w:rPr>
              <w:t>+1.06</w:t>
            </w:r>
          </w:p>
        </w:tc>
        <w:tc>
          <w:tcPr>
            <w:tcW w:type="dxa" w:w="1656"/>
          </w:tcPr>
          <w:p>
            <w:r>
              <w:rPr>
                <w:sz w:val="18"/>
              </w:rPr>
              <w:t>+1.21</w:t>
            </w:r>
          </w:p>
        </w:tc>
        <w:tc>
          <w:tcPr>
            <w:tcW w:type="dxa" w:w="1656"/>
          </w:tcPr>
          <w:p>
            <w:r>
              <w:rPr>
                <w:sz w:val="18"/>
              </w:rPr>
              <w:t>+1.05</w:t>
            </w:r>
          </w:p>
        </w:tc>
        <w:tc>
          <w:tcPr>
            <w:tcW w:type="dxa" w:w="1656"/>
          </w:tcPr>
          <w:p>
            <w:r>
              <w:rPr>
                <w:sz w:val="18"/>
              </w:rPr>
              <w:t>+1.86</w:t>
            </w:r>
          </w:p>
        </w:tc>
      </w:tr>
    </w:tbl>
    <w:p/>
    <w:p>
      <w:pPr/>
      <w:r>
        <w:rPr>
          <w:b/>
          <w:sz w:val="18"/>
        </w:rPr>
        <w:t>Table A14. NGL: Individual-Product Information Ratios, All Strategies (Full Sample)</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tc>
        <w:tc>
          <w:tcPr>
            <w:tcW w:type="dxa" w:w="1987"/>
          </w:tcPr>
          <w:p>
            <w:r>
              <w:rPr>
                <w:sz w:val="18"/>
              </w:rPr>
              <w:t>Ethane</w:t>
            </w:r>
          </w:p>
        </w:tc>
        <w:tc>
          <w:tcPr>
            <w:tcW w:type="dxa" w:w="1987"/>
          </w:tcPr>
          <w:p>
            <w:r>
              <w:rPr>
                <w:sz w:val="18"/>
              </w:rPr>
              <w:t>Propane</w:t>
            </w:r>
          </w:p>
        </w:tc>
        <w:tc>
          <w:tcPr>
            <w:tcW w:type="dxa" w:w="1987"/>
          </w:tcPr>
          <w:p>
            <w:r>
              <w:rPr>
                <w:sz w:val="18"/>
              </w:rPr>
              <w:t>Butane</w:t>
            </w:r>
          </w:p>
        </w:tc>
        <w:tc>
          <w:tcPr>
            <w:tcW w:type="dxa" w:w="1987"/>
          </w:tcPr>
          <w:p>
            <w:r>
              <w:rPr>
                <w:sz w:val="18"/>
              </w:rPr>
              <w:t>Isobutane</w:t>
            </w:r>
          </w:p>
        </w:tc>
      </w:tr>
      <w:tr>
        <w:tc>
          <w:tcPr>
            <w:tcW w:type="dxa" w:w="1987"/>
          </w:tcPr>
          <w:p>
            <w:r>
              <w:rPr>
                <w:sz w:val="18"/>
              </w:rPr>
              <w:t>Momentum</w:t>
            </w:r>
          </w:p>
        </w:tc>
        <w:tc>
          <w:tcPr>
            <w:tcW w:type="dxa" w:w="1987"/>
          </w:tcPr>
          <w:p>
            <w:r>
              <w:rPr>
                <w:sz w:val="18"/>
              </w:rPr>
              <w:t>+0.80</w:t>
            </w:r>
          </w:p>
        </w:tc>
        <w:tc>
          <w:tcPr>
            <w:tcW w:type="dxa" w:w="1987"/>
          </w:tcPr>
          <w:p>
            <w:r>
              <w:rPr>
                <w:sz w:val="18"/>
              </w:rPr>
              <w:t>+0.60</w:t>
            </w:r>
          </w:p>
        </w:tc>
        <w:tc>
          <w:tcPr>
            <w:tcW w:type="dxa" w:w="1987"/>
          </w:tcPr>
          <w:p>
            <w:r>
              <w:rPr>
                <w:sz w:val="18"/>
              </w:rPr>
              <w:t>+0.98</w:t>
            </w:r>
          </w:p>
        </w:tc>
        <w:tc>
          <w:tcPr>
            <w:tcW w:type="dxa" w:w="1987"/>
          </w:tcPr>
          <w:p>
            <w:r>
              <w:rPr>
                <w:sz w:val="18"/>
              </w:rPr>
              <w:t>+0.67</w:t>
            </w:r>
          </w:p>
        </w:tc>
      </w:tr>
      <w:tr>
        <w:tc>
          <w:tcPr>
            <w:tcW w:type="dxa" w:w="1987"/>
          </w:tcPr>
          <w:p>
            <w:r>
              <w:rPr>
                <w:sz w:val="18"/>
              </w:rPr>
              <w:t>Carry</w:t>
            </w:r>
          </w:p>
        </w:tc>
        <w:tc>
          <w:tcPr>
            <w:tcW w:type="dxa" w:w="1987"/>
          </w:tcPr>
          <w:p>
            <w:r>
              <w:rPr>
                <w:sz w:val="18"/>
              </w:rPr>
              <w:t>+0.40</w:t>
            </w:r>
          </w:p>
        </w:tc>
        <w:tc>
          <w:tcPr>
            <w:tcW w:type="dxa" w:w="1987"/>
          </w:tcPr>
          <w:p>
            <w:r>
              <w:rPr>
                <w:sz w:val="18"/>
              </w:rPr>
              <w:t>+0.85</w:t>
            </w:r>
          </w:p>
        </w:tc>
        <w:tc>
          <w:tcPr>
            <w:tcW w:type="dxa" w:w="1987"/>
          </w:tcPr>
          <w:p>
            <w:r>
              <w:rPr>
                <w:sz w:val="18"/>
              </w:rPr>
              <w:t>+0.65</w:t>
            </w:r>
          </w:p>
        </w:tc>
        <w:tc>
          <w:tcPr>
            <w:tcW w:type="dxa" w:w="1987"/>
          </w:tcPr>
          <w:p>
            <w:r>
              <w:rPr>
                <w:sz w:val="18"/>
              </w:rPr>
              <w:t>+0.71</w:t>
            </w:r>
          </w:p>
        </w:tc>
      </w:tr>
      <w:tr>
        <w:tc>
          <w:tcPr>
            <w:tcW w:type="dxa" w:w="1987"/>
          </w:tcPr>
          <w:p>
            <w:r>
              <w:rPr>
                <w:sz w:val="18"/>
              </w:rPr>
              <w:t>Carry-Momentum</w:t>
            </w:r>
          </w:p>
        </w:tc>
        <w:tc>
          <w:tcPr>
            <w:tcW w:type="dxa" w:w="1987"/>
          </w:tcPr>
          <w:p>
            <w:r>
              <w:rPr>
                <w:sz w:val="18"/>
              </w:rPr>
              <w:t>+0.13</w:t>
            </w:r>
          </w:p>
        </w:tc>
        <w:tc>
          <w:tcPr>
            <w:tcW w:type="dxa" w:w="1987"/>
          </w:tcPr>
          <w:p>
            <w:r>
              <w:rPr>
                <w:sz w:val="18"/>
              </w:rPr>
              <w:t>+0.48</w:t>
            </w:r>
          </w:p>
        </w:tc>
        <w:tc>
          <w:tcPr>
            <w:tcW w:type="dxa" w:w="1987"/>
          </w:tcPr>
          <w:p>
            <w:r>
              <w:rPr>
                <w:sz w:val="18"/>
              </w:rPr>
              <w:t>+0.65</w:t>
            </w:r>
          </w:p>
        </w:tc>
        <w:tc>
          <w:tcPr>
            <w:tcW w:type="dxa" w:w="1987"/>
          </w:tcPr>
          <w:p>
            <w:r>
              <w:rPr>
                <w:sz w:val="18"/>
              </w:rPr>
              <w:t>+0.53</w:t>
            </w:r>
          </w:p>
        </w:tc>
      </w:tr>
      <w:tr>
        <w:tc>
          <w:tcPr>
            <w:tcW w:type="dxa" w:w="1987"/>
          </w:tcPr>
          <w:p>
            <w:r>
              <w:rPr>
                <w:sz w:val="18"/>
              </w:rPr>
              <w:t>Value</w:t>
            </w:r>
          </w:p>
        </w:tc>
        <w:tc>
          <w:tcPr>
            <w:tcW w:type="dxa" w:w="1987"/>
          </w:tcPr>
          <w:p>
            <w:r>
              <w:rPr>
                <w:sz w:val="18"/>
              </w:rPr>
              <w:t>-0.13</w:t>
            </w:r>
          </w:p>
        </w:tc>
        <w:tc>
          <w:tcPr>
            <w:tcW w:type="dxa" w:w="1987"/>
          </w:tcPr>
          <w:p>
            <w:r>
              <w:rPr>
                <w:sz w:val="18"/>
              </w:rPr>
              <w:t>+0.00</w:t>
            </w:r>
          </w:p>
        </w:tc>
        <w:tc>
          <w:tcPr>
            <w:tcW w:type="dxa" w:w="1987"/>
          </w:tcPr>
          <w:p>
            <w:r>
              <w:rPr>
                <w:sz w:val="18"/>
              </w:rPr>
              <w:t>+0.25</w:t>
            </w:r>
          </w:p>
        </w:tc>
        <w:tc>
          <w:tcPr>
            <w:tcW w:type="dxa" w:w="1987"/>
          </w:tcPr>
          <w:p>
            <w:r>
              <w:rPr>
                <w:sz w:val="18"/>
              </w:rPr>
              <w:t>+0.15</w:t>
            </w:r>
          </w:p>
        </w:tc>
      </w:tr>
    </w:tbl>
    <w:p/>
    <w:p>
      <w:pPr/>
      <w:r>
        <w:rPr>
          <w:b/>
          <w:sz w:val="18"/>
        </w:rPr>
        <w:t>Table A15. Agriculture: Strategy Information Ratios by Regime</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tc>
        <w:tc>
          <w:tcPr>
            <w:tcW w:type="dxa" w:w="1656"/>
          </w:tcPr>
          <w:p>
            <w:r>
              <w:rPr>
                <w:sz w:val="18"/>
              </w:rPr>
              <w:t>Full</w:t>
            </w:r>
          </w:p>
        </w:tc>
        <w:tc>
          <w:tcPr>
            <w:tcW w:type="dxa" w:w="1656"/>
          </w:tcPr>
          <w:p>
            <w:r>
              <w:rPr>
                <w:sz w:val="18"/>
              </w:rPr>
              <w:t>2011-16</w:t>
            </w:r>
          </w:p>
        </w:tc>
        <w:tc>
          <w:tcPr>
            <w:tcW w:type="dxa" w:w="1656"/>
          </w:tcPr>
          <w:p>
            <w:r>
              <w:rPr>
                <w:sz w:val="18"/>
              </w:rPr>
              <w:t>2017-21</w:t>
            </w:r>
          </w:p>
        </w:tc>
        <w:tc>
          <w:tcPr>
            <w:tcW w:type="dxa" w:w="1656"/>
          </w:tcPr>
          <w:p>
            <w:r>
              <w:rPr>
                <w:sz w:val="18"/>
              </w:rPr>
              <w:t>2022-26</w:t>
            </w:r>
          </w:p>
        </w:tc>
        <w:tc>
          <w:tcPr>
            <w:tcW w:type="dxa" w:w="1656"/>
          </w:tcPr>
          <w:p>
            <w:r>
              <w:rPr>
                <w:sz w:val="18"/>
              </w:rPr>
              <w:t>2026+</w:t>
            </w:r>
          </w:p>
        </w:tc>
      </w:tr>
      <w:tr>
        <w:tc>
          <w:tcPr>
            <w:tcW w:type="dxa" w:w="1656"/>
          </w:tcPr>
          <w:p>
            <w:r>
              <w:rPr>
                <w:sz w:val="18"/>
              </w:rPr>
              <w:t>Momentum</w:t>
            </w:r>
          </w:p>
        </w:tc>
        <w:tc>
          <w:tcPr>
            <w:tcW w:type="dxa" w:w="1656"/>
          </w:tcPr>
          <w:p>
            <w:r>
              <w:rPr>
                <w:sz w:val="18"/>
              </w:rPr>
              <w:t>-0.15</w:t>
            </w:r>
          </w:p>
        </w:tc>
        <w:tc>
          <w:tcPr>
            <w:tcW w:type="dxa" w:w="1656"/>
          </w:tcPr>
          <w:p>
            <w:r>
              <w:rPr>
                <w:sz w:val="18"/>
              </w:rPr>
              <w:t>-0.23</w:t>
            </w:r>
          </w:p>
        </w:tc>
        <w:tc>
          <w:tcPr>
            <w:tcW w:type="dxa" w:w="1656"/>
          </w:tcPr>
          <w:p>
            <w:r>
              <w:rPr>
                <w:sz w:val="18"/>
              </w:rPr>
              <w:t>+0.11</w:t>
            </w:r>
          </w:p>
        </w:tc>
        <w:tc>
          <w:tcPr>
            <w:tcW w:type="dxa" w:w="1656"/>
          </w:tcPr>
          <w:p>
            <w:r>
              <w:rPr>
                <w:sz w:val="18"/>
              </w:rPr>
              <w:t>-0.31</w:t>
            </w:r>
          </w:p>
        </w:tc>
        <w:tc>
          <w:tcPr>
            <w:tcW w:type="dxa" w:w="1656"/>
          </w:tcPr>
          <w:p>
            <w:r>
              <w:rPr>
                <w:sz w:val="18"/>
              </w:rPr>
              <w:t>+0.40</w:t>
            </w:r>
          </w:p>
        </w:tc>
      </w:tr>
      <w:tr>
        <w:tc>
          <w:tcPr>
            <w:tcW w:type="dxa" w:w="1656"/>
          </w:tcPr>
          <w:p>
            <w:r>
              <w:rPr>
                <w:sz w:val="18"/>
              </w:rPr>
              <w:t>Carry</w:t>
            </w:r>
          </w:p>
        </w:tc>
        <w:tc>
          <w:tcPr>
            <w:tcW w:type="dxa" w:w="1656"/>
          </w:tcPr>
          <w:p>
            <w:r>
              <w:rPr>
                <w:sz w:val="18"/>
              </w:rPr>
              <w:t>-0.13</w:t>
            </w:r>
          </w:p>
        </w:tc>
        <w:tc>
          <w:tcPr>
            <w:tcW w:type="dxa" w:w="1656"/>
          </w:tcPr>
          <w:p>
            <w:r>
              <w:rPr>
                <w:sz w:val="18"/>
              </w:rPr>
              <w:t>-0.20</w:t>
            </w:r>
          </w:p>
        </w:tc>
        <w:tc>
          <w:tcPr>
            <w:tcW w:type="dxa" w:w="1656"/>
          </w:tcPr>
          <w:p>
            <w:r>
              <w:rPr>
                <w:sz w:val="18"/>
              </w:rPr>
              <w:t>+0.48</w:t>
            </w:r>
          </w:p>
        </w:tc>
        <w:tc>
          <w:tcPr>
            <w:tcW w:type="dxa" w:w="1656"/>
          </w:tcPr>
          <w:p>
            <w:r>
              <w:rPr>
                <w:sz w:val="18"/>
              </w:rPr>
              <w:t>-0.67</w:t>
            </w:r>
          </w:p>
        </w:tc>
        <w:tc>
          <w:tcPr>
            <w:tcW w:type="dxa" w:w="1656"/>
          </w:tcPr>
          <w:p>
            <w:r>
              <w:rPr>
                <w:sz w:val="18"/>
              </w:rPr>
              <w:t>-0.50</w:t>
            </w:r>
          </w:p>
        </w:tc>
      </w:tr>
      <w:tr>
        <w:tc>
          <w:tcPr>
            <w:tcW w:type="dxa" w:w="1656"/>
          </w:tcPr>
          <w:p>
            <w:r>
              <w:rPr>
                <w:sz w:val="18"/>
              </w:rPr>
              <w:t>Carry-Momentum</w:t>
            </w:r>
          </w:p>
        </w:tc>
        <w:tc>
          <w:tcPr>
            <w:tcW w:type="dxa" w:w="1656"/>
          </w:tcPr>
          <w:p>
            <w:r>
              <w:rPr>
                <w:sz w:val="18"/>
              </w:rPr>
              <w:t>-0.20</w:t>
            </w:r>
          </w:p>
        </w:tc>
        <w:tc>
          <w:tcPr>
            <w:tcW w:type="dxa" w:w="1656"/>
          </w:tcPr>
          <w:p>
            <w:r>
              <w:rPr>
                <w:sz w:val="18"/>
              </w:rPr>
              <w:t>-0.02</w:t>
            </w:r>
          </w:p>
        </w:tc>
        <w:tc>
          <w:tcPr>
            <w:tcW w:type="dxa" w:w="1656"/>
          </w:tcPr>
          <w:p>
            <w:r>
              <w:rPr>
                <w:sz w:val="18"/>
              </w:rPr>
              <w:t>+0.20</w:t>
            </w:r>
          </w:p>
        </w:tc>
        <w:tc>
          <w:tcPr>
            <w:tcW w:type="dxa" w:w="1656"/>
          </w:tcPr>
          <w:p>
            <w:r>
              <w:rPr>
                <w:sz w:val="18"/>
              </w:rPr>
              <w:t>-0.78</w:t>
            </w:r>
          </w:p>
        </w:tc>
        <w:tc>
          <w:tcPr>
            <w:tcW w:type="dxa" w:w="1656"/>
          </w:tcPr>
          <w:p>
            <w:r>
              <w:rPr>
                <w:sz w:val="18"/>
              </w:rPr>
              <w:t>-0.95</w:t>
            </w:r>
          </w:p>
        </w:tc>
      </w:tr>
      <w:tr>
        <w:tc>
          <w:tcPr>
            <w:tcW w:type="dxa" w:w="1656"/>
          </w:tcPr>
          <w:p>
            <w:r>
              <w:rPr>
                <w:sz w:val="18"/>
              </w:rPr>
              <w:t>Value</w:t>
            </w:r>
          </w:p>
        </w:tc>
        <w:tc>
          <w:tcPr>
            <w:tcW w:type="dxa" w:w="1656"/>
          </w:tcPr>
          <w:p>
            <w:r>
              <w:rPr>
                <w:sz w:val="18"/>
              </w:rPr>
              <w:t>-0.01</w:t>
            </w:r>
          </w:p>
        </w:tc>
        <w:tc>
          <w:tcPr>
            <w:tcW w:type="dxa" w:w="1656"/>
          </w:tcPr>
          <w:p>
            <w:r>
              <w:rPr>
                <w:sz w:val="18"/>
              </w:rPr>
              <w:t>+0.19</w:t>
            </w:r>
          </w:p>
        </w:tc>
        <w:tc>
          <w:tcPr>
            <w:tcW w:type="dxa" w:w="1656"/>
          </w:tcPr>
          <w:p>
            <w:r>
              <w:rPr>
                <w:sz w:val="18"/>
              </w:rPr>
              <w:t>-0.24</w:t>
            </w:r>
          </w:p>
        </w:tc>
        <w:tc>
          <w:tcPr>
            <w:tcW w:type="dxa" w:w="1656"/>
          </w:tcPr>
          <w:p>
            <w:r>
              <w:rPr>
                <w:sz w:val="18"/>
              </w:rPr>
              <w:t>-0.07</w:t>
            </w:r>
          </w:p>
        </w:tc>
        <w:tc>
          <w:tcPr>
            <w:tcW w:type="dxa" w:w="1656"/>
          </w:tcPr>
          <w:p>
            <w:r>
              <w:rPr>
                <w:sz w:val="18"/>
              </w:rPr>
              <w:t>+2.12</w:t>
            </w:r>
          </w:p>
        </w:tc>
      </w:tr>
    </w:tbl>
    <w:p/>
    <w:p>
      <w:pPr/>
      <w:r>
        <w:rPr>
          <w:b/>
          <w:sz w:val="18"/>
        </w:rPr>
        <w:t>Table A16. Agriculture: Portfolio Construction Information Ratios by Regime</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tc>
        <w:tc>
          <w:tcPr>
            <w:tcW w:type="dxa" w:w="1656"/>
          </w:tcPr>
          <w:p>
            <w:r>
              <w:rPr>
                <w:sz w:val="18"/>
              </w:rPr>
              <w:t>Full</w:t>
            </w:r>
          </w:p>
        </w:tc>
        <w:tc>
          <w:tcPr>
            <w:tcW w:type="dxa" w:w="1656"/>
          </w:tcPr>
          <w:p>
            <w:r>
              <w:rPr>
                <w:sz w:val="18"/>
              </w:rPr>
              <w:t>2011-16</w:t>
            </w:r>
          </w:p>
        </w:tc>
        <w:tc>
          <w:tcPr>
            <w:tcW w:type="dxa" w:w="1656"/>
          </w:tcPr>
          <w:p>
            <w:r>
              <w:rPr>
                <w:sz w:val="18"/>
              </w:rPr>
              <w:t>2017-21</w:t>
            </w:r>
          </w:p>
        </w:tc>
        <w:tc>
          <w:tcPr>
            <w:tcW w:type="dxa" w:w="1656"/>
          </w:tcPr>
          <w:p>
            <w:r>
              <w:rPr>
                <w:sz w:val="18"/>
              </w:rPr>
              <w:t>2022-26</w:t>
            </w:r>
          </w:p>
        </w:tc>
        <w:tc>
          <w:tcPr>
            <w:tcW w:type="dxa" w:w="1656"/>
          </w:tcPr>
          <w:p>
            <w:r>
              <w:rPr>
                <w:sz w:val="18"/>
              </w:rPr>
              <w:t>2026+</w:t>
            </w:r>
          </w:p>
        </w:tc>
      </w:tr>
      <w:tr>
        <w:tc>
          <w:tcPr>
            <w:tcW w:type="dxa" w:w="1656"/>
          </w:tcPr>
          <w:p>
            <w:r>
              <w:rPr>
                <w:sz w:val="18"/>
              </w:rPr>
              <w:t>Equal Weight</w:t>
            </w:r>
          </w:p>
        </w:tc>
        <w:tc>
          <w:tcPr>
            <w:tcW w:type="dxa" w:w="1656"/>
          </w:tcPr>
          <w:p>
            <w:r>
              <w:rPr>
                <w:sz w:val="18"/>
              </w:rPr>
              <w:t>-0.21</w:t>
            </w:r>
          </w:p>
        </w:tc>
        <w:tc>
          <w:tcPr>
            <w:tcW w:type="dxa" w:w="1656"/>
          </w:tcPr>
          <w:p>
            <w:r>
              <w:rPr>
                <w:sz w:val="18"/>
              </w:rPr>
              <w:t>-0.10</w:t>
            </w:r>
          </w:p>
        </w:tc>
        <w:tc>
          <w:tcPr>
            <w:tcW w:type="dxa" w:w="1656"/>
          </w:tcPr>
          <w:p>
            <w:r>
              <w:rPr>
                <w:sz w:val="18"/>
              </w:rPr>
              <w:t>+0.22</w:t>
            </w:r>
          </w:p>
        </w:tc>
        <w:tc>
          <w:tcPr>
            <w:tcW w:type="dxa" w:w="1656"/>
          </w:tcPr>
          <w:p>
            <w:r>
              <w:rPr>
                <w:sz w:val="18"/>
              </w:rPr>
              <w:t>-0.76</w:t>
            </w:r>
          </w:p>
        </w:tc>
        <w:tc>
          <w:tcPr>
            <w:tcW w:type="dxa" w:w="1656"/>
          </w:tcPr>
          <w:p>
            <w:r>
              <w:rPr>
                <w:sz w:val="18"/>
              </w:rPr>
              <w:t>+0.34</w:t>
            </w:r>
          </w:p>
        </w:tc>
      </w:tr>
      <w:tr>
        <w:tc>
          <w:tcPr>
            <w:tcW w:type="dxa" w:w="1656"/>
          </w:tcPr>
          <w:p>
            <w:r>
              <w:rPr>
                <w:sz w:val="18"/>
              </w:rPr>
              <w:t>Inverse Vol</w:t>
            </w:r>
          </w:p>
        </w:tc>
        <w:tc>
          <w:tcPr>
            <w:tcW w:type="dxa" w:w="1656"/>
          </w:tcPr>
          <w:p>
            <w:r>
              <w:rPr>
                <w:sz w:val="18"/>
              </w:rPr>
              <w:t>-0.24</w:t>
            </w:r>
          </w:p>
        </w:tc>
        <w:tc>
          <w:tcPr>
            <w:tcW w:type="dxa" w:w="1656"/>
          </w:tcPr>
          <w:p>
            <w:r>
              <w:rPr>
                <w:sz w:val="18"/>
              </w:rPr>
              <w:t>-0.24</w:t>
            </w:r>
          </w:p>
        </w:tc>
        <w:tc>
          <w:tcPr>
            <w:tcW w:type="dxa" w:w="1656"/>
          </w:tcPr>
          <w:p>
            <w:r>
              <w:rPr>
                <w:sz w:val="18"/>
              </w:rPr>
              <w:t>+0.22</w:t>
            </w:r>
          </w:p>
        </w:tc>
        <w:tc>
          <w:tcPr>
            <w:tcW w:type="dxa" w:w="1656"/>
          </w:tcPr>
          <w:p>
            <w:r>
              <w:rPr>
                <w:sz w:val="18"/>
              </w:rPr>
              <w:t>-0.67</w:t>
            </w:r>
          </w:p>
        </w:tc>
        <w:tc>
          <w:tcPr>
            <w:tcW w:type="dxa" w:w="1656"/>
          </w:tcPr>
          <w:p>
            <w:r>
              <w:rPr>
                <w:sz w:val="18"/>
              </w:rPr>
              <w:t>+0.41</w:t>
            </w:r>
          </w:p>
        </w:tc>
      </w:tr>
    </w:tbl>
    <w:p/>
    <w:p>
      <w:pPr/>
      <w:r>
        <w:rPr>
          <w:b/>
          <w:sz w:val="18"/>
        </w:rPr>
        <w:t>Table A17. Agriculture: Individual-Product Information Ratios, All Strategies (Full Sample)</w:t>
      </w:r>
    </w:p>
    <w:tbl>
      <w:tblPr>
        <w:tblStyle w:val="LightGrid-Accent1"/>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tc>
        <w:tc>
          <w:tcPr>
            <w:tcW w:type="dxa" w:w="1419"/>
          </w:tcPr>
          <w:p>
            <w:r>
              <w:rPr>
                <w:sz w:val="18"/>
              </w:rPr>
              <w:t>Corn</w:t>
            </w:r>
          </w:p>
        </w:tc>
        <w:tc>
          <w:tcPr>
            <w:tcW w:type="dxa" w:w="1419"/>
          </w:tcPr>
          <w:p>
            <w:r>
              <w:rPr>
                <w:sz w:val="18"/>
              </w:rPr>
              <w:t>Wheat</w:t>
            </w:r>
          </w:p>
        </w:tc>
        <w:tc>
          <w:tcPr>
            <w:tcW w:type="dxa" w:w="1419"/>
          </w:tcPr>
          <w:p>
            <w:r>
              <w:rPr>
                <w:sz w:val="18"/>
              </w:rPr>
              <w:t>Soybean</w:t>
            </w:r>
          </w:p>
        </w:tc>
        <w:tc>
          <w:tcPr>
            <w:tcW w:type="dxa" w:w="1419"/>
          </w:tcPr>
          <w:p>
            <w:r>
              <w:rPr>
                <w:sz w:val="18"/>
              </w:rPr>
              <w:t>SoybeanOil</w:t>
            </w:r>
          </w:p>
        </w:tc>
        <w:tc>
          <w:tcPr>
            <w:tcW w:type="dxa" w:w="1419"/>
          </w:tcPr>
          <w:p>
            <w:r>
              <w:rPr>
                <w:sz w:val="18"/>
              </w:rPr>
              <w:t>Coffee</w:t>
            </w:r>
          </w:p>
        </w:tc>
        <w:tc>
          <w:tcPr>
            <w:tcW w:type="dxa" w:w="1419"/>
          </w:tcPr>
          <w:p>
            <w:r>
              <w:rPr>
                <w:sz w:val="18"/>
              </w:rPr>
              <w:t>Sugar</w:t>
            </w:r>
          </w:p>
        </w:tc>
      </w:tr>
      <w:tr>
        <w:tc>
          <w:tcPr>
            <w:tcW w:type="dxa" w:w="1419"/>
          </w:tcPr>
          <w:p>
            <w:r>
              <w:rPr>
                <w:sz w:val="18"/>
              </w:rPr>
              <w:t>Momentum</w:t>
            </w:r>
          </w:p>
        </w:tc>
        <w:tc>
          <w:tcPr>
            <w:tcW w:type="dxa" w:w="1419"/>
          </w:tcPr>
          <w:p>
            <w:r>
              <w:rPr>
                <w:sz w:val="18"/>
              </w:rPr>
              <w:t>-0.29</w:t>
            </w:r>
          </w:p>
        </w:tc>
        <w:tc>
          <w:tcPr>
            <w:tcW w:type="dxa" w:w="1419"/>
          </w:tcPr>
          <w:p>
            <w:r>
              <w:rPr>
                <w:sz w:val="18"/>
              </w:rPr>
              <w:t>-0.19</w:t>
            </w:r>
          </w:p>
        </w:tc>
        <w:tc>
          <w:tcPr>
            <w:tcW w:type="dxa" w:w="1419"/>
          </w:tcPr>
          <w:p>
            <w:r>
              <w:rPr>
                <w:sz w:val="18"/>
              </w:rPr>
              <w:t>-0.19</w:t>
            </w:r>
          </w:p>
        </w:tc>
        <w:tc>
          <w:tcPr>
            <w:tcW w:type="dxa" w:w="1419"/>
          </w:tcPr>
          <w:p>
            <w:r>
              <w:rPr>
                <w:sz w:val="18"/>
              </w:rPr>
              <w:t>+0.03</w:t>
            </w:r>
          </w:p>
        </w:tc>
        <w:tc>
          <w:tcPr>
            <w:tcW w:type="dxa" w:w="1419"/>
          </w:tcPr>
          <w:p>
            <w:r>
              <w:rPr>
                <w:sz w:val="18"/>
              </w:rPr>
              <w:t>+0.11</w:t>
            </w:r>
          </w:p>
        </w:tc>
        <w:tc>
          <w:tcPr>
            <w:tcW w:type="dxa" w:w="1419"/>
          </w:tcPr>
          <w:p>
            <w:r>
              <w:rPr>
                <w:sz w:val="18"/>
              </w:rPr>
              <w:t>+0.02</w:t>
            </w:r>
          </w:p>
        </w:tc>
      </w:tr>
      <w:tr>
        <w:tc>
          <w:tcPr>
            <w:tcW w:type="dxa" w:w="1419"/>
          </w:tcPr>
          <w:p>
            <w:r>
              <w:rPr>
                <w:sz w:val="18"/>
              </w:rPr>
              <w:t>Carry</w:t>
            </w:r>
          </w:p>
        </w:tc>
        <w:tc>
          <w:tcPr>
            <w:tcW w:type="dxa" w:w="1419"/>
          </w:tcPr>
          <w:p>
            <w:r>
              <w:rPr>
                <w:sz w:val="18"/>
              </w:rPr>
              <w:t>-0.15</w:t>
            </w:r>
          </w:p>
        </w:tc>
        <w:tc>
          <w:tcPr>
            <w:tcW w:type="dxa" w:w="1419"/>
          </w:tcPr>
          <w:p>
            <w:r>
              <w:rPr>
                <w:sz w:val="18"/>
              </w:rPr>
              <w:t>-0.16</w:t>
            </w:r>
          </w:p>
        </w:tc>
        <w:tc>
          <w:tcPr>
            <w:tcW w:type="dxa" w:w="1419"/>
          </w:tcPr>
          <w:p>
            <w:r>
              <w:rPr>
                <w:sz w:val="18"/>
              </w:rPr>
              <w:t>+0.06</w:t>
            </w:r>
          </w:p>
        </w:tc>
        <w:tc>
          <w:tcPr>
            <w:tcW w:type="dxa" w:w="1419"/>
          </w:tcPr>
          <w:p>
            <w:r>
              <w:rPr>
                <w:sz w:val="18"/>
              </w:rPr>
              <w:t>-0.03</w:t>
            </w:r>
          </w:p>
        </w:tc>
        <w:tc>
          <w:tcPr>
            <w:tcW w:type="dxa" w:w="1419"/>
          </w:tcPr>
          <w:p>
            <w:r>
              <w:rPr>
                <w:sz w:val="18"/>
              </w:rPr>
              <w:t>-0.01</w:t>
            </w:r>
          </w:p>
        </w:tc>
        <w:tc>
          <w:tcPr>
            <w:tcW w:type="dxa" w:w="1419"/>
          </w:tcPr>
          <w:p>
            <w:r>
              <w:rPr>
                <w:sz w:val="18"/>
              </w:rPr>
              <w:t>-0.04</w:t>
            </w:r>
          </w:p>
        </w:tc>
      </w:tr>
      <w:tr>
        <w:tc>
          <w:tcPr>
            <w:tcW w:type="dxa" w:w="1419"/>
          </w:tcPr>
          <w:p>
            <w:r>
              <w:rPr>
                <w:sz w:val="18"/>
              </w:rPr>
              <w:t>Carry-Momentum</w:t>
            </w:r>
          </w:p>
        </w:tc>
        <w:tc>
          <w:tcPr>
            <w:tcW w:type="dxa" w:w="1419"/>
          </w:tcPr>
          <w:p>
            <w:r>
              <w:rPr>
                <w:sz w:val="18"/>
              </w:rPr>
              <w:t>-0.10</w:t>
            </w:r>
          </w:p>
        </w:tc>
        <w:tc>
          <w:tcPr>
            <w:tcW w:type="dxa" w:w="1419"/>
          </w:tcPr>
          <w:p>
            <w:r>
              <w:rPr>
                <w:sz w:val="18"/>
              </w:rPr>
              <w:t>-0.40</w:t>
            </w:r>
          </w:p>
        </w:tc>
        <w:tc>
          <w:tcPr>
            <w:tcW w:type="dxa" w:w="1419"/>
          </w:tcPr>
          <w:p>
            <w:r>
              <w:rPr>
                <w:sz w:val="18"/>
              </w:rPr>
              <w:t>-0.02</w:t>
            </w:r>
          </w:p>
        </w:tc>
        <w:tc>
          <w:tcPr>
            <w:tcW w:type="dxa" w:w="1419"/>
          </w:tcPr>
          <w:p>
            <w:r>
              <w:rPr>
                <w:sz w:val="18"/>
              </w:rPr>
              <w:t>+0.00</w:t>
            </w:r>
          </w:p>
        </w:tc>
        <w:tc>
          <w:tcPr>
            <w:tcW w:type="dxa" w:w="1419"/>
          </w:tcPr>
          <w:p>
            <w:r>
              <w:rPr>
                <w:sz w:val="18"/>
              </w:rPr>
              <w:t>+0.01</w:t>
            </w:r>
          </w:p>
        </w:tc>
        <w:tc>
          <w:tcPr>
            <w:tcW w:type="dxa" w:w="1419"/>
          </w:tcPr>
          <w:p>
            <w:r>
              <w:rPr>
                <w:sz w:val="18"/>
              </w:rPr>
              <w:t>+0.03</w:t>
            </w:r>
          </w:p>
        </w:tc>
      </w:tr>
      <w:tr>
        <w:tc>
          <w:tcPr>
            <w:tcW w:type="dxa" w:w="1419"/>
          </w:tcPr>
          <w:p>
            <w:r>
              <w:rPr>
                <w:sz w:val="18"/>
              </w:rPr>
              <w:t>Value</w:t>
            </w:r>
          </w:p>
        </w:tc>
        <w:tc>
          <w:tcPr>
            <w:tcW w:type="dxa" w:w="1419"/>
          </w:tcPr>
          <w:p>
            <w:r>
              <w:rPr>
                <w:sz w:val="18"/>
              </w:rPr>
              <w:t>-0.27</w:t>
            </w:r>
          </w:p>
        </w:tc>
        <w:tc>
          <w:tcPr>
            <w:tcW w:type="dxa" w:w="1419"/>
          </w:tcPr>
          <w:p>
            <w:r>
              <w:rPr>
                <w:sz w:val="18"/>
              </w:rPr>
              <w:t>+0.19</w:t>
            </w:r>
          </w:p>
        </w:tc>
        <w:tc>
          <w:tcPr>
            <w:tcW w:type="dxa" w:w="1419"/>
          </w:tcPr>
          <w:p>
            <w:r>
              <w:rPr>
                <w:sz w:val="18"/>
              </w:rPr>
              <w:t>-0.01</w:t>
            </w:r>
          </w:p>
        </w:tc>
        <w:tc>
          <w:tcPr>
            <w:tcW w:type="dxa" w:w="1419"/>
          </w:tcPr>
          <w:p>
            <w:r>
              <w:rPr>
                <w:sz w:val="18"/>
              </w:rPr>
              <w:t>-0.03</w:t>
            </w:r>
          </w:p>
        </w:tc>
        <w:tc>
          <w:tcPr>
            <w:tcW w:type="dxa" w:w="1419"/>
          </w:tcPr>
          <w:p>
            <w:r>
              <w:rPr>
                <w:sz w:val="18"/>
              </w:rPr>
              <w:t>+0.02</w:t>
            </w:r>
          </w:p>
        </w:tc>
        <w:tc>
          <w:tcPr>
            <w:tcW w:type="dxa" w:w="1419"/>
          </w:tcPr>
          <w:p>
            <w:r>
              <w:rPr>
                <w:sz w:val="18"/>
              </w:rPr>
              <w:t>+0.02</w:t>
            </w:r>
          </w:p>
        </w:tc>
      </w:tr>
    </w:tbl>
    <w:p/>
    <w:p>
      <w:pPr/>
      <w:r>
        <w:rPr>
          <w:b/>
          <w:sz w:val="18"/>
        </w:rPr>
        <w:t>Table A18. Agriculture: Carry Tenor Pairs, Full-Sample Information Ratios</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tc>
        <w:tc>
          <w:tcPr>
            <w:tcW w:type="dxa" w:w="2484"/>
          </w:tcPr>
          <w:p>
            <w:r>
              <w:rPr>
                <w:sz w:val="18"/>
              </w:rPr>
              <w:t>Previous single pair (F1-F2)</w:t>
            </w:r>
          </w:p>
        </w:tc>
        <w:tc>
          <w:tcPr>
            <w:tcW w:type="dxa" w:w="2484"/>
          </w:tcPr>
          <w:p>
            <w:r>
              <w:rPr>
                <w:sz w:val="18"/>
              </w:rPr>
              <w:t>Long pair alone</w:t>
            </w:r>
          </w:p>
        </w:tc>
        <w:tc>
          <w:tcPr>
            <w:tcW w:type="dxa" w:w="2484"/>
          </w:tcPr>
          <w:p>
            <w:r>
              <w:rPr>
                <w:sz w:val="18"/>
              </w:rPr>
              <w:t>Two-pair blend</w:t>
            </w:r>
          </w:p>
        </w:tc>
      </w:tr>
      <w:tr>
        <w:tc>
          <w:tcPr>
            <w:tcW w:type="dxa" w:w="2484"/>
          </w:tcPr>
          <w:p>
            <w:r>
              <w:rPr>
                <w:sz w:val="18"/>
              </w:rPr>
              <w:t>Carry</w:t>
            </w:r>
          </w:p>
        </w:tc>
        <w:tc>
          <w:tcPr>
            <w:tcW w:type="dxa" w:w="2484"/>
          </w:tcPr>
          <w:p>
            <w:r>
              <w:rPr>
                <w:sz w:val="18"/>
              </w:rPr>
              <w:t>-0.30</w:t>
            </w:r>
          </w:p>
        </w:tc>
        <w:tc>
          <w:tcPr>
            <w:tcW w:type="dxa" w:w="2484"/>
          </w:tcPr>
          <w:p>
            <w:r>
              <w:rPr>
                <w:sz w:val="18"/>
              </w:rPr>
              <w:t>+0.08</w:t>
            </w:r>
          </w:p>
        </w:tc>
        <w:tc>
          <w:tcPr>
            <w:tcW w:type="dxa" w:w="2484"/>
          </w:tcPr>
          <w:p>
            <w:r>
              <w:rPr>
                <w:sz w:val="18"/>
              </w:rPr>
              <w:t>-0.13</w:t>
            </w:r>
          </w:p>
        </w:tc>
      </w:tr>
      <w:tr>
        <w:tc>
          <w:tcPr>
            <w:tcW w:type="dxa" w:w="2484"/>
          </w:tcPr>
          <w:p>
            <w:r>
              <w:rPr>
                <w:sz w:val="18"/>
              </w:rPr>
              <w:t>Carry-Momentum</w:t>
            </w:r>
          </w:p>
        </w:tc>
        <w:tc>
          <w:tcPr>
            <w:tcW w:type="dxa" w:w="2484"/>
          </w:tcPr>
          <w:p>
            <w:r>
              <w:rPr>
                <w:sz w:val="18"/>
              </w:rPr>
              <w:t>-0.08</w:t>
            </w:r>
          </w:p>
        </w:tc>
        <w:tc>
          <w:tcPr>
            <w:tcW w:type="dxa" w:w="2484"/>
          </w:tcPr>
          <w:p>
            <w:r>
              <w:rPr>
                <w:sz w:val="18"/>
              </w:rPr>
              <w:t>-0.26</w:t>
            </w:r>
          </w:p>
        </w:tc>
        <w:tc>
          <w:tcPr>
            <w:tcW w:type="dxa" w:w="2484"/>
          </w:tcPr>
          <w:p>
            <w:r>
              <w:rPr>
                <w:sz w:val="18"/>
              </w:rPr>
              <w:t>-0.20</w:t>
            </w:r>
          </w:p>
        </w:tc>
      </w:tr>
    </w:tbl>
    <w:p/>
    <w:p>
      <w:pPr/>
      <w:r>
        <w:rPr>
          <w:b/>
          <w:sz w:val="18"/>
        </w:rPr>
        <w:t>Table A19. Cross-Commodity Portfolio: Correlation vs Traditional Assets (2011 to 23 September 2026)</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tc>
        <w:tc>
          <w:tcPr>
            <w:tcW w:type="dxa" w:w="1656"/>
          </w:tcPr>
          <w:p>
            <w:r>
              <w:rPr>
                <w:sz w:val="18"/>
              </w:rPr>
              <w:t>Equity</w:t>
            </w:r>
          </w:p>
        </w:tc>
        <w:tc>
          <w:tcPr>
            <w:tcW w:type="dxa" w:w="1656"/>
          </w:tcPr>
          <w:p>
            <w:r>
              <w:rPr>
                <w:sz w:val="18"/>
              </w:rPr>
              <w:t>Fixed Income</w:t>
            </w:r>
          </w:p>
        </w:tc>
        <w:tc>
          <w:tcPr>
            <w:tcW w:type="dxa" w:w="1656"/>
          </w:tcPr>
          <w:p>
            <w:r>
              <w:rPr>
                <w:sz w:val="18"/>
              </w:rPr>
              <w:t>Commodity Index</w:t>
            </w:r>
          </w:p>
        </w:tc>
        <w:tc>
          <w:tcPr>
            <w:tcW w:type="dxa" w:w="1656"/>
          </w:tcPr>
          <w:p>
            <w:r>
              <w:rPr>
                <w:sz w:val="18"/>
              </w:rPr>
              <w:t>Gold</w:t>
            </w:r>
          </w:p>
        </w:tc>
        <w:tc>
          <w:tcPr>
            <w:tcW w:type="dxa" w:w="1656"/>
          </w:tcPr>
          <w:p>
            <w:r>
              <w:rPr>
                <w:sz w:val="18"/>
              </w:rPr>
              <w:t>60/40 Portfolio</w:t>
            </w:r>
          </w:p>
        </w:tc>
      </w:tr>
      <w:tr>
        <w:tc>
          <w:tcPr>
            <w:tcW w:type="dxa" w:w="1656"/>
          </w:tcPr>
          <w:p>
            <w:r>
              <w:rPr>
                <w:sz w:val="18"/>
              </w:rPr>
              <w:t>Momentum</w:t>
            </w:r>
          </w:p>
        </w:tc>
        <w:tc>
          <w:tcPr>
            <w:tcW w:type="dxa" w:w="1656"/>
          </w:tcPr>
          <w:p>
            <w:r>
              <w:rPr>
                <w:sz w:val="18"/>
              </w:rPr>
              <w:t>-0.22</w:t>
            </w:r>
          </w:p>
        </w:tc>
        <w:tc>
          <w:tcPr>
            <w:tcW w:type="dxa" w:w="1656"/>
          </w:tcPr>
          <w:p>
            <w:r>
              <w:rPr>
                <w:sz w:val="18"/>
              </w:rPr>
              <w:t>-0.03</w:t>
            </w:r>
          </w:p>
        </w:tc>
        <w:tc>
          <w:tcPr>
            <w:tcW w:type="dxa" w:w="1656"/>
          </w:tcPr>
          <w:p>
            <w:r>
              <w:rPr>
                <w:sz w:val="18"/>
              </w:rPr>
              <w:t>-0.09</w:t>
            </w:r>
          </w:p>
        </w:tc>
        <w:tc>
          <w:tcPr>
            <w:tcW w:type="dxa" w:w="1656"/>
          </w:tcPr>
          <w:p>
            <w:r>
              <w:rPr>
                <w:sz w:val="18"/>
              </w:rPr>
              <w:t>+0.01</w:t>
            </w:r>
          </w:p>
        </w:tc>
        <w:tc>
          <w:tcPr>
            <w:tcW w:type="dxa" w:w="1656"/>
          </w:tcPr>
          <w:p>
            <w:r>
              <w:rPr>
                <w:sz w:val="18"/>
              </w:rPr>
              <w:t>-0.22</w:t>
            </w:r>
          </w:p>
        </w:tc>
      </w:tr>
      <w:tr>
        <w:tc>
          <w:tcPr>
            <w:tcW w:type="dxa" w:w="1656"/>
          </w:tcPr>
          <w:p>
            <w:r>
              <w:rPr>
                <w:sz w:val="18"/>
              </w:rPr>
              <w:t>Carry</w:t>
            </w:r>
          </w:p>
        </w:tc>
        <w:tc>
          <w:tcPr>
            <w:tcW w:type="dxa" w:w="1656"/>
          </w:tcPr>
          <w:p>
            <w:r>
              <w:rPr>
                <w:sz w:val="18"/>
              </w:rPr>
              <w:t>-0.17</w:t>
            </w:r>
          </w:p>
        </w:tc>
        <w:tc>
          <w:tcPr>
            <w:tcW w:type="dxa" w:w="1656"/>
          </w:tcPr>
          <w:p>
            <w:r>
              <w:rPr>
                <w:sz w:val="18"/>
              </w:rPr>
              <w:t>-0.04</w:t>
            </w:r>
          </w:p>
        </w:tc>
        <w:tc>
          <w:tcPr>
            <w:tcW w:type="dxa" w:w="1656"/>
          </w:tcPr>
          <w:p>
            <w:r>
              <w:rPr>
                <w:sz w:val="18"/>
              </w:rPr>
              <w:t>+0.01</w:t>
            </w:r>
          </w:p>
        </w:tc>
        <w:tc>
          <w:tcPr>
            <w:tcW w:type="dxa" w:w="1656"/>
          </w:tcPr>
          <w:p>
            <w:r>
              <w:rPr>
                <w:sz w:val="18"/>
              </w:rPr>
              <w:t>-0.01</w:t>
            </w:r>
          </w:p>
        </w:tc>
        <w:tc>
          <w:tcPr>
            <w:tcW w:type="dxa" w:w="1656"/>
          </w:tcPr>
          <w:p>
            <w:r>
              <w:rPr>
                <w:sz w:val="18"/>
              </w:rPr>
              <w:t>-0.17</w:t>
            </w:r>
          </w:p>
        </w:tc>
      </w:tr>
      <w:tr>
        <w:tc>
          <w:tcPr>
            <w:tcW w:type="dxa" w:w="1656"/>
          </w:tcPr>
          <w:p>
            <w:r>
              <w:rPr>
                <w:sz w:val="18"/>
              </w:rPr>
              <w:t>Carry-Momentum</w:t>
            </w:r>
          </w:p>
        </w:tc>
        <w:tc>
          <w:tcPr>
            <w:tcW w:type="dxa" w:w="1656"/>
          </w:tcPr>
          <w:p>
            <w:r>
              <w:rPr>
                <w:sz w:val="18"/>
              </w:rPr>
              <w:t>-0.14</w:t>
            </w:r>
          </w:p>
        </w:tc>
        <w:tc>
          <w:tcPr>
            <w:tcW w:type="dxa" w:w="1656"/>
          </w:tcPr>
          <w:p>
            <w:r>
              <w:rPr>
                <w:sz w:val="18"/>
              </w:rPr>
              <w:t>-0.03</w:t>
            </w:r>
          </w:p>
        </w:tc>
        <w:tc>
          <w:tcPr>
            <w:tcW w:type="dxa" w:w="1656"/>
          </w:tcPr>
          <w:p>
            <w:r>
              <w:rPr>
                <w:sz w:val="18"/>
              </w:rPr>
              <w:t>-0.08</w:t>
            </w:r>
          </w:p>
        </w:tc>
        <w:tc>
          <w:tcPr>
            <w:tcW w:type="dxa" w:w="1656"/>
          </w:tcPr>
          <w:p>
            <w:r>
              <w:rPr>
                <w:sz w:val="18"/>
              </w:rPr>
              <w:t>-0.01</w:t>
            </w:r>
          </w:p>
        </w:tc>
        <w:tc>
          <w:tcPr>
            <w:tcW w:type="dxa" w:w="1656"/>
          </w:tcPr>
          <w:p>
            <w:r>
              <w:rPr>
                <w:sz w:val="18"/>
              </w:rPr>
              <w:t>-0.14</w:t>
            </w:r>
          </w:p>
        </w:tc>
      </w:tr>
      <w:tr>
        <w:tc>
          <w:tcPr>
            <w:tcW w:type="dxa" w:w="1656"/>
          </w:tcPr>
          <w:p>
            <w:r>
              <w:rPr>
                <w:sz w:val="18"/>
              </w:rPr>
              <w:t>Value</w:t>
            </w:r>
          </w:p>
        </w:tc>
        <w:tc>
          <w:tcPr>
            <w:tcW w:type="dxa" w:w="1656"/>
          </w:tcPr>
          <w:p>
            <w:r>
              <w:rPr>
                <w:sz w:val="18"/>
              </w:rPr>
              <w:t>+0.09</w:t>
            </w:r>
          </w:p>
        </w:tc>
        <w:tc>
          <w:tcPr>
            <w:tcW w:type="dxa" w:w="1656"/>
          </w:tcPr>
          <w:p>
            <w:r>
              <w:rPr>
                <w:sz w:val="18"/>
              </w:rPr>
              <w:t>+0.03</w:t>
            </w:r>
          </w:p>
        </w:tc>
        <w:tc>
          <w:tcPr>
            <w:tcW w:type="dxa" w:w="1656"/>
          </w:tcPr>
          <w:p>
            <w:r>
              <w:rPr>
                <w:sz w:val="18"/>
              </w:rPr>
              <w:t>-0.00</w:t>
            </w:r>
          </w:p>
        </w:tc>
        <w:tc>
          <w:tcPr>
            <w:tcW w:type="dxa" w:w="1656"/>
          </w:tcPr>
          <w:p>
            <w:r>
              <w:rPr>
                <w:sz w:val="18"/>
              </w:rPr>
              <w:t>-0.15</w:t>
            </w:r>
          </w:p>
        </w:tc>
        <w:tc>
          <w:tcPr>
            <w:tcW w:type="dxa" w:w="1656"/>
          </w:tcPr>
          <w:p>
            <w:r>
              <w:rPr>
                <w:sz w:val="18"/>
              </w:rPr>
              <w:t>+0.09</w:t>
            </w:r>
          </w:p>
        </w:tc>
      </w:tr>
      <w:tr>
        <w:tc>
          <w:tcPr>
            <w:tcW w:type="dxa" w:w="1656"/>
          </w:tcPr>
          <w:p>
            <w:r>
              <w:rPr>
                <w:sz w:val="18"/>
              </w:rPr>
              <w:t>EW Portfolio</w:t>
            </w:r>
          </w:p>
        </w:tc>
        <w:tc>
          <w:tcPr>
            <w:tcW w:type="dxa" w:w="1656"/>
          </w:tcPr>
          <w:p>
            <w:r>
              <w:rPr>
                <w:sz w:val="18"/>
              </w:rPr>
              <w:t>-0.19</w:t>
            </w:r>
          </w:p>
        </w:tc>
        <w:tc>
          <w:tcPr>
            <w:tcW w:type="dxa" w:w="1656"/>
          </w:tcPr>
          <w:p>
            <w:r>
              <w:rPr>
                <w:sz w:val="18"/>
              </w:rPr>
              <w:t>-0.03</w:t>
            </w:r>
          </w:p>
        </w:tc>
        <w:tc>
          <w:tcPr>
            <w:tcW w:type="dxa" w:w="1656"/>
          </w:tcPr>
          <w:p>
            <w:r>
              <w:rPr>
                <w:sz w:val="18"/>
              </w:rPr>
              <w:t>-0.07</w:t>
            </w:r>
          </w:p>
        </w:tc>
        <w:tc>
          <w:tcPr>
            <w:tcW w:type="dxa" w:w="1656"/>
          </w:tcPr>
          <w:p>
            <w:r>
              <w:rPr>
                <w:sz w:val="18"/>
              </w:rPr>
              <w:t>-0.09</w:t>
            </w:r>
          </w:p>
        </w:tc>
        <w:tc>
          <w:tcPr>
            <w:tcW w:type="dxa" w:w="1656"/>
          </w:tcPr>
          <w:p>
            <w:r>
              <w:rPr>
                <w:sz w:val="18"/>
              </w:rPr>
              <w:t>-0.19</w:t>
            </w:r>
          </w:p>
        </w:tc>
      </w:tr>
      <w:tr>
        <w:tc>
          <w:tcPr>
            <w:tcW w:type="dxa" w:w="1656"/>
          </w:tcPr>
          <w:p>
            <w:r>
              <w:rPr>
                <w:sz w:val="18"/>
              </w:rPr>
              <w:t>Inverse Vol</w:t>
            </w:r>
          </w:p>
        </w:tc>
        <w:tc>
          <w:tcPr>
            <w:tcW w:type="dxa" w:w="1656"/>
          </w:tcPr>
          <w:p>
            <w:r>
              <w:rPr>
                <w:sz w:val="18"/>
              </w:rPr>
              <w:t>-0.20</w:t>
            </w:r>
          </w:p>
        </w:tc>
        <w:tc>
          <w:tcPr>
            <w:tcW w:type="dxa" w:w="1656"/>
          </w:tcPr>
          <w:p>
            <w:r>
              <w:rPr>
                <w:sz w:val="18"/>
              </w:rPr>
              <w:t>-0.03</w:t>
            </w:r>
          </w:p>
        </w:tc>
        <w:tc>
          <w:tcPr>
            <w:tcW w:type="dxa" w:w="1656"/>
          </w:tcPr>
          <w:p>
            <w:r>
              <w:rPr>
                <w:sz w:val="18"/>
              </w:rPr>
              <w:t>-0.07</w:t>
            </w:r>
          </w:p>
        </w:tc>
        <w:tc>
          <w:tcPr>
            <w:tcW w:type="dxa" w:w="1656"/>
          </w:tcPr>
          <w:p>
            <w:r>
              <w:rPr>
                <w:sz w:val="18"/>
              </w:rPr>
              <w:t>-0.07</w:t>
            </w:r>
          </w:p>
        </w:tc>
        <w:tc>
          <w:tcPr>
            <w:tcW w:type="dxa" w:w="1656"/>
          </w:tcPr>
          <w:p>
            <w:r>
              <w:rPr>
                <w:sz w:val="18"/>
              </w:rPr>
              <w:t>-0.20</w:t>
            </w:r>
          </w:p>
        </w:tc>
      </w:tr>
    </w:tbl>
    <w:p/>
    <w:p>
      <w:pPr/>
      <w:r>
        <w:rPr>
          <w:b/>
          <w:sz w:val="18"/>
        </w:rPr>
        <w:t>Table A20. Cross-Commodity Portfolio: Strategy Information Ratios by Regime (all 5 asset classes)</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tc>
        <w:tc>
          <w:tcPr>
            <w:tcW w:type="dxa" w:w="1656"/>
          </w:tcPr>
          <w:p>
            <w:r>
              <w:rPr>
                <w:sz w:val="18"/>
              </w:rPr>
              <w:t>Full</w:t>
            </w:r>
          </w:p>
        </w:tc>
        <w:tc>
          <w:tcPr>
            <w:tcW w:type="dxa" w:w="1656"/>
          </w:tcPr>
          <w:p>
            <w:r>
              <w:rPr>
                <w:sz w:val="18"/>
              </w:rPr>
              <w:t>2011-16</w:t>
            </w:r>
          </w:p>
        </w:tc>
        <w:tc>
          <w:tcPr>
            <w:tcW w:type="dxa" w:w="1656"/>
          </w:tcPr>
          <w:p>
            <w:r>
              <w:rPr>
                <w:sz w:val="18"/>
              </w:rPr>
              <w:t>2017-21</w:t>
            </w:r>
          </w:p>
        </w:tc>
        <w:tc>
          <w:tcPr>
            <w:tcW w:type="dxa" w:w="1656"/>
          </w:tcPr>
          <w:p>
            <w:r>
              <w:rPr>
                <w:sz w:val="18"/>
              </w:rPr>
              <w:t>2022-26</w:t>
            </w:r>
          </w:p>
        </w:tc>
        <w:tc>
          <w:tcPr>
            <w:tcW w:type="dxa" w:w="1656"/>
          </w:tcPr>
          <w:p>
            <w:r>
              <w:rPr>
                <w:sz w:val="18"/>
              </w:rPr>
              <w:t>2026+</w:t>
            </w:r>
          </w:p>
        </w:tc>
      </w:tr>
      <w:tr>
        <w:tc>
          <w:tcPr>
            <w:tcW w:type="dxa" w:w="1656"/>
          </w:tcPr>
          <w:p>
            <w:r>
              <w:rPr>
                <w:sz w:val="18"/>
              </w:rPr>
              <w:t>Momentum</w:t>
            </w:r>
          </w:p>
        </w:tc>
        <w:tc>
          <w:tcPr>
            <w:tcW w:type="dxa" w:w="1656"/>
          </w:tcPr>
          <w:p>
            <w:r>
              <w:rPr>
                <w:sz w:val="18"/>
              </w:rPr>
              <w:t>+0.37</w:t>
            </w:r>
          </w:p>
        </w:tc>
        <w:tc>
          <w:tcPr>
            <w:tcW w:type="dxa" w:w="1656"/>
          </w:tcPr>
          <w:p>
            <w:r>
              <w:rPr>
                <w:sz w:val="18"/>
              </w:rPr>
              <w:t>+0.21</w:t>
            </w:r>
          </w:p>
        </w:tc>
        <w:tc>
          <w:tcPr>
            <w:tcW w:type="dxa" w:w="1656"/>
          </w:tcPr>
          <w:p>
            <w:r>
              <w:rPr>
                <w:sz w:val="18"/>
              </w:rPr>
              <w:t>+0.96</w:t>
            </w:r>
          </w:p>
        </w:tc>
        <w:tc>
          <w:tcPr>
            <w:tcW w:type="dxa" w:w="1656"/>
          </w:tcPr>
          <w:p>
            <w:r>
              <w:rPr>
                <w:sz w:val="18"/>
              </w:rPr>
              <w:t>-0.07</w:t>
            </w:r>
          </w:p>
        </w:tc>
        <w:tc>
          <w:tcPr>
            <w:tcW w:type="dxa" w:w="1656"/>
          </w:tcPr>
          <w:p>
            <w:r>
              <w:rPr>
                <w:sz w:val="18"/>
              </w:rPr>
              <w:t>+1.18</w:t>
            </w:r>
          </w:p>
        </w:tc>
      </w:tr>
      <w:tr>
        <w:tc>
          <w:tcPr>
            <w:tcW w:type="dxa" w:w="1656"/>
          </w:tcPr>
          <w:p>
            <w:r>
              <w:rPr>
                <w:sz w:val="18"/>
              </w:rPr>
              <w:t>Carry</w:t>
            </w:r>
          </w:p>
        </w:tc>
        <w:tc>
          <w:tcPr>
            <w:tcW w:type="dxa" w:w="1656"/>
          </w:tcPr>
          <w:p>
            <w:r>
              <w:rPr>
                <w:sz w:val="18"/>
              </w:rPr>
              <w:t>+0.57</w:t>
            </w:r>
          </w:p>
        </w:tc>
        <w:tc>
          <w:tcPr>
            <w:tcW w:type="dxa" w:w="1656"/>
          </w:tcPr>
          <w:p>
            <w:r>
              <w:rPr>
                <w:sz w:val="18"/>
              </w:rPr>
              <w:t>+1.23</w:t>
            </w:r>
          </w:p>
        </w:tc>
        <w:tc>
          <w:tcPr>
            <w:tcW w:type="dxa" w:w="1656"/>
          </w:tcPr>
          <w:p>
            <w:r>
              <w:rPr>
                <w:sz w:val="18"/>
              </w:rPr>
              <w:t>+0.49</w:t>
            </w:r>
          </w:p>
        </w:tc>
        <w:tc>
          <w:tcPr>
            <w:tcW w:type="dxa" w:w="1656"/>
          </w:tcPr>
          <w:p>
            <w:r>
              <w:rPr>
                <w:sz w:val="18"/>
              </w:rPr>
              <w:t>+0.04</w:t>
            </w:r>
          </w:p>
        </w:tc>
        <w:tc>
          <w:tcPr>
            <w:tcW w:type="dxa" w:w="1656"/>
          </w:tcPr>
          <w:p>
            <w:r>
              <w:rPr>
                <w:sz w:val="18"/>
              </w:rPr>
              <w:t>+0.86</w:t>
            </w:r>
          </w:p>
        </w:tc>
      </w:tr>
      <w:tr>
        <w:tc>
          <w:tcPr>
            <w:tcW w:type="dxa" w:w="1656"/>
          </w:tcPr>
          <w:p>
            <w:r>
              <w:rPr>
                <w:sz w:val="18"/>
              </w:rPr>
              <w:t>Carry-Momentum</w:t>
            </w:r>
          </w:p>
        </w:tc>
        <w:tc>
          <w:tcPr>
            <w:tcW w:type="dxa" w:w="1656"/>
          </w:tcPr>
          <w:p>
            <w:r>
              <w:rPr>
                <w:sz w:val="18"/>
              </w:rPr>
              <w:t>+0.57</w:t>
            </w:r>
          </w:p>
        </w:tc>
        <w:tc>
          <w:tcPr>
            <w:tcW w:type="dxa" w:w="1656"/>
          </w:tcPr>
          <w:p>
            <w:r>
              <w:rPr>
                <w:sz w:val="18"/>
              </w:rPr>
              <w:t>+1.02</w:t>
            </w:r>
          </w:p>
        </w:tc>
        <w:tc>
          <w:tcPr>
            <w:tcW w:type="dxa" w:w="1656"/>
          </w:tcPr>
          <w:p>
            <w:r>
              <w:rPr>
                <w:sz w:val="18"/>
              </w:rPr>
              <w:t>+0.59</w:t>
            </w:r>
          </w:p>
        </w:tc>
        <w:tc>
          <w:tcPr>
            <w:tcW w:type="dxa" w:w="1656"/>
          </w:tcPr>
          <w:p>
            <w:r>
              <w:rPr>
                <w:sz w:val="18"/>
              </w:rPr>
              <w:t>+0.14</w:t>
            </w:r>
          </w:p>
        </w:tc>
        <w:tc>
          <w:tcPr>
            <w:tcW w:type="dxa" w:w="1656"/>
          </w:tcPr>
          <w:p>
            <w:r>
              <w:rPr>
                <w:sz w:val="18"/>
              </w:rPr>
              <w:t>+2.54</w:t>
            </w:r>
          </w:p>
        </w:tc>
      </w:tr>
      <w:tr>
        <w:tc>
          <w:tcPr>
            <w:tcW w:type="dxa" w:w="1656"/>
          </w:tcPr>
          <w:p>
            <w:r>
              <w:rPr>
                <w:sz w:val="18"/>
              </w:rPr>
              <w:t>Value</w:t>
            </w:r>
          </w:p>
        </w:tc>
        <w:tc>
          <w:tcPr>
            <w:tcW w:type="dxa" w:w="1656"/>
          </w:tcPr>
          <w:p>
            <w:r>
              <w:rPr>
                <w:sz w:val="18"/>
              </w:rPr>
              <w:t>+0.03</w:t>
            </w:r>
          </w:p>
        </w:tc>
        <w:tc>
          <w:tcPr>
            <w:tcW w:type="dxa" w:w="1656"/>
          </w:tcPr>
          <w:p>
            <w:r>
              <w:rPr>
                <w:sz w:val="18"/>
              </w:rPr>
              <w:t>-0.18</w:t>
            </w:r>
          </w:p>
        </w:tc>
        <w:tc>
          <w:tcPr>
            <w:tcW w:type="dxa" w:w="1656"/>
          </w:tcPr>
          <w:p>
            <w:r>
              <w:rPr>
                <w:sz w:val="18"/>
              </w:rPr>
              <w:t>+0.01</w:t>
            </w:r>
          </w:p>
        </w:tc>
        <w:tc>
          <w:tcPr>
            <w:tcW w:type="dxa" w:w="1656"/>
          </w:tcPr>
          <w:p>
            <w:r>
              <w:rPr>
                <w:sz w:val="18"/>
              </w:rPr>
              <w:t>+0.30</w:t>
            </w:r>
          </w:p>
        </w:tc>
        <w:tc>
          <w:tcPr>
            <w:tcW w:type="dxa" w:w="1656"/>
          </w:tcPr>
          <w:p>
            <w:r>
              <w:rPr>
                <w:sz w:val="18"/>
              </w:rPr>
              <w:t>+1.28</w:t>
            </w:r>
          </w:p>
        </w:tc>
      </w:tr>
    </w:tbl>
    <w:p/>
    <w:p>
      <w:pPr/>
      <w:r>
        <w:rPr>
          <w:b/>
          <w:sz w:val="18"/>
        </w:rPr>
        <w:t>Table A21. Cross-Commodity Portfolio: Construction Information Ratios by Regime (all 5 asset classes)</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tc>
        <w:tc>
          <w:tcPr>
            <w:tcW w:type="dxa" w:w="1656"/>
          </w:tcPr>
          <w:p>
            <w:r>
              <w:rPr>
                <w:sz w:val="18"/>
              </w:rPr>
              <w:t>Full</w:t>
            </w:r>
          </w:p>
        </w:tc>
        <w:tc>
          <w:tcPr>
            <w:tcW w:type="dxa" w:w="1656"/>
          </w:tcPr>
          <w:p>
            <w:r>
              <w:rPr>
                <w:sz w:val="18"/>
              </w:rPr>
              <w:t>2011-16</w:t>
            </w:r>
          </w:p>
        </w:tc>
        <w:tc>
          <w:tcPr>
            <w:tcW w:type="dxa" w:w="1656"/>
          </w:tcPr>
          <w:p>
            <w:r>
              <w:rPr>
                <w:sz w:val="18"/>
              </w:rPr>
              <w:t>2017-21</w:t>
            </w:r>
          </w:p>
        </w:tc>
        <w:tc>
          <w:tcPr>
            <w:tcW w:type="dxa" w:w="1656"/>
          </w:tcPr>
          <w:p>
            <w:r>
              <w:rPr>
                <w:sz w:val="18"/>
              </w:rPr>
              <w:t>2022-26</w:t>
            </w:r>
          </w:p>
        </w:tc>
        <w:tc>
          <w:tcPr>
            <w:tcW w:type="dxa" w:w="1656"/>
          </w:tcPr>
          <w:p>
            <w:r>
              <w:rPr>
                <w:sz w:val="18"/>
              </w:rPr>
              <w:t>2026+</w:t>
            </w:r>
          </w:p>
        </w:tc>
      </w:tr>
      <w:tr>
        <w:tc>
          <w:tcPr>
            <w:tcW w:type="dxa" w:w="1656"/>
          </w:tcPr>
          <w:p>
            <w:r>
              <w:rPr>
                <w:sz w:val="18"/>
              </w:rPr>
              <w:t>Equal Weight</w:t>
            </w:r>
          </w:p>
        </w:tc>
        <w:tc>
          <w:tcPr>
            <w:tcW w:type="dxa" w:w="1656"/>
          </w:tcPr>
          <w:p>
            <w:r>
              <w:rPr>
                <w:sz w:val="18"/>
              </w:rPr>
              <w:t>+0.65</w:t>
            </w:r>
          </w:p>
        </w:tc>
        <w:tc>
          <w:tcPr>
            <w:tcW w:type="dxa" w:w="1656"/>
          </w:tcPr>
          <w:p>
            <w:r>
              <w:rPr>
                <w:sz w:val="18"/>
              </w:rPr>
              <w:t>+0.80</w:t>
            </w:r>
          </w:p>
        </w:tc>
        <w:tc>
          <w:tcPr>
            <w:tcW w:type="dxa" w:w="1656"/>
          </w:tcPr>
          <w:p>
            <w:r>
              <w:rPr>
                <w:sz w:val="18"/>
              </w:rPr>
              <w:t>+1.03</w:t>
            </w:r>
          </w:p>
        </w:tc>
        <w:tc>
          <w:tcPr>
            <w:tcW w:type="dxa" w:w="1656"/>
          </w:tcPr>
          <w:p>
            <w:r>
              <w:rPr>
                <w:sz w:val="18"/>
              </w:rPr>
              <w:t>+0.17</w:t>
            </w:r>
          </w:p>
        </w:tc>
        <w:tc>
          <w:tcPr>
            <w:tcW w:type="dxa" w:w="1656"/>
          </w:tcPr>
          <w:p>
            <w:r>
              <w:rPr>
                <w:sz w:val="18"/>
              </w:rPr>
              <w:t>+2.25</w:t>
            </w:r>
          </w:p>
        </w:tc>
      </w:tr>
      <w:tr>
        <w:tc>
          <w:tcPr>
            <w:tcW w:type="dxa" w:w="1656"/>
          </w:tcPr>
          <w:p>
            <w:r>
              <w:rPr>
                <w:sz w:val="18"/>
              </w:rPr>
              <w:t>Inverse Vol</w:t>
            </w:r>
          </w:p>
        </w:tc>
        <w:tc>
          <w:tcPr>
            <w:tcW w:type="dxa" w:w="1656"/>
          </w:tcPr>
          <w:p>
            <w:r>
              <w:rPr>
                <w:sz w:val="18"/>
              </w:rPr>
              <w:t>+0.72</w:t>
            </w:r>
          </w:p>
        </w:tc>
        <w:tc>
          <w:tcPr>
            <w:tcW w:type="dxa" w:w="1656"/>
          </w:tcPr>
          <w:p>
            <w:r>
              <w:rPr>
                <w:sz w:val="18"/>
              </w:rPr>
              <w:t>+1.00</w:t>
            </w:r>
          </w:p>
        </w:tc>
        <w:tc>
          <w:tcPr>
            <w:tcW w:type="dxa" w:w="1656"/>
          </w:tcPr>
          <w:p>
            <w:r>
              <w:rPr>
                <w:sz w:val="18"/>
              </w:rPr>
              <w:t>+0.89</w:t>
            </w:r>
          </w:p>
        </w:tc>
        <w:tc>
          <w:tcPr>
            <w:tcW w:type="dxa" w:w="1656"/>
          </w:tcPr>
          <w:p>
            <w:r>
              <w:rPr>
                <w:sz w:val="18"/>
              </w:rPr>
              <w:t>+0.32</w:t>
            </w:r>
          </w:p>
        </w:tc>
        <w:tc>
          <w:tcPr>
            <w:tcW w:type="dxa" w:w="1656"/>
          </w:tcPr>
          <w:p>
            <w:r>
              <w:rPr>
                <w:sz w:val="18"/>
              </w:rPr>
              <w:t>+2.36</w:t>
            </w:r>
          </w:p>
        </w:tc>
      </w:tr>
      <w:tr>
        <w:tc>
          <w:tcPr>
            <w:tcW w:type="dxa" w:w="1656"/>
          </w:tcPr>
          <w:p>
            <w:r>
              <w:rPr>
                <w:sz w:val="18"/>
              </w:rPr>
              <w:t>Equal Weight (ex-NatGas)</w:t>
            </w:r>
          </w:p>
        </w:tc>
        <w:tc>
          <w:tcPr>
            <w:tcW w:type="dxa" w:w="1656"/>
          </w:tcPr>
          <w:p>
            <w:r>
              <w:rPr>
                <w:sz w:val="18"/>
              </w:rPr>
              <w:t>+0.70</w:t>
            </w:r>
          </w:p>
        </w:tc>
        <w:tc>
          <w:tcPr>
            <w:tcW w:type="dxa" w:w="1656"/>
          </w:tcPr>
          <w:p>
            <w:r>
              <w:rPr>
                <w:sz w:val="18"/>
              </w:rPr>
              <w:t>+0.81</w:t>
            </w:r>
          </w:p>
        </w:tc>
        <w:tc>
          <w:tcPr>
            <w:tcW w:type="dxa" w:w="1656"/>
          </w:tcPr>
          <w:p>
            <w:r>
              <w:rPr>
                <w:sz w:val="18"/>
              </w:rPr>
              <w:t>+1.11</w:t>
            </w:r>
          </w:p>
        </w:tc>
        <w:tc>
          <w:tcPr>
            <w:tcW w:type="dxa" w:w="1656"/>
          </w:tcPr>
          <w:p>
            <w:r>
              <w:rPr>
                <w:sz w:val="18"/>
              </w:rPr>
              <w:t>+0.24</w:t>
            </w:r>
          </w:p>
        </w:tc>
        <w:tc>
          <w:tcPr>
            <w:tcW w:type="dxa" w:w="1656"/>
          </w:tcPr>
          <w:p>
            <w:r>
              <w:rPr>
                <w:sz w:val="18"/>
              </w:rPr>
              <w:t>+2.48</w:t>
            </w:r>
          </w:p>
        </w:tc>
      </w:tr>
      <w:tr>
        <w:tc>
          <w:tcPr>
            <w:tcW w:type="dxa" w:w="1656"/>
          </w:tcPr>
          <w:p>
            <w:r>
              <w:rPr>
                <w:sz w:val="18"/>
              </w:rPr>
              <w:t>Inverse Vol (ex-NatGas)</w:t>
            </w:r>
          </w:p>
        </w:tc>
        <w:tc>
          <w:tcPr>
            <w:tcW w:type="dxa" w:w="1656"/>
          </w:tcPr>
          <w:p>
            <w:r>
              <w:rPr>
                <w:sz w:val="18"/>
              </w:rPr>
              <w:t>+0.78</w:t>
            </w:r>
          </w:p>
        </w:tc>
        <w:tc>
          <w:tcPr>
            <w:tcW w:type="dxa" w:w="1656"/>
          </w:tcPr>
          <w:p>
            <w:r>
              <w:rPr>
                <w:sz w:val="18"/>
              </w:rPr>
              <w:t>+0.99</w:t>
            </w:r>
          </w:p>
        </w:tc>
        <w:tc>
          <w:tcPr>
            <w:tcW w:type="dxa" w:w="1656"/>
          </w:tcPr>
          <w:p>
            <w:r>
              <w:rPr>
                <w:sz w:val="18"/>
              </w:rPr>
              <w:t>+0.99</w:t>
            </w:r>
          </w:p>
        </w:tc>
        <w:tc>
          <w:tcPr>
            <w:tcW w:type="dxa" w:w="1656"/>
          </w:tcPr>
          <w:p>
            <w:r>
              <w:rPr>
                <w:sz w:val="18"/>
              </w:rPr>
              <w:t>+0.38</w:t>
            </w:r>
          </w:p>
        </w:tc>
        <w:tc>
          <w:tcPr>
            <w:tcW w:type="dxa" w:w="1656"/>
          </w:tcPr>
          <w:p>
            <w:r>
              <w:rPr>
                <w:sz w:val="18"/>
              </w:rPr>
              <w:t>+2.58</w:t>
            </w:r>
          </w:p>
        </w:tc>
      </w:tr>
    </w:tbl>
    <w:p/>
    <w:p>
      <w:pPr/>
      <w:r>
        <w:rPr>
          <w:b/>
          <w:sz w:val="18"/>
        </w:rPr>
        <w:t>Table A22. Cross-Pair Portfolio: Full-Sample Information Ratios, All Ten Asset-Class Pairs</w:t>
      </w:r>
    </w:p>
    <w:tbl>
      <w:tblPr>
        <w:tblStyle w:val="LightGrid-Accent1"/>
        <w:tblW w:type="auto" w:w="0"/>
        <w:tblLook w:firstColumn="1" w:firstRow="1" w:lastColumn="0" w:lastRow="0" w:noHBand="0" w:noVBand="1" w:val="04A0"/>
      </w:tblPr>
      <w:tblGrid>
        <w:gridCol w:w="3312"/>
        <w:gridCol w:w="3312"/>
        <w:gridCol w:w="3312"/>
      </w:tblGrid>
      <w:tr>
        <w:tc>
          <w:tcPr>
            <w:tcW w:type="dxa" w:w="3312"/>
          </w:tcPr>
          <w:p/>
        </w:tc>
        <w:tc>
          <w:tcPr>
            <w:tcW w:type="dxa" w:w="3312"/>
          </w:tcPr>
          <w:p>
            <w:r>
              <w:rPr>
                <w:sz w:val="18"/>
              </w:rPr>
              <w:t>Equal Weight</w:t>
            </w:r>
          </w:p>
        </w:tc>
        <w:tc>
          <w:tcPr>
            <w:tcW w:type="dxa" w:w="3312"/>
          </w:tcPr>
          <w:p>
            <w:r>
              <w:rPr>
                <w:sz w:val="18"/>
              </w:rPr>
              <w:t>Inverse Vol</w:t>
            </w:r>
          </w:p>
        </w:tc>
      </w:tr>
      <w:tr>
        <w:tc>
          <w:tcPr>
            <w:tcW w:type="dxa" w:w="3312"/>
          </w:tcPr>
          <w:p>
            <w:r>
              <w:rPr>
                <w:sz w:val="18"/>
              </w:rPr>
              <w:t>Metals-Energy</w:t>
            </w:r>
          </w:p>
        </w:tc>
        <w:tc>
          <w:tcPr>
            <w:tcW w:type="dxa" w:w="3312"/>
          </w:tcPr>
          <w:p>
            <w:r>
              <w:rPr>
                <w:sz w:val="18"/>
              </w:rPr>
              <w:t>+0.41</w:t>
            </w:r>
          </w:p>
        </w:tc>
        <w:tc>
          <w:tcPr>
            <w:tcW w:type="dxa" w:w="3312"/>
          </w:tcPr>
          <w:p>
            <w:r>
              <w:rPr>
                <w:sz w:val="18"/>
              </w:rPr>
              <w:t>+0.44</w:t>
            </w:r>
          </w:p>
        </w:tc>
      </w:tr>
      <w:tr>
        <w:tc>
          <w:tcPr>
            <w:tcW w:type="dxa" w:w="3312"/>
          </w:tcPr>
          <w:p>
            <w:r>
              <w:rPr>
                <w:sz w:val="18"/>
              </w:rPr>
              <w:t>Metals-Precious Metals</w:t>
            </w:r>
          </w:p>
        </w:tc>
        <w:tc>
          <w:tcPr>
            <w:tcW w:type="dxa" w:w="3312"/>
          </w:tcPr>
          <w:p>
            <w:r>
              <w:rPr>
                <w:sz w:val="18"/>
              </w:rPr>
              <w:t>-0.18</w:t>
            </w:r>
          </w:p>
        </w:tc>
        <w:tc>
          <w:tcPr>
            <w:tcW w:type="dxa" w:w="3312"/>
          </w:tcPr>
          <w:p>
            <w:r>
              <w:rPr>
                <w:sz w:val="18"/>
              </w:rPr>
              <w:t>-0.03</w:t>
            </w:r>
          </w:p>
        </w:tc>
      </w:tr>
      <w:tr>
        <w:tc>
          <w:tcPr>
            <w:tcW w:type="dxa" w:w="3312"/>
          </w:tcPr>
          <w:p>
            <w:r>
              <w:rPr>
                <w:sz w:val="18"/>
              </w:rPr>
              <w:t>Metals-NGL</w:t>
            </w:r>
          </w:p>
        </w:tc>
        <w:tc>
          <w:tcPr>
            <w:tcW w:type="dxa" w:w="3312"/>
          </w:tcPr>
          <w:p>
            <w:r>
              <w:rPr>
                <w:sz w:val="18"/>
              </w:rPr>
              <w:t>+0.95</w:t>
            </w:r>
          </w:p>
        </w:tc>
        <w:tc>
          <w:tcPr>
            <w:tcW w:type="dxa" w:w="3312"/>
          </w:tcPr>
          <w:p>
            <w:r>
              <w:rPr>
                <w:sz w:val="18"/>
              </w:rPr>
              <w:t>+0.94</w:t>
            </w:r>
          </w:p>
        </w:tc>
      </w:tr>
      <w:tr>
        <w:tc>
          <w:tcPr>
            <w:tcW w:type="dxa" w:w="3312"/>
          </w:tcPr>
          <w:p>
            <w:r>
              <w:rPr>
                <w:sz w:val="18"/>
              </w:rPr>
              <w:t>Metals-Agriculture</w:t>
            </w:r>
          </w:p>
        </w:tc>
        <w:tc>
          <w:tcPr>
            <w:tcW w:type="dxa" w:w="3312"/>
          </w:tcPr>
          <w:p>
            <w:r>
              <w:rPr>
                <w:sz w:val="18"/>
              </w:rPr>
              <w:t>-0.17</w:t>
            </w:r>
          </w:p>
        </w:tc>
        <w:tc>
          <w:tcPr>
            <w:tcW w:type="dxa" w:w="3312"/>
          </w:tcPr>
          <w:p>
            <w:r>
              <w:rPr>
                <w:sz w:val="18"/>
              </w:rPr>
              <w:t>-0.11</w:t>
            </w:r>
          </w:p>
        </w:tc>
      </w:tr>
      <w:tr>
        <w:tc>
          <w:tcPr>
            <w:tcW w:type="dxa" w:w="3312"/>
          </w:tcPr>
          <w:p>
            <w:r>
              <w:rPr>
                <w:sz w:val="18"/>
              </w:rPr>
              <w:t>Energy-Precious Metals</w:t>
            </w:r>
          </w:p>
        </w:tc>
        <w:tc>
          <w:tcPr>
            <w:tcW w:type="dxa" w:w="3312"/>
          </w:tcPr>
          <w:p>
            <w:r>
              <w:rPr>
                <w:sz w:val="18"/>
              </w:rPr>
              <w:t>+0.28</w:t>
            </w:r>
          </w:p>
        </w:tc>
        <w:tc>
          <w:tcPr>
            <w:tcW w:type="dxa" w:w="3312"/>
          </w:tcPr>
          <w:p>
            <w:r>
              <w:rPr>
                <w:sz w:val="18"/>
              </w:rPr>
              <w:t>+0.23</w:t>
            </w:r>
          </w:p>
        </w:tc>
      </w:tr>
      <w:tr>
        <w:tc>
          <w:tcPr>
            <w:tcW w:type="dxa" w:w="3312"/>
          </w:tcPr>
          <w:p>
            <w:r>
              <w:rPr>
                <w:sz w:val="18"/>
              </w:rPr>
              <w:t>Energy-NGL</w:t>
            </w:r>
          </w:p>
        </w:tc>
        <w:tc>
          <w:tcPr>
            <w:tcW w:type="dxa" w:w="3312"/>
          </w:tcPr>
          <w:p>
            <w:r>
              <w:rPr>
                <w:sz w:val="18"/>
              </w:rPr>
              <w:t>+0.99</w:t>
            </w:r>
          </w:p>
        </w:tc>
        <w:tc>
          <w:tcPr>
            <w:tcW w:type="dxa" w:w="3312"/>
          </w:tcPr>
          <w:p>
            <w:r>
              <w:rPr>
                <w:sz w:val="18"/>
              </w:rPr>
              <w:t>+1.01</w:t>
            </w:r>
          </w:p>
        </w:tc>
      </w:tr>
      <w:tr>
        <w:tc>
          <w:tcPr>
            <w:tcW w:type="dxa" w:w="3312"/>
          </w:tcPr>
          <w:p>
            <w:r>
              <w:rPr>
                <w:sz w:val="18"/>
              </w:rPr>
              <w:t>Energy-Agriculture</w:t>
            </w:r>
          </w:p>
        </w:tc>
        <w:tc>
          <w:tcPr>
            <w:tcW w:type="dxa" w:w="3312"/>
          </w:tcPr>
          <w:p>
            <w:r>
              <w:rPr>
                <w:sz w:val="18"/>
              </w:rPr>
              <w:t>+0.33</w:t>
            </w:r>
          </w:p>
        </w:tc>
        <w:tc>
          <w:tcPr>
            <w:tcW w:type="dxa" w:w="3312"/>
          </w:tcPr>
          <w:p>
            <w:r>
              <w:rPr>
                <w:sz w:val="18"/>
              </w:rPr>
              <w:t>+0.24</w:t>
            </w:r>
          </w:p>
        </w:tc>
      </w:tr>
      <w:tr>
        <w:tc>
          <w:tcPr>
            <w:tcW w:type="dxa" w:w="3312"/>
          </w:tcPr>
          <w:p>
            <w:r>
              <w:rPr>
                <w:sz w:val="18"/>
              </w:rPr>
              <w:t>Precious Metals-NGL</w:t>
            </w:r>
          </w:p>
        </w:tc>
        <w:tc>
          <w:tcPr>
            <w:tcW w:type="dxa" w:w="3312"/>
          </w:tcPr>
          <w:p>
            <w:r>
              <w:rPr>
                <w:sz w:val="18"/>
              </w:rPr>
              <w:t>+0.80</w:t>
            </w:r>
          </w:p>
        </w:tc>
        <w:tc>
          <w:tcPr>
            <w:tcW w:type="dxa" w:w="3312"/>
          </w:tcPr>
          <w:p>
            <w:r>
              <w:rPr>
                <w:sz w:val="18"/>
              </w:rPr>
              <w:t>+0.47</w:t>
            </w:r>
          </w:p>
        </w:tc>
      </w:tr>
      <w:tr>
        <w:tc>
          <w:tcPr>
            <w:tcW w:type="dxa" w:w="3312"/>
          </w:tcPr>
          <w:p>
            <w:r>
              <w:rPr>
                <w:sz w:val="18"/>
              </w:rPr>
              <w:t>Precious Metals-Agriculture</w:t>
            </w:r>
          </w:p>
        </w:tc>
        <w:tc>
          <w:tcPr>
            <w:tcW w:type="dxa" w:w="3312"/>
          </w:tcPr>
          <w:p>
            <w:r>
              <w:rPr>
                <w:sz w:val="18"/>
              </w:rPr>
              <w:t>-0.28</w:t>
            </w:r>
          </w:p>
        </w:tc>
        <w:tc>
          <w:tcPr>
            <w:tcW w:type="dxa" w:w="3312"/>
          </w:tcPr>
          <w:p>
            <w:r>
              <w:rPr>
                <w:sz w:val="18"/>
              </w:rPr>
              <w:t>-0.30</w:t>
            </w:r>
          </w:p>
        </w:tc>
      </w:tr>
      <w:tr>
        <w:tc>
          <w:tcPr>
            <w:tcW w:type="dxa" w:w="3312"/>
          </w:tcPr>
          <w:p>
            <w:r>
              <w:rPr>
                <w:sz w:val="18"/>
              </w:rPr>
              <w:t>NGL-Agriculture</w:t>
            </w:r>
          </w:p>
        </w:tc>
        <w:tc>
          <w:tcPr>
            <w:tcW w:type="dxa" w:w="3312"/>
          </w:tcPr>
          <w:p>
            <w:r>
              <w:rPr>
                <w:sz w:val="18"/>
              </w:rPr>
              <w:t>+0.88</w:t>
            </w:r>
          </w:p>
        </w:tc>
        <w:tc>
          <w:tcPr>
            <w:tcW w:type="dxa" w:w="3312"/>
          </w:tcPr>
          <w:p>
            <w:r>
              <w:rPr>
                <w:sz w:val="18"/>
              </w:rPr>
              <w:t>+0.71</w:t>
            </w:r>
          </w:p>
        </w:tc>
      </w:tr>
    </w:tbl>
    <w:p/>
    <w:p>
      <w:pPr/>
      <w:r>
        <w:rPr>
          <w:b/>
          <w:sz w:val="18"/>
        </w:rPr>
        <w:t>Table A23. Cross-Pair Portfolio: Energy Pairs Excluding Natural Gas, Full-Sample Information Ratios</w:t>
      </w:r>
    </w:p>
    <w:tbl>
      <w:tblPr>
        <w:tblStyle w:val="LightGrid-Accent1"/>
        <w:tblW w:type="auto" w:w="0"/>
        <w:tblLook w:firstColumn="1" w:firstRow="1" w:lastColumn="0" w:lastRow="0" w:noHBand="0" w:noVBand="1" w:val="04A0"/>
      </w:tblPr>
      <w:tblGrid>
        <w:gridCol w:w="3312"/>
        <w:gridCol w:w="3312"/>
        <w:gridCol w:w="3312"/>
      </w:tblGrid>
      <w:tr>
        <w:tc>
          <w:tcPr>
            <w:tcW w:type="dxa" w:w="3312"/>
          </w:tcPr>
          <w:p/>
        </w:tc>
        <w:tc>
          <w:tcPr>
            <w:tcW w:type="dxa" w:w="3312"/>
          </w:tcPr>
          <w:p>
            <w:r>
              <w:rPr>
                <w:sz w:val="18"/>
              </w:rPr>
              <w:t>Equal Weight</w:t>
            </w:r>
          </w:p>
        </w:tc>
        <w:tc>
          <w:tcPr>
            <w:tcW w:type="dxa" w:w="3312"/>
          </w:tcPr>
          <w:p>
            <w:r>
              <w:rPr>
                <w:sz w:val="18"/>
              </w:rPr>
              <w:t>Inverse Vol</w:t>
            </w:r>
          </w:p>
        </w:tc>
      </w:tr>
      <w:tr>
        <w:tc>
          <w:tcPr>
            <w:tcW w:type="dxa" w:w="3312"/>
          </w:tcPr>
          <w:p>
            <w:r>
              <w:rPr>
                <w:sz w:val="18"/>
              </w:rPr>
              <w:t>Metals-Energy (ex-NatGas)</w:t>
            </w:r>
          </w:p>
        </w:tc>
        <w:tc>
          <w:tcPr>
            <w:tcW w:type="dxa" w:w="3312"/>
          </w:tcPr>
          <w:p>
            <w:r>
              <w:rPr>
                <w:sz w:val="18"/>
              </w:rPr>
              <w:t>+0.50</w:t>
            </w:r>
          </w:p>
        </w:tc>
        <w:tc>
          <w:tcPr>
            <w:tcW w:type="dxa" w:w="3312"/>
          </w:tcPr>
          <w:p>
            <w:r>
              <w:rPr>
                <w:sz w:val="18"/>
              </w:rPr>
              <w:t>+0.49</w:t>
            </w:r>
          </w:p>
        </w:tc>
      </w:tr>
      <w:tr>
        <w:tc>
          <w:tcPr>
            <w:tcW w:type="dxa" w:w="3312"/>
          </w:tcPr>
          <w:p>
            <w:r>
              <w:rPr>
                <w:sz w:val="18"/>
              </w:rPr>
              <w:t>Energy (ex-NatGas)-Precious Metals</w:t>
            </w:r>
          </w:p>
        </w:tc>
        <w:tc>
          <w:tcPr>
            <w:tcW w:type="dxa" w:w="3312"/>
          </w:tcPr>
          <w:p>
            <w:r>
              <w:rPr>
                <w:sz w:val="18"/>
              </w:rPr>
              <w:t>+0.39</w:t>
            </w:r>
          </w:p>
        </w:tc>
        <w:tc>
          <w:tcPr>
            <w:tcW w:type="dxa" w:w="3312"/>
          </w:tcPr>
          <w:p>
            <w:r>
              <w:rPr>
                <w:sz w:val="18"/>
              </w:rPr>
              <w:t>+0.37</w:t>
            </w:r>
          </w:p>
        </w:tc>
      </w:tr>
      <w:tr>
        <w:tc>
          <w:tcPr>
            <w:tcW w:type="dxa" w:w="3312"/>
          </w:tcPr>
          <w:p>
            <w:r>
              <w:rPr>
                <w:sz w:val="18"/>
              </w:rPr>
              <w:t>Energy (ex-NatGas)-NGL</w:t>
            </w:r>
          </w:p>
        </w:tc>
        <w:tc>
          <w:tcPr>
            <w:tcW w:type="dxa" w:w="3312"/>
          </w:tcPr>
          <w:p>
            <w:r>
              <w:rPr>
                <w:sz w:val="18"/>
              </w:rPr>
              <w:t>+1.04</w:t>
            </w:r>
          </w:p>
        </w:tc>
        <w:tc>
          <w:tcPr>
            <w:tcW w:type="dxa" w:w="3312"/>
          </w:tcPr>
          <w:p>
            <w:r>
              <w:rPr>
                <w:sz w:val="18"/>
              </w:rPr>
              <w:t>+1.11</w:t>
            </w:r>
          </w:p>
        </w:tc>
      </w:tr>
      <w:tr>
        <w:tc>
          <w:tcPr>
            <w:tcW w:type="dxa" w:w="3312"/>
          </w:tcPr>
          <w:p>
            <w:r>
              <w:rPr>
                <w:sz w:val="18"/>
              </w:rPr>
              <w:t>Energy (ex-NatGas)-Agriculture</w:t>
            </w:r>
          </w:p>
        </w:tc>
        <w:tc>
          <w:tcPr>
            <w:tcW w:type="dxa" w:w="3312"/>
          </w:tcPr>
          <w:p>
            <w:r>
              <w:rPr>
                <w:sz w:val="18"/>
              </w:rPr>
              <w:t>+0.43</w:t>
            </w:r>
          </w:p>
        </w:tc>
        <w:tc>
          <w:tcPr>
            <w:tcW w:type="dxa" w:w="3312"/>
          </w:tcPr>
          <w:p>
            <w:r>
              <w:rPr>
                <w:sz w:val="18"/>
              </w:rPr>
              <w:t>+0.32</w:t>
            </w:r>
          </w:p>
        </w:tc>
      </w:tr>
    </w:tbl>
    <w:p/>
    <w:p>
      <w:pPr>
        <w:pStyle w:val="Heading2"/>
      </w:pPr>
      <w:r>
        <w:t>Appendix: Equity-Curve Charts</w:t>
      </w:r>
    </w:p>
    <w:p>
      <w:pPr/>
      <w:r>
        <w:t>Individual equity curves underlying the combined-strategy figures above, decomposed by instrument for each strategy within each asset class, and by asset-class pair, one chart per construction method, for the Cross-Pair Portfolios (Energy including Natural Gas).</w:t>
      </w:r>
    </w:p>
    <w:p>
      <w:pPr>
        <w:pStyle w:val="Heading3"/>
      </w:pPr>
      <w:r>
        <w:t>Metals</w:t>
      </w:r>
    </w:p>
    <w:p>
      <w:pPr>
        <w:jc w:val="center"/>
      </w:pPr>
      <w:r>
        <w:drawing>
          <wp:inline xmlns:a="http://schemas.openxmlformats.org/drawingml/2006/main" xmlns:pic="http://schemas.openxmlformats.org/drawingml/2006/picture">
            <wp:extent cx="5486400" cy="3269673"/>
            <wp:docPr id="7" name="Picture 7"/>
            <wp:cNvGraphicFramePr>
              <a:graphicFrameLocks noChangeAspect="1"/>
            </wp:cNvGraphicFramePr>
            <a:graphic>
              <a:graphicData uri="http://schemas.openxmlformats.org/drawingml/2006/picture">
                <pic:pic>
                  <pic:nvPicPr>
                    <pic:cNvPr id="0" name="fig_metals_Momentum.png"/>
                    <pic:cNvPicPr/>
                  </pic:nvPicPr>
                  <pic:blipFill>
                    <a:blip r:embed="rId14"/>
                    <a:stretch>
                      <a:fillRect/>
                    </a:stretch>
                  </pic:blipFill>
                  <pic:spPr>
                    <a:xfrm>
                      <a:off x="0" y="0"/>
                      <a:ext cx="5486400" cy="3269673"/>
                    </a:xfrm>
                    <a:prstGeom prst="rect"/>
                  </pic:spPr>
                </pic:pic>
              </a:graphicData>
            </a:graphic>
          </wp:inline>
        </w:drawing>
      </w:r>
    </w:p>
    <w:p>
      <w:pPr>
        <w:jc w:val="center"/>
      </w:pPr>
      <w:r>
        <w:rPr>
          <w:b/>
          <w:sz w:val="18"/>
        </w:rPr>
        <w:t>Figure A1. Metals, Momentum: Equity Curve by Metal (2011-2026)</w:t>
      </w:r>
    </w:p>
    <w:p>
      <w:pPr>
        <w:jc w:val="center"/>
      </w:pPr>
      <w:r>
        <w:drawing>
          <wp:inline xmlns:a="http://schemas.openxmlformats.org/drawingml/2006/main" xmlns:pic="http://schemas.openxmlformats.org/drawingml/2006/picture">
            <wp:extent cx="5486400" cy="3269673"/>
            <wp:docPr id="8" name="Picture 8"/>
            <wp:cNvGraphicFramePr>
              <a:graphicFrameLocks noChangeAspect="1"/>
            </wp:cNvGraphicFramePr>
            <a:graphic>
              <a:graphicData uri="http://schemas.openxmlformats.org/drawingml/2006/picture">
                <pic:pic>
                  <pic:nvPicPr>
                    <pic:cNvPr id="0" name="fig_metals_Carry.png"/>
                    <pic:cNvPicPr/>
                  </pic:nvPicPr>
                  <pic:blipFill>
                    <a:blip r:embed="rId15"/>
                    <a:stretch>
                      <a:fillRect/>
                    </a:stretch>
                  </pic:blipFill>
                  <pic:spPr>
                    <a:xfrm>
                      <a:off x="0" y="0"/>
                      <a:ext cx="5486400" cy="3269673"/>
                    </a:xfrm>
                    <a:prstGeom prst="rect"/>
                  </pic:spPr>
                </pic:pic>
              </a:graphicData>
            </a:graphic>
          </wp:inline>
        </w:drawing>
      </w:r>
    </w:p>
    <w:p>
      <w:pPr>
        <w:jc w:val="center"/>
      </w:pPr>
      <w:r>
        <w:rPr>
          <w:b/>
          <w:sz w:val="18"/>
        </w:rPr>
        <w:t>Figure A2. Metals, Carry: Equity Curve by Metal (2011-2026)</w:t>
      </w:r>
    </w:p>
    <w:p>
      <w:pPr>
        <w:jc w:val="center"/>
      </w:pPr>
      <w:r>
        <w:drawing>
          <wp:inline xmlns:a="http://schemas.openxmlformats.org/drawingml/2006/main" xmlns:pic="http://schemas.openxmlformats.org/drawingml/2006/picture">
            <wp:extent cx="5486400" cy="3269673"/>
            <wp:docPr id="9" name="Picture 9"/>
            <wp:cNvGraphicFramePr>
              <a:graphicFrameLocks noChangeAspect="1"/>
            </wp:cNvGraphicFramePr>
            <a:graphic>
              <a:graphicData uri="http://schemas.openxmlformats.org/drawingml/2006/picture">
                <pic:pic>
                  <pic:nvPicPr>
                    <pic:cNvPr id="0" name="fig_metals_CarryMom.png"/>
                    <pic:cNvPicPr/>
                  </pic:nvPicPr>
                  <pic:blipFill>
                    <a:blip r:embed="rId16"/>
                    <a:stretch>
                      <a:fillRect/>
                    </a:stretch>
                  </pic:blipFill>
                  <pic:spPr>
                    <a:xfrm>
                      <a:off x="0" y="0"/>
                      <a:ext cx="5486400" cy="3269673"/>
                    </a:xfrm>
                    <a:prstGeom prst="rect"/>
                  </pic:spPr>
                </pic:pic>
              </a:graphicData>
            </a:graphic>
          </wp:inline>
        </w:drawing>
      </w:r>
    </w:p>
    <w:p>
      <w:pPr>
        <w:jc w:val="center"/>
      </w:pPr>
      <w:r>
        <w:rPr>
          <w:b/>
          <w:sz w:val="18"/>
        </w:rPr>
        <w:t>Figure A3. Metals, Carry-Momentum: Equity Curve by Metal (2011-2026)</w:t>
      </w:r>
    </w:p>
    <w:p>
      <w:pPr>
        <w:jc w:val="center"/>
      </w:pPr>
      <w:r>
        <w:drawing>
          <wp:inline xmlns:a="http://schemas.openxmlformats.org/drawingml/2006/main" xmlns:pic="http://schemas.openxmlformats.org/drawingml/2006/picture">
            <wp:extent cx="5486400" cy="3269673"/>
            <wp:docPr id="10" name="Picture 10"/>
            <wp:cNvGraphicFramePr>
              <a:graphicFrameLocks noChangeAspect="1"/>
            </wp:cNvGraphicFramePr>
            <a:graphic>
              <a:graphicData uri="http://schemas.openxmlformats.org/drawingml/2006/picture">
                <pic:pic>
                  <pic:nvPicPr>
                    <pic:cNvPr id="0" name="fig_metals_Value.png"/>
                    <pic:cNvPicPr/>
                  </pic:nvPicPr>
                  <pic:blipFill>
                    <a:blip r:embed="rId17"/>
                    <a:stretch>
                      <a:fillRect/>
                    </a:stretch>
                  </pic:blipFill>
                  <pic:spPr>
                    <a:xfrm>
                      <a:off x="0" y="0"/>
                      <a:ext cx="5486400" cy="3269673"/>
                    </a:xfrm>
                    <a:prstGeom prst="rect"/>
                  </pic:spPr>
                </pic:pic>
              </a:graphicData>
            </a:graphic>
          </wp:inline>
        </w:drawing>
      </w:r>
    </w:p>
    <w:p>
      <w:pPr>
        <w:jc w:val="center"/>
      </w:pPr>
      <w:r>
        <w:rPr>
          <w:b/>
          <w:sz w:val="18"/>
        </w:rPr>
        <w:t>Figure A4. Metals, Value: Equity Curve by Metal (2011-2026)</w:t>
      </w:r>
    </w:p>
    <w:p>
      <w:pPr>
        <w:pStyle w:val="Heading3"/>
      </w:pPr>
      <w:r>
        <w:t>Energy</w:t>
      </w:r>
    </w:p>
    <w:p>
      <w:pPr>
        <w:jc w:val="center"/>
      </w:pPr>
      <w:r>
        <w:drawing>
          <wp:inline xmlns:a="http://schemas.openxmlformats.org/drawingml/2006/main" xmlns:pic="http://schemas.openxmlformats.org/drawingml/2006/picture">
            <wp:extent cx="5486400" cy="3269673"/>
            <wp:docPr id="11" name="Picture 11"/>
            <wp:cNvGraphicFramePr>
              <a:graphicFrameLocks noChangeAspect="1"/>
            </wp:cNvGraphicFramePr>
            <a:graphic>
              <a:graphicData uri="http://schemas.openxmlformats.org/drawingml/2006/picture">
                <pic:pic>
                  <pic:nvPicPr>
                    <pic:cNvPr id="0" name="fig_energy_Momentum.png"/>
                    <pic:cNvPicPr/>
                  </pic:nvPicPr>
                  <pic:blipFill>
                    <a:blip r:embed="rId18"/>
                    <a:stretch>
                      <a:fillRect/>
                    </a:stretch>
                  </pic:blipFill>
                  <pic:spPr>
                    <a:xfrm>
                      <a:off x="0" y="0"/>
                      <a:ext cx="5486400" cy="3269673"/>
                    </a:xfrm>
                    <a:prstGeom prst="rect"/>
                  </pic:spPr>
                </pic:pic>
              </a:graphicData>
            </a:graphic>
          </wp:inline>
        </w:drawing>
      </w:r>
    </w:p>
    <w:p>
      <w:pPr>
        <w:jc w:val="center"/>
      </w:pPr>
      <w:r>
        <w:rPr>
          <w:b/>
          <w:sz w:val="18"/>
        </w:rPr>
        <w:t>Figure A5. Energy, Momentum: Equity Curve by Product (2011-2026)</w:t>
      </w:r>
    </w:p>
    <w:p>
      <w:pPr>
        <w:jc w:val="center"/>
      </w:pPr>
      <w:r>
        <w:drawing>
          <wp:inline xmlns:a="http://schemas.openxmlformats.org/drawingml/2006/main" xmlns:pic="http://schemas.openxmlformats.org/drawingml/2006/picture">
            <wp:extent cx="5486400" cy="3269673"/>
            <wp:docPr id="12" name="Picture 12"/>
            <wp:cNvGraphicFramePr>
              <a:graphicFrameLocks noChangeAspect="1"/>
            </wp:cNvGraphicFramePr>
            <a:graphic>
              <a:graphicData uri="http://schemas.openxmlformats.org/drawingml/2006/picture">
                <pic:pic>
                  <pic:nvPicPr>
                    <pic:cNvPr id="0" name="fig_energy_Carry.png"/>
                    <pic:cNvPicPr/>
                  </pic:nvPicPr>
                  <pic:blipFill>
                    <a:blip r:embed="rId19"/>
                    <a:stretch>
                      <a:fillRect/>
                    </a:stretch>
                  </pic:blipFill>
                  <pic:spPr>
                    <a:xfrm>
                      <a:off x="0" y="0"/>
                      <a:ext cx="5486400" cy="3269673"/>
                    </a:xfrm>
                    <a:prstGeom prst="rect"/>
                  </pic:spPr>
                </pic:pic>
              </a:graphicData>
            </a:graphic>
          </wp:inline>
        </w:drawing>
      </w:r>
    </w:p>
    <w:p>
      <w:pPr>
        <w:jc w:val="center"/>
      </w:pPr>
      <w:r>
        <w:rPr>
          <w:b/>
          <w:sz w:val="18"/>
        </w:rPr>
        <w:t>Figure A6. Energy, Carry: Equity Curve by Product (2011-2026)</w:t>
      </w:r>
    </w:p>
    <w:p>
      <w:pPr>
        <w:jc w:val="center"/>
      </w:pPr>
      <w:r>
        <w:drawing>
          <wp:inline xmlns:a="http://schemas.openxmlformats.org/drawingml/2006/main" xmlns:pic="http://schemas.openxmlformats.org/drawingml/2006/picture">
            <wp:extent cx="5486400" cy="3269673"/>
            <wp:docPr id="13" name="Picture 13"/>
            <wp:cNvGraphicFramePr>
              <a:graphicFrameLocks noChangeAspect="1"/>
            </wp:cNvGraphicFramePr>
            <a:graphic>
              <a:graphicData uri="http://schemas.openxmlformats.org/drawingml/2006/picture">
                <pic:pic>
                  <pic:nvPicPr>
                    <pic:cNvPr id="0" name="fig_energy_CarryMom.png"/>
                    <pic:cNvPicPr/>
                  </pic:nvPicPr>
                  <pic:blipFill>
                    <a:blip r:embed="rId20"/>
                    <a:stretch>
                      <a:fillRect/>
                    </a:stretch>
                  </pic:blipFill>
                  <pic:spPr>
                    <a:xfrm>
                      <a:off x="0" y="0"/>
                      <a:ext cx="5486400" cy="3269673"/>
                    </a:xfrm>
                    <a:prstGeom prst="rect"/>
                  </pic:spPr>
                </pic:pic>
              </a:graphicData>
            </a:graphic>
          </wp:inline>
        </w:drawing>
      </w:r>
    </w:p>
    <w:p>
      <w:pPr>
        <w:jc w:val="center"/>
      </w:pPr>
      <w:r>
        <w:rPr>
          <w:b/>
          <w:sz w:val="18"/>
        </w:rPr>
        <w:t>Figure A7. Energy, Carry-Momentum: Equity Curve by Product (2011-2026)</w:t>
      </w:r>
    </w:p>
    <w:p>
      <w:pPr>
        <w:jc w:val="center"/>
      </w:pPr>
      <w:r>
        <w:drawing>
          <wp:inline xmlns:a="http://schemas.openxmlformats.org/drawingml/2006/main" xmlns:pic="http://schemas.openxmlformats.org/drawingml/2006/picture">
            <wp:extent cx="5486400" cy="3269673"/>
            <wp:docPr id="14" name="Picture 14"/>
            <wp:cNvGraphicFramePr>
              <a:graphicFrameLocks noChangeAspect="1"/>
            </wp:cNvGraphicFramePr>
            <a:graphic>
              <a:graphicData uri="http://schemas.openxmlformats.org/drawingml/2006/picture">
                <pic:pic>
                  <pic:nvPicPr>
                    <pic:cNvPr id="0" name="fig_energy_Value.png"/>
                    <pic:cNvPicPr/>
                  </pic:nvPicPr>
                  <pic:blipFill>
                    <a:blip r:embed="rId21"/>
                    <a:stretch>
                      <a:fillRect/>
                    </a:stretch>
                  </pic:blipFill>
                  <pic:spPr>
                    <a:xfrm>
                      <a:off x="0" y="0"/>
                      <a:ext cx="5486400" cy="3269673"/>
                    </a:xfrm>
                    <a:prstGeom prst="rect"/>
                  </pic:spPr>
                </pic:pic>
              </a:graphicData>
            </a:graphic>
          </wp:inline>
        </w:drawing>
      </w:r>
    </w:p>
    <w:p>
      <w:pPr>
        <w:jc w:val="center"/>
      </w:pPr>
      <w:r>
        <w:rPr>
          <w:b/>
          <w:sz w:val="18"/>
        </w:rPr>
        <w:t>Figure A8. Energy, Value: Equity Curve by Product (2011-2026)</w:t>
      </w:r>
    </w:p>
    <w:p>
      <w:pPr>
        <w:pStyle w:val="Heading3"/>
      </w:pPr>
      <w:r>
        <w:t>Precious Metals</w:t>
      </w:r>
    </w:p>
    <w:p>
      <w:pPr>
        <w:jc w:val="center"/>
      </w:pPr>
      <w:r>
        <w:drawing>
          <wp:inline xmlns:a="http://schemas.openxmlformats.org/drawingml/2006/main" xmlns:pic="http://schemas.openxmlformats.org/drawingml/2006/picture">
            <wp:extent cx="5486400" cy="3269673"/>
            <wp:docPr id="15" name="Picture 15"/>
            <wp:cNvGraphicFramePr>
              <a:graphicFrameLocks noChangeAspect="1"/>
            </wp:cNvGraphicFramePr>
            <a:graphic>
              <a:graphicData uri="http://schemas.openxmlformats.org/drawingml/2006/picture">
                <pic:pic>
                  <pic:nvPicPr>
                    <pic:cNvPr id="0" name="fig_precious_Momentum.png"/>
                    <pic:cNvPicPr/>
                  </pic:nvPicPr>
                  <pic:blipFill>
                    <a:blip r:embed="rId22"/>
                    <a:stretch>
                      <a:fillRect/>
                    </a:stretch>
                  </pic:blipFill>
                  <pic:spPr>
                    <a:xfrm>
                      <a:off x="0" y="0"/>
                      <a:ext cx="5486400" cy="3269673"/>
                    </a:xfrm>
                    <a:prstGeom prst="rect"/>
                  </pic:spPr>
                </pic:pic>
              </a:graphicData>
            </a:graphic>
          </wp:inline>
        </w:drawing>
      </w:r>
    </w:p>
    <w:p>
      <w:pPr>
        <w:jc w:val="center"/>
      </w:pPr>
      <w:r>
        <w:rPr>
          <w:b/>
          <w:sz w:val="18"/>
        </w:rPr>
        <w:t>Figure A9. Precious Metals, Momentum: Equity Curve by Metal (2011-2026)</w:t>
      </w:r>
    </w:p>
    <w:p>
      <w:pPr>
        <w:jc w:val="center"/>
      </w:pPr>
      <w:r>
        <w:drawing>
          <wp:inline xmlns:a="http://schemas.openxmlformats.org/drawingml/2006/main" xmlns:pic="http://schemas.openxmlformats.org/drawingml/2006/picture">
            <wp:extent cx="5486400" cy="3269673"/>
            <wp:docPr id="16" name="Picture 16"/>
            <wp:cNvGraphicFramePr>
              <a:graphicFrameLocks noChangeAspect="1"/>
            </wp:cNvGraphicFramePr>
            <a:graphic>
              <a:graphicData uri="http://schemas.openxmlformats.org/drawingml/2006/picture">
                <pic:pic>
                  <pic:nvPicPr>
                    <pic:cNvPr id="0" name="fig_precious_Carry.png"/>
                    <pic:cNvPicPr/>
                  </pic:nvPicPr>
                  <pic:blipFill>
                    <a:blip r:embed="rId23"/>
                    <a:stretch>
                      <a:fillRect/>
                    </a:stretch>
                  </pic:blipFill>
                  <pic:spPr>
                    <a:xfrm>
                      <a:off x="0" y="0"/>
                      <a:ext cx="5486400" cy="3269673"/>
                    </a:xfrm>
                    <a:prstGeom prst="rect"/>
                  </pic:spPr>
                </pic:pic>
              </a:graphicData>
            </a:graphic>
          </wp:inline>
        </w:drawing>
      </w:r>
    </w:p>
    <w:p>
      <w:pPr>
        <w:jc w:val="center"/>
      </w:pPr>
      <w:r>
        <w:rPr>
          <w:b/>
          <w:sz w:val="18"/>
        </w:rPr>
        <w:t>Figure A10. Precious Metals, Carry: Equity Curve by Metal (2011-2026)</w:t>
      </w:r>
    </w:p>
    <w:p>
      <w:pPr>
        <w:jc w:val="center"/>
      </w:pPr>
      <w:r>
        <w:drawing>
          <wp:inline xmlns:a="http://schemas.openxmlformats.org/drawingml/2006/main" xmlns:pic="http://schemas.openxmlformats.org/drawingml/2006/picture">
            <wp:extent cx="5486400" cy="3269673"/>
            <wp:docPr id="17" name="Picture 17"/>
            <wp:cNvGraphicFramePr>
              <a:graphicFrameLocks noChangeAspect="1"/>
            </wp:cNvGraphicFramePr>
            <a:graphic>
              <a:graphicData uri="http://schemas.openxmlformats.org/drawingml/2006/picture">
                <pic:pic>
                  <pic:nvPicPr>
                    <pic:cNvPr id="0" name="fig_precious_CarryMom.png"/>
                    <pic:cNvPicPr/>
                  </pic:nvPicPr>
                  <pic:blipFill>
                    <a:blip r:embed="rId24"/>
                    <a:stretch>
                      <a:fillRect/>
                    </a:stretch>
                  </pic:blipFill>
                  <pic:spPr>
                    <a:xfrm>
                      <a:off x="0" y="0"/>
                      <a:ext cx="5486400" cy="3269673"/>
                    </a:xfrm>
                    <a:prstGeom prst="rect"/>
                  </pic:spPr>
                </pic:pic>
              </a:graphicData>
            </a:graphic>
          </wp:inline>
        </w:drawing>
      </w:r>
    </w:p>
    <w:p>
      <w:pPr>
        <w:jc w:val="center"/>
      </w:pPr>
      <w:r>
        <w:rPr>
          <w:b/>
          <w:sz w:val="18"/>
        </w:rPr>
        <w:t>Figure A11. Precious Metals, Carry-Momentum: Equity Curve by Metal (2011-2026)</w:t>
      </w:r>
    </w:p>
    <w:p>
      <w:pPr>
        <w:jc w:val="center"/>
      </w:pPr>
      <w:r>
        <w:drawing>
          <wp:inline xmlns:a="http://schemas.openxmlformats.org/drawingml/2006/main" xmlns:pic="http://schemas.openxmlformats.org/drawingml/2006/picture">
            <wp:extent cx="5486400" cy="3269673"/>
            <wp:docPr id="18" name="Picture 18"/>
            <wp:cNvGraphicFramePr>
              <a:graphicFrameLocks noChangeAspect="1"/>
            </wp:cNvGraphicFramePr>
            <a:graphic>
              <a:graphicData uri="http://schemas.openxmlformats.org/drawingml/2006/picture">
                <pic:pic>
                  <pic:nvPicPr>
                    <pic:cNvPr id="0" name="fig_precious_Value.png"/>
                    <pic:cNvPicPr/>
                  </pic:nvPicPr>
                  <pic:blipFill>
                    <a:blip r:embed="rId25"/>
                    <a:stretch>
                      <a:fillRect/>
                    </a:stretch>
                  </pic:blipFill>
                  <pic:spPr>
                    <a:xfrm>
                      <a:off x="0" y="0"/>
                      <a:ext cx="5486400" cy="3269673"/>
                    </a:xfrm>
                    <a:prstGeom prst="rect"/>
                  </pic:spPr>
                </pic:pic>
              </a:graphicData>
            </a:graphic>
          </wp:inline>
        </w:drawing>
      </w:r>
    </w:p>
    <w:p>
      <w:pPr>
        <w:jc w:val="center"/>
      </w:pPr>
      <w:r>
        <w:rPr>
          <w:b/>
          <w:sz w:val="18"/>
        </w:rPr>
        <w:t>Figure A12. Precious Metals, Value: Equity Curve by Metal (2011-2026)</w:t>
      </w:r>
    </w:p>
    <w:p>
      <w:pPr>
        <w:pStyle w:val="Heading3"/>
      </w:pPr>
      <w:r>
        <w:t>NGL</w:t>
      </w:r>
    </w:p>
    <w:p>
      <w:pPr>
        <w:jc w:val="center"/>
      </w:pPr>
      <w:r>
        <w:drawing>
          <wp:inline xmlns:a="http://schemas.openxmlformats.org/drawingml/2006/main" xmlns:pic="http://schemas.openxmlformats.org/drawingml/2006/picture">
            <wp:extent cx="5486400" cy="3269673"/>
            <wp:docPr id="19" name="Picture 19"/>
            <wp:cNvGraphicFramePr>
              <a:graphicFrameLocks noChangeAspect="1"/>
            </wp:cNvGraphicFramePr>
            <a:graphic>
              <a:graphicData uri="http://schemas.openxmlformats.org/drawingml/2006/picture">
                <pic:pic>
                  <pic:nvPicPr>
                    <pic:cNvPr id="0" name="fig_ngl_Momentum.png"/>
                    <pic:cNvPicPr/>
                  </pic:nvPicPr>
                  <pic:blipFill>
                    <a:blip r:embed="rId26"/>
                    <a:stretch>
                      <a:fillRect/>
                    </a:stretch>
                  </pic:blipFill>
                  <pic:spPr>
                    <a:xfrm>
                      <a:off x="0" y="0"/>
                      <a:ext cx="5486400" cy="3269673"/>
                    </a:xfrm>
                    <a:prstGeom prst="rect"/>
                  </pic:spPr>
                </pic:pic>
              </a:graphicData>
            </a:graphic>
          </wp:inline>
        </w:drawing>
      </w:r>
    </w:p>
    <w:p>
      <w:pPr>
        <w:jc w:val="center"/>
      </w:pPr>
      <w:r>
        <w:rPr>
          <w:b/>
          <w:sz w:val="18"/>
        </w:rPr>
        <w:t>Figure A13. NGL, Momentum: Equity Curve by Product (2011-2026)</w:t>
      </w:r>
    </w:p>
    <w:p>
      <w:pPr>
        <w:jc w:val="center"/>
      </w:pPr>
      <w:r>
        <w:drawing>
          <wp:inline xmlns:a="http://schemas.openxmlformats.org/drawingml/2006/main" xmlns:pic="http://schemas.openxmlformats.org/drawingml/2006/picture">
            <wp:extent cx="5486400" cy="3269673"/>
            <wp:docPr id="20" name="Picture 20"/>
            <wp:cNvGraphicFramePr>
              <a:graphicFrameLocks noChangeAspect="1"/>
            </wp:cNvGraphicFramePr>
            <a:graphic>
              <a:graphicData uri="http://schemas.openxmlformats.org/drawingml/2006/picture">
                <pic:pic>
                  <pic:nvPicPr>
                    <pic:cNvPr id="0" name="fig_ngl_Carry.png"/>
                    <pic:cNvPicPr/>
                  </pic:nvPicPr>
                  <pic:blipFill>
                    <a:blip r:embed="rId27"/>
                    <a:stretch>
                      <a:fillRect/>
                    </a:stretch>
                  </pic:blipFill>
                  <pic:spPr>
                    <a:xfrm>
                      <a:off x="0" y="0"/>
                      <a:ext cx="5486400" cy="3269673"/>
                    </a:xfrm>
                    <a:prstGeom prst="rect"/>
                  </pic:spPr>
                </pic:pic>
              </a:graphicData>
            </a:graphic>
          </wp:inline>
        </w:drawing>
      </w:r>
    </w:p>
    <w:p>
      <w:pPr>
        <w:jc w:val="center"/>
      </w:pPr>
      <w:r>
        <w:rPr>
          <w:b/>
          <w:sz w:val="18"/>
        </w:rPr>
        <w:t>Figure A14. NGL, Carry: Equity Curve by Product (2011-2026)</w:t>
      </w:r>
    </w:p>
    <w:p>
      <w:pPr>
        <w:jc w:val="center"/>
      </w:pPr>
      <w:r>
        <w:drawing>
          <wp:inline xmlns:a="http://schemas.openxmlformats.org/drawingml/2006/main" xmlns:pic="http://schemas.openxmlformats.org/drawingml/2006/picture">
            <wp:extent cx="5486400" cy="3269673"/>
            <wp:docPr id="21" name="Picture 21"/>
            <wp:cNvGraphicFramePr>
              <a:graphicFrameLocks noChangeAspect="1"/>
            </wp:cNvGraphicFramePr>
            <a:graphic>
              <a:graphicData uri="http://schemas.openxmlformats.org/drawingml/2006/picture">
                <pic:pic>
                  <pic:nvPicPr>
                    <pic:cNvPr id="0" name="fig_ngl_CarryMom.png"/>
                    <pic:cNvPicPr/>
                  </pic:nvPicPr>
                  <pic:blipFill>
                    <a:blip r:embed="rId28"/>
                    <a:stretch>
                      <a:fillRect/>
                    </a:stretch>
                  </pic:blipFill>
                  <pic:spPr>
                    <a:xfrm>
                      <a:off x="0" y="0"/>
                      <a:ext cx="5486400" cy="3269673"/>
                    </a:xfrm>
                    <a:prstGeom prst="rect"/>
                  </pic:spPr>
                </pic:pic>
              </a:graphicData>
            </a:graphic>
          </wp:inline>
        </w:drawing>
      </w:r>
    </w:p>
    <w:p>
      <w:pPr>
        <w:jc w:val="center"/>
      </w:pPr>
      <w:r>
        <w:rPr>
          <w:b/>
          <w:sz w:val="18"/>
        </w:rPr>
        <w:t>Figure A15. NGL, Carry-Momentum: Equity Curve by Product (2011-2026)</w:t>
      </w:r>
    </w:p>
    <w:p>
      <w:pPr>
        <w:jc w:val="center"/>
      </w:pPr>
      <w:r>
        <w:drawing>
          <wp:inline xmlns:a="http://schemas.openxmlformats.org/drawingml/2006/main" xmlns:pic="http://schemas.openxmlformats.org/drawingml/2006/picture">
            <wp:extent cx="5486400" cy="3269673"/>
            <wp:docPr id="22" name="Picture 22"/>
            <wp:cNvGraphicFramePr>
              <a:graphicFrameLocks noChangeAspect="1"/>
            </wp:cNvGraphicFramePr>
            <a:graphic>
              <a:graphicData uri="http://schemas.openxmlformats.org/drawingml/2006/picture">
                <pic:pic>
                  <pic:nvPicPr>
                    <pic:cNvPr id="0" name="fig_ngl_Value.png"/>
                    <pic:cNvPicPr/>
                  </pic:nvPicPr>
                  <pic:blipFill>
                    <a:blip r:embed="rId29"/>
                    <a:stretch>
                      <a:fillRect/>
                    </a:stretch>
                  </pic:blipFill>
                  <pic:spPr>
                    <a:xfrm>
                      <a:off x="0" y="0"/>
                      <a:ext cx="5486400" cy="3269673"/>
                    </a:xfrm>
                    <a:prstGeom prst="rect"/>
                  </pic:spPr>
                </pic:pic>
              </a:graphicData>
            </a:graphic>
          </wp:inline>
        </w:drawing>
      </w:r>
    </w:p>
    <w:p>
      <w:pPr>
        <w:jc w:val="center"/>
      </w:pPr>
      <w:r>
        <w:rPr>
          <w:b/>
          <w:sz w:val="18"/>
        </w:rPr>
        <w:t>Figure A16. NGL, Value: Equity Curve by Product (2011-2026)</w:t>
      </w:r>
    </w:p>
    <w:p>
      <w:pPr>
        <w:pStyle w:val="Heading3"/>
      </w:pPr>
      <w:r>
        <w:t>Agriculture</w:t>
      </w:r>
    </w:p>
    <w:p>
      <w:pPr>
        <w:jc w:val="center"/>
      </w:pPr>
      <w:r>
        <w:drawing>
          <wp:inline xmlns:a="http://schemas.openxmlformats.org/drawingml/2006/main" xmlns:pic="http://schemas.openxmlformats.org/drawingml/2006/picture">
            <wp:extent cx="5486400" cy="3269673"/>
            <wp:docPr id="23" name="Picture 23"/>
            <wp:cNvGraphicFramePr>
              <a:graphicFrameLocks noChangeAspect="1"/>
            </wp:cNvGraphicFramePr>
            <a:graphic>
              <a:graphicData uri="http://schemas.openxmlformats.org/drawingml/2006/picture">
                <pic:pic>
                  <pic:nvPicPr>
                    <pic:cNvPr id="0" name="fig_agri_Momentum.png"/>
                    <pic:cNvPicPr/>
                  </pic:nvPicPr>
                  <pic:blipFill>
                    <a:blip r:embed="rId30"/>
                    <a:stretch>
                      <a:fillRect/>
                    </a:stretch>
                  </pic:blipFill>
                  <pic:spPr>
                    <a:xfrm>
                      <a:off x="0" y="0"/>
                      <a:ext cx="5486400" cy="3269673"/>
                    </a:xfrm>
                    <a:prstGeom prst="rect"/>
                  </pic:spPr>
                </pic:pic>
              </a:graphicData>
            </a:graphic>
          </wp:inline>
        </w:drawing>
      </w:r>
    </w:p>
    <w:p>
      <w:pPr>
        <w:jc w:val="center"/>
      </w:pPr>
      <w:r>
        <w:rPr>
          <w:b/>
          <w:sz w:val="18"/>
        </w:rPr>
        <w:t>Figure A17. Agriculture, Momentum: Equity Curve by Product (2011-2026)</w:t>
      </w:r>
    </w:p>
    <w:p>
      <w:pPr>
        <w:jc w:val="center"/>
      </w:pPr>
      <w:r>
        <w:drawing>
          <wp:inline xmlns:a="http://schemas.openxmlformats.org/drawingml/2006/main" xmlns:pic="http://schemas.openxmlformats.org/drawingml/2006/picture">
            <wp:extent cx="5486400" cy="3269673"/>
            <wp:docPr id="24" name="Picture 24"/>
            <wp:cNvGraphicFramePr>
              <a:graphicFrameLocks noChangeAspect="1"/>
            </wp:cNvGraphicFramePr>
            <a:graphic>
              <a:graphicData uri="http://schemas.openxmlformats.org/drawingml/2006/picture">
                <pic:pic>
                  <pic:nvPicPr>
                    <pic:cNvPr id="0" name="fig_agri_Carry.png"/>
                    <pic:cNvPicPr/>
                  </pic:nvPicPr>
                  <pic:blipFill>
                    <a:blip r:embed="rId34"/>
                    <a:stretch>
                      <a:fillRect/>
                    </a:stretch>
                  </pic:blipFill>
                  <pic:spPr>
                    <a:xfrm>
                      <a:off x="0" y="0"/>
                      <a:ext cx="5486400" cy="3269673"/>
                    </a:xfrm>
                    <a:prstGeom prst="rect"/>
                  </pic:spPr>
                </pic:pic>
              </a:graphicData>
            </a:graphic>
          </wp:inline>
        </w:drawing>
      </w:r>
    </w:p>
    <w:p>
      <w:pPr>
        <w:jc w:val="center"/>
      </w:pPr>
      <w:r>
        <w:rPr>
          <w:b/>
          <w:sz w:val="18"/>
        </w:rPr>
        <w:t>Figure A18. Agriculture, Carry: Equity Curve by Product (2011-2026)</w:t>
      </w:r>
    </w:p>
    <w:p>
      <w:pPr>
        <w:jc w:val="center"/>
      </w:pPr>
      <w:r>
        <w:drawing>
          <wp:inline xmlns:a="http://schemas.openxmlformats.org/drawingml/2006/main" xmlns:pic="http://schemas.openxmlformats.org/drawingml/2006/picture">
            <wp:extent cx="5486400" cy="3269673"/>
            <wp:docPr id="25" name="Picture 25"/>
            <wp:cNvGraphicFramePr>
              <a:graphicFrameLocks noChangeAspect="1"/>
            </wp:cNvGraphicFramePr>
            <a:graphic>
              <a:graphicData uri="http://schemas.openxmlformats.org/drawingml/2006/picture">
                <pic:pic>
                  <pic:nvPicPr>
                    <pic:cNvPr id="0" name="fig_agri_CarryMom.png"/>
                    <pic:cNvPicPr/>
                  </pic:nvPicPr>
                  <pic:blipFill>
                    <a:blip r:embed="rId35"/>
                    <a:stretch>
                      <a:fillRect/>
                    </a:stretch>
                  </pic:blipFill>
                  <pic:spPr>
                    <a:xfrm>
                      <a:off x="0" y="0"/>
                      <a:ext cx="5486400" cy="3269673"/>
                    </a:xfrm>
                    <a:prstGeom prst="rect"/>
                  </pic:spPr>
                </pic:pic>
              </a:graphicData>
            </a:graphic>
          </wp:inline>
        </w:drawing>
      </w:r>
    </w:p>
    <w:p>
      <w:pPr>
        <w:jc w:val="center"/>
      </w:pPr>
      <w:r>
        <w:rPr>
          <w:b/>
          <w:sz w:val="18"/>
        </w:rPr>
        <w:t>Figure A19. Agriculture, Carry-Momentum: Equity Curve by Product (2011-2026)</w:t>
      </w:r>
    </w:p>
    <w:p>
      <w:pPr>
        <w:jc w:val="center"/>
      </w:pPr>
      <w:r>
        <w:drawing>
          <wp:inline xmlns:a="http://schemas.openxmlformats.org/drawingml/2006/main" xmlns:pic="http://schemas.openxmlformats.org/drawingml/2006/picture">
            <wp:extent cx="5486400" cy="3269673"/>
            <wp:docPr id="26" name="Picture 26"/>
            <wp:cNvGraphicFramePr>
              <a:graphicFrameLocks noChangeAspect="1"/>
            </wp:cNvGraphicFramePr>
            <a:graphic>
              <a:graphicData uri="http://schemas.openxmlformats.org/drawingml/2006/picture">
                <pic:pic>
                  <pic:nvPicPr>
                    <pic:cNvPr id="0" name="fig_agri_Value.png"/>
                    <pic:cNvPicPr/>
                  </pic:nvPicPr>
                  <pic:blipFill>
                    <a:blip r:embed="rId36"/>
                    <a:stretch>
                      <a:fillRect/>
                    </a:stretch>
                  </pic:blipFill>
                  <pic:spPr>
                    <a:xfrm>
                      <a:off x="0" y="0"/>
                      <a:ext cx="5486400" cy="3269673"/>
                    </a:xfrm>
                    <a:prstGeom prst="rect"/>
                  </pic:spPr>
                </pic:pic>
              </a:graphicData>
            </a:graphic>
          </wp:inline>
        </w:drawing>
      </w:r>
    </w:p>
    <w:p>
      <w:pPr>
        <w:jc w:val="center"/>
      </w:pPr>
      <w:r>
        <w:rPr>
          <w:b/>
          <w:sz w:val="18"/>
        </w:rPr>
        <w:t>Figure A20. Agriculture, Value: Equity Curve by Product (2011-2026)</w:t>
      </w:r>
    </w:p>
    <w:p>
      <w:pPr>
        <w:pStyle w:val="Heading3"/>
      </w:pPr>
      <w:r>
        <w:t>Cross-Pair Portfolios</w:t>
      </w:r>
    </w:p>
    <w:p>
      <w:pPr>
        <w:jc w:val="center"/>
      </w:pPr>
      <w:r>
        <w:drawing>
          <wp:inline xmlns:a="http://schemas.openxmlformats.org/drawingml/2006/main" xmlns:pic="http://schemas.openxmlformats.org/drawingml/2006/picture">
            <wp:extent cx="5486400" cy="3269673"/>
            <wp:docPr id="27" name="Picture 27"/>
            <wp:cNvGraphicFramePr>
              <a:graphicFrameLocks noChangeAspect="1"/>
            </wp:cNvGraphicFramePr>
            <a:graphic>
              <a:graphicData uri="http://schemas.openxmlformats.org/drawingml/2006/picture">
                <pic:pic>
                  <pic:nvPicPr>
                    <pic:cNvPr id="0" name="fig_cp_ew.png"/>
                    <pic:cNvPicPr/>
                  </pic:nvPicPr>
                  <pic:blipFill>
                    <a:blip r:embed="rId37"/>
                    <a:stretch>
                      <a:fillRect/>
                    </a:stretch>
                  </pic:blipFill>
                  <pic:spPr>
                    <a:xfrm>
                      <a:off x="0" y="0"/>
                      <a:ext cx="5486400" cy="3269673"/>
                    </a:xfrm>
                    <a:prstGeom prst="rect"/>
                  </pic:spPr>
                </pic:pic>
              </a:graphicData>
            </a:graphic>
          </wp:inline>
        </w:drawing>
      </w:r>
    </w:p>
    <w:p>
      <w:pPr>
        <w:jc w:val="center"/>
      </w:pPr>
      <w:r>
        <w:rPr>
          <w:b/>
          <w:sz w:val="18"/>
        </w:rPr>
        <w:t>Figure A21. Cross-Pair Portfolios, Equal Weight: Equity Curve by Asset-Class Pair (2011-2026)</w:t>
      </w:r>
    </w:p>
    <w:p>
      <w:pPr>
        <w:jc w:val="center"/>
      </w:pPr>
      <w:r>
        <w:drawing>
          <wp:inline xmlns:a="http://schemas.openxmlformats.org/drawingml/2006/main" xmlns:pic="http://schemas.openxmlformats.org/drawingml/2006/picture">
            <wp:extent cx="5486400" cy="3269673"/>
            <wp:docPr id="28" name="Picture 28"/>
            <wp:cNvGraphicFramePr>
              <a:graphicFrameLocks noChangeAspect="1"/>
            </wp:cNvGraphicFramePr>
            <a:graphic>
              <a:graphicData uri="http://schemas.openxmlformats.org/drawingml/2006/picture">
                <pic:pic>
                  <pic:nvPicPr>
                    <pic:cNvPr id="0" name="fig_cp_iv.png"/>
                    <pic:cNvPicPr/>
                  </pic:nvPicPr>
                  <pic:blipFill>
                    <a:blip r:embed="rId38"/>
                    <a:stretch>
                      <a:fillRect/>
                    </a:stretch>
                  </pic:blipFill>
                  <pic:spPr>
                    <a:xfrm>
                      <a:off x="0" y="0"/>
                      <a:ext cx="5486400" cy="3269673"/>
                    </a:xfrm>
                    <a:prstGeom prst="rect"/>
                  </pic:spPr>
                </pic:pic>
              </a:graphicData>
            </a:graphic>
          </wp:inline>
        </w:drawing>
      </w:r>
    </w:p>
    <w:p>
      <w:pPr>
        <w:jc w:val="center"/>
      </w:pPr>
      <w:r>
        <w:rPr>
          <w:b/>
          <w:sz w:val="18"/>
        </w:rPr>
        <w:t>Figure A22. Cross-Pair Portfolios, Inverse Vol: Equity Curve by Asset-Class Pair (2011-2026)</w:t>
      </w:r>
    </w:p>
    <w:sectPr w:rsidR="00C96B85" w:rsidSect="00034616">
      <w:footerReference w:type="default" r:id="rId3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8FA36" w14:textId="77777777" w:rsidR="004F2861" w:rsidRDefault="004F2861">
      <w:pPr>
        <w:spacing w:after="0" w:line="240" w:lineRule="auto"/>
      </w:pPr>
      <w:r>
        <w:separator/>
      </w:r>
    </w:p>
  </w:endnote>
  <w:endnote w:type="continuationSeparator" w:id="0">
    <w:p w14:paraId="4BE67FEB" w14:textId="77777777" w:rsidR="004F2861" w:rsidRDefault="004F28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CE7A6" w14:textId="77777777" w:rsidR="00E31441" w:rsidRDefault="00000000">
    <w:pPr>
      <w:pStyle w:val="Footer"/>
      <w:jc w:val="center"/>
    </w:pPr>
    <w:r>
      <w:rPr>
        <w:i/>
        <w:sz w:val="14"/>
      </w:rPr>
      <w:t>Regimes -- R1 Supercycle Unwind (2011-2015</w:t>
    </w:r>
    <w:proofErr w:type="gramStart"/>
    <w:r>
      <w:rPr>
        <w:i/>
        <w:sz w:val="14"/>
      </w:rPr>
      <w:t>)  |</w:t>
    </w:r>
    <w:proofErr w:type="gramEnd"/>
    <w:r>
      <w:rPr>
        <w:i/>
        <w:sz w:val="14"/>
      </w:rPr>
      <w:t xml:space="preserve">  R2 Recovery &amp; Stabilization (2016-2019</w:t>
    </w:r>
    <w:proofErr w:type="gramStart"/>
    <w:r>
      <w:rPr>
        <w:i/>
        <w:sz w:val="14"/>
      </w:rPr>
      <w:t>)  |</w:t>
    </w:r>
    <w:proofErr w:type="gramEnd"/>
    <w:r>
      <w:rPr>
        <w:i/>
        <w:sz w:val="14"/>
      </w:rPr>
      <w:t xml:space="preserve">  R3 COVID Shock (2020-2021</w:t>
    </w:r>
    <w:proofErr w:type="gramStart"/>
    <w:r>
      <w:rPr>
        <w:i/>
        <w:sz w:val="14"/>
      </w:rPr>
      <w:t>)  |</w:t>
    </w:r>
    <w:proofErr w:type="gramEnd"/>
    <w:r>
      <w:rPr>
        <w:i/>
        <w:sz w:val="14"/>
      </w:rPr>
      <w:t xml:space="preserve">  R4 Post-COVID / Russia-Ukraine (2022-2026</w:t>
    </w:r>
    <w:proofErr w:type="gramStart"/>
    <w:r>
      <w:rPr>
        <w:i/>
        <w:sz w:val="14"/>
      </w:rPr>
      <w:t>)  |</w:t>
    </w:r>
    <w:proofErr w:type="gramEnd"/>
    <w:r>
      <w:rPr>
        <w:i/>
        <w:sz w:val="14"/>
      </w:rPr>
      <w:t xml:space="preserve">  </w:t>
    </w:r>
    <w:r w:rsidR="009275EC">
      <w:rPr>
        <w:i/>
        <w:sz w:val="14"/>
      </w:rPr>
      <w:t xml:space="preserve">Prof. Ilia Bouchouev, </w:t>
    </w:r>
    <w:r>
      <w:rPr>
        <w:i/>
        <w:sz w:val="14"/>
      </w:rPr>
      <w:t>Kartavya Joshi</w:t>
    </w:r>
    <w:r w:rsidR="006424B0">
      <w:rPr>
        <w:i/>
        <w:sz w:val="14"/>
      </w:rPr>
      <w:t>, Dimil Patel</w:t>
    </w:r>
    <w:r>
      <w:rPr>
        <w:i/>
        <w:sz w:val="14"/>
      </w:rPr>
      <w:t>, Multi-Asset Commodity Risk Premia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5BB2C" w14:textId="77777777" w:rsidR="004F2861" w:rsidRDefault="004F2861">
      <w:pPr>
        <w:spacing w:after="0" w:line="240" w:lineRule="auto"/>
      </w:pPr>
      <w:r>
        <w:separator/>
      </w:r>
    </w:p>
  </w:footnote>
  <w:footnote w:type="continuationSeparator" w:id="0">
    <w:p w14:paraId="10ED1020" w14:textId="77777777" w:rsidR="004F2861" w:rsidRDefault="004F28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4864785">
    <w:abstractNumId w:val="8"/>
  </w:num>
  <w:num w:numId="2" w16cid:durableId="1898054277">
    <w:abstractNumId w:val="6"/>
  </w:num>
  <w:num w:numId="3" w16cid:durableId="1431581498">
    <w:abstractNumId w:val="5"/>
  </w:num>
  <w:num w:numId="4" w16cid:durableId="115489614">
    <w:abstractNumId w:val="4"/>
  </w:num>
  <w:num w:numId="5" w16cid:durableId="283460706">
    <w:abstractNumId w:val="7"/>
  </w:num>
  <w:num w:numId="6" w16cid:durableId="736822208">
    <w:abstractNumId w:val="3"/>
  </w:num>
  <w:num w:numId="7" w16cid:durableId="165096843">
    <w:abstractNumId w:val="2"/>
  </w:num>
  <w:num w:numId="8" w16cid:durableId="1350793036">
    <w:abstractNumId w:val="1"/>
  </w:num>
  <w:num w:numId="9" w16cid:durableId="337269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5168"/>
    <w:rsid w:val="000F5840"/>
    <w:rsid w:val="0015074B"/>
    <w:rsid w:val="0029639D"/>
    <w:rsid w:val="002A1699"/>
    <w:rsid w:val="00311796"/>
    <w:rsid w:val="00326F90"/>
    <w:rsid w:val="00373573"/>
    <w:rsid w:val="004538FF"/>
    <w:rsid w:val="00492838"/>
    <w:rsid w:val="004F2861"/>
    <w:rsid w:val="00525433"/>
    <w:rsid w:val="00612885"/>
    <w:rsid w:val="006424B0"/>
    <w:rsid w:val="006A7FCD"/>
    <w:rsid w:val="009275EC"/>
    <w:rsid w:val="00A94102"/>
    <w:rsid w:val="00AA1D8D"/>
    <w:rsid w:val="00B47730"/>
    <w:rsid w:val="00B97762"/>
    <w:rsid w:val="00C03527"/>
    <w:rsid w:val="00C96B85"/>
    <w:rsid w:val="00CB0664"/>
    <w:rsid w:val="00D73AFB"/>
    <w:rsid w:val="00E31441"/>
    <w:rsid w:val="00E70F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2AB342"/>
  <w14:defaultImageDpi w14:val="300"/>
  <w15:docId w15:val="{AF604EC2-B96C-4446-934E-5ED9420F3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33"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2" Type="http://schemas.openxmlformats.org/officeDocument/2006/relationships/fontTable" Target="fontTable.xml"/><Relationship Id="rId5" Type="http://schemas.openxmlformats.org/officeDocument/2006/relationships/webSettings" Target="webSettings.xml"/><Relationship Id="rId31" Type="http://schemas.openxmlformats.org/officeDocument/2006/relationships/footer" Target="footer1.xml"/><Relationship Id="rId4" Type="http://schemas.openxmlformats.org/officeDocument/2006/relationships/settings" Target="settings.xml"/><Relationship Id="rId8" Type="http://schemas.openxmlformats.org/officeDocument/2006/relationships/image" Target="media/image24.png"/><Relationship Id="rId9" Type="http://schemas.openxmlformats.org/officeDocument/2006/relationships/image" Target="media/image25.png"/><Relationship Id="rId10" Type="http://schemas.openxmlformats.org/officeDocument/2006/relationships/image" Target="media/image26.png"/><Relationship Id="rId11" Type="http://schemas.openxmlformats.org/officeDocument/2006/relationships/image" Target="media/image27.png"/><Relationship Id="rId12" Type="http://schemas.openxmlformats.org/officeDocument/2006/relationships/image" Target="media/image28.png"/><Relationship Id="rId13" Type="http://schemas.openxmlformats.org/officeDocument/2006/relationships/image" Target="media/image29.png"/><Relationship Id="rId14" Type="http://schemas.openxmlformats.org/officeDocument/2006/relationships/image" Target="media/image30.png"/><Relationship Id="rId15" Type="http://schemas.openxmlformats.org/officeDocument/2006/relationships/image" Target="media/image31.png"/><Relationship Id="rId16" Type="http://schemas.openxmlformats.org/officeDocument/2006/relationships/image" Target="media/image32.png"/><Relationship Id="rId17" Type="http://schemas.openxmlformats.org/officeDocument/2006/relationships/image" Target="media/image33.png"/><Relationship Id="rId18" Type="http://schemas.openxmlformats.org/officeDocument/2006/relationships/image" Target="media/image34.png"/><Relationship Id="rId19" Type="http://schemas.openxmlformats.org/officeDocument/2006/relationships/image" Target="media/image35.png"/><Relationship Id="rId20" Type="http://schemas.openxmlformats.org/officeDocument/2006/relationships/image" Target="media/image36.png"/><Relationship Id="rId21" Type="http://schemas.openxmlformats.org/officeDocument/2006/relationships/image" Target="media/image37.png"/><Relationship Id="rId22" Type="http://schemas.openxmlformats.org/officeDocument/2006/relationships/image" Target="media/image38.png"/><Relationship Id="rId23" Type="http://schemas.openxmlformats.org/officeDocument/2006/relationships/image" Target="media/image39.png"/><Relationship Id="rId24" Type="http://schemas.openxmlformats.org/officeDocument/2006/relationships/image" Target="media/image40.png"/><Relationship Id="rId25" Type="http://schemas.openxmlformats.org/officeDocument/2006/relationships/image" Target="media/image41.png"/><Relationship Id="rId26" Type="http://schemas.openxmlformats.org/officeDocument/2006/relationships/image" Target="media/image42.png"/><Relationship Id="rId27" Type="http://schemas.openxmlformats.org/officeDocument/2006/relationships/image" Target="media/image43.png"/><Relationship Id="rId28" Type="http://schemas.openxmlformats.org/officeDocument/2006/relationships/image" Target="media/image44.png"/><Relationship Id="rId29" Type="http://schemas.openxmlformats.org/officeDocument/2006/relationships/image" Target="media/image45.png"/><Relationship Id="rId30" Type="http://schemas.openxmlformats.org/officeDocument/2006/relationships/image" Target="media/image46.png"/><Relationship Id="rId34" Type="http://schemas.openxmlformats.org/officeDocument/2006/relationships/image" Target="media/image47.png"/><Relationship Id="rId35" Type="http://schemas.openxmlformats.org/officeDocument/2006/relationships/image" Target="media/image48.png"/><Relationship Id="rId36" Type="http://schemas.openxmlformats.org/officeDocument/2006/relationships/image" Target="media/image49.png"/><Relationship Id="rId37" Type="http://schemas.openxmlformats.org/officeDocument/2006/relationships/image" Target="media/image50.png"/><Relationship Id="rId38"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19</Pages>
  <Words>3720</Words>
  <Characters>21209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Dimil Patel</cp:lastModifiedBy>
  <cp:revision>7</cp:revision>
  <dcterms:created xsi:type="dcterms:W3CDTF">2026-08-05T05:59:00Z</dcterms:created>
  <dcterms:modified xsi:type="dcterms:W3CDTF">2026-08-07T19:23:00Z</dcterms:modified>
  <cp:category/>
</cp:coreProperties>
</file>