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Methodology</w:t>
      </w:r>
    </w:p>
    <w:p>
      <w:r>
        <w:rPr>
          <w:i/>
          <w:color w:val="555555"/>
          <w:sz w:val="20"/>
        </w:rPr>
        <w:t>Multi-Asset Systematic Risk Premia Research — Methodology Reference</w:t>
      </w:r>
    </w:p>
    <w:p/>
    <w:p>
      <w:pPr>
        <w:pStyle w:val="Heading2"/>
      </w:pPr>
      <w:r>
        <w:t>1. Asset Universe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3864"/>
          </w:tcPr>
          <w:p>
            <w:r>
              <w:rPr>
                <w:b/>
                <w:color w:val="FFFFFF"/>
                <w:sz w:val="18"/>
              </w:rPr>
              <w:t>Asset Class</w:t>
            </w:r>
          </w:p>
        </w:tc>
        <w:tc>
          <w:tcPr>
            <w:tcW w:type="dxa" w:w="2556"/>
            <w:shd w:fill="1F3864"/>
          </w:tcPr>
          <w:p>
            <w:r>
              <w:rPr>
                <w:b/>
                <w:color w:val="FFFFFF"/>
                <w:sz w:val="18"/>
              </w:rPr>
              <w:t>Products</w:t>
            </w:r>
          </w:p>
        </w:tc>
        <w:tc>
          <w:tcPr>
            <w:tcW w:type="dxa" w:w="2556"/>
            <w:shd w:fill="1F3864"/>
          </w:tcPr>
          <w:p>
            <w:r>
              <w:rPr>
                <w:b/>
                <w:color w:val="FFFFFF"/>
                <w:sz w:val="18"/>
              </w:rPr>
              <w:t>Exchange / Source</w:t>
            </w:r>
          </w:p>
        </w:tc>
        <w:tc>
          <w:tcPr>
            <w:tcW w:type="dxa" w:w="2556"/>
            <w:shd w:fill="1F3864"/>
          </w:tcPr>
          <w:p>
            <w:r>
              <w:rPr>
                <w:b/>
                <w:color w:val="FFFFFF"/>
                <w:sz w:val="18"/>
              </w:rPr>
              <w:t>Excluded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Metals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Copper, Aluminium, Lead, Zinc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LME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Oil / Energy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WTI, Brent, RBOB, Heating Oil, Nat Gas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NYMEX / 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Singapore Gasoil, Fuel Oil (insufficient long-tenor data)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Precious Metals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Gold, Silver, Copper, Platinum, Palladium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COMEX / NYMEX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NGL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Ethane, Propane, Butane, Isobutane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Argus OTC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Ethylene, Propylene (limited data)</w:t>
            </w:r>
          </w:p>
        </w:tc>
      </w:tr>
    </w:tbl>
    <w:p/>
    <w:p>
      <w:pPr>
        <w:pStyle w:val="Heading2"/>
      </w:pPr>
      <w:r>
        <w:t>2. Data</w:t>
      </w:r>
    </w:p>
    <w:p>
      <w:r>
        <w:t>Daily futures curve prices (F1…Fn, near to far contract) per product, sourced from vendor Excel files covering 2006-01 through 2026-06. All reported results use a standardized 2011-01-01 to 2026-06-30 window; the pre-2011 history is retained only to warm up long-lookback signals (notably Value's 1,260-day moving average) before the reporting window begins. Five regime sub-periods are used throughout: R1 Supercycle Unwind (2011–2015), R2 Recovery/Stabilization (2016–2019), R3 COVID Shock (2020–2021), R4 Post-COVID / Russia-Ukraine (2022–2026), and a partial 2026 year-to-date column.</w:t>
      </w:r>
    </w:p>
    <w:p>
      <w:pPr>
        <w:pStyle w:val="Heading2"/>
      </w:pPr>
      <w:r>
        <w:t>3. Continuous Price Construction (Contract Roll)</w:t>
      </w:r>
    </w:p>
    <w:p>
      <w:r>
        <w:t>A single continuous price series is built per product by splicing the front (F1) contract into the next (F2) contract as expiry approaches, using ratio (multiplicative) back-adjustment — each day's continuous price is the prior continuous price scaled by the day-over-day percentage change of the active contract, which keeps the series strictly positive (required for log returns). The roll occurs 5 trading days before each contract's last tradeable date. NGL uses F2 as the front leg (not F1), since NGL swaps are monthly-averaging instruments where the nearest contract can be a stale, partial-month price.</w:t>
      </w:r>
    </w:p>
    <w:p>
      <w:r>
        <w:t>WTI's front-month contract settled at a negative price on 2020-04-20 (−$37.63). Carry and Value read this value directly from the raw curve, so it is replaced with a value imputed from Brent's own price and the average WTI-Brent spread on the two adjacent trading days, before either strategy's signal is computed. Momentum is unaffected: its continuous price series had already rolled onto the next contract five trading days earlier, so the anomalous print does not enter its calculation.</w:t>
      </w:r>
    </w:p>
    <w:p>
      <w:pPr>
        <w:pStyle w:val="Heading2"/>
      </w:pPr>
      <w:r>
        <w:t>4. Execution Timing and Rolling Windows</w:t>
      </w:r>
    </w:p>
    <w:p>
      <w:r>
        <w:t>Every signal is converted to a tradeable position with a minimum one-day execution lag plus a strategy-specific extra shift: position[t] = signal[t − (shift + 1)]. Rolling windows used in signal construction: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864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8"/>
            <w:shd w:fill="1F3864"/>
          </w:tcPr>
          <w:p>
            <w:r>
              <w:rPr>
                <w:b/>
                <w:color w:val="FFFFFF"/>
                <w:sz w:val="18"/>
              </w:rPr>
              <w:t>Window / Lag</w:t>
            </w:r>
          </w:p>
        </w:tc>
        <w:tc>
          <w:tcPr>
            <w:tcW w:type="dxa" w:w="3408"/>
            <w:shd w:fill="1F386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Momentum (3 crossovers)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(1,20), (5,60), (20,250) trading days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Fixed moving-average pairs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Carry Z-score (V2)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252 trading days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Rolling mean/std of the curve slope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Carry-Momentum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20 trading days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Fixed-lag rate of change, not a rolling window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1,260 trading days (~5 years)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Min. 630 days required before the signal activates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Risk Parity (ERC)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252-day covariance, rebalanced every ~21 days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Falls back to equal weight before the first full window</w:t>
            </w:r>
          </w:p>
        </w:tc>
      </w:tr>
    </w:tbl>
    <w:p>
      <w:r>
        <w:t>Execution shift (extra lag beyond the 1-day floor): 1 day for Momentum, Carry, and Carry-Momentum; 2 days for Value.</w:t>
      </w:r>
    </w:p>
    <w:p>
      <w:pPr>
        <w:pStyle w:val="Heading2"/>
      </w:pPr>
      <w:r>
        <w:t>5. Transaction Costs</w:t>
      </w:r>
    </w:p>
    <w:p>
      <w:r>
        <w:t>A flat 5 basis points round-trip cost is applied on every position change: cost[t] = |position[t] − position[t−1]| × (5bp / 2). An additional roll-day charge of the same magnitude is applied when a position is held through a contract roll with unchanged sign, since rolling is a real trade even when the strategy's directional stance does not change. All reported returns are net of these costs.</w:t>
      </w:r>
    </w:p>
    <w:p>
      <w:pPr>
        <w:pStyle w:val="Heading2"/>
      </w:pPr>
      <w:r>
        <w:t>6. Return Calculation</w:t>
      </w:r>
    </w:p>
    <w:p>
      <w:r>
        <w:t>Returns are computed in log-return space: daily gross return = position[t] × (log(price[t]) − log(price[t−1])), daily net return = gross − transaction cost. Annualized return = mean(daily net return) × 252; annualized volatility = std(daily net return) × √252; Information Ratio = annualized return ÷ annualized volatility. Maximum drawdown is computed independently within each reporting window (not sliced from one continuous equity curve), so a regime's drawdown reflects only that regime's own path.</w:t>
      </w:r>
    </w:p>
    <w:p>
      <w:r>
        <w:t>Positions are bounded to +1, −1, or 0 (fully long, fully short, or flat, one unit of notional); no leverage or volatility-targeting overlay is applied at the strategy level.</w:t>
      </w:r>
    </w:p>
    <w:p>
      <w:pPr>
        <w:pStyle w:val="Heading2"/>
      </w:pPr>
      <w:r>
        <w:t>7. Strategy Construction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864"/>
          </w:tcPr>
          <w:p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5112"/>
            <w:shd w:fill="1F3864"/>
          </w:tcPr>
          <w:p>
            <w:r>
              <w:rPr>
                <w:b/>
                <w:color w:val="FFFFFF"/>
                <w:sz w:val="18"/>
              </w:rPr>
              <w:t>Formula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Sign of MA(fast) − MA(slow) for each of 3 pairs; composite = sign(average of the 3 signs).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Carry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V1 = sign of (near − far)/near curve slope. V2 = sign of that slope's 252-day z-score. Carry = sign(average(V1, V2)). Where an asset class trades two tenor pairs, the composite is built separately per pair, then the two composites are equal-weighted into one final signal.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Carry-Momentum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Sign of (today's slope − slope 20 trading days ago). Same cross-tenor equal-weighting as Carry where two tenor pairs exist.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Position = +1 if price is more than 10% below its 1,260-day moving average, −1 if more than 10% above, 0 otherwise. Uses the F3 contract uniformly across all asset classes.</w:t>
            </w:r>
          </w:p>
        </w:tc>
      </w:tr>
    </w:tbl>
    <w:p>
      <w:r>
        <w:t>Carry tenor pairs by asset class: Metals and Oil/Energy use F1-F3 and F1-F13; NGL uses F2-F4 and F2-F14; Precious Metals uses F1-F3 only (limited liquidity beyond that tenor for Platinum and Palladium).</w:t>
      </w:r>
    </w:p>
    <w:p>
      <w:r>
        <w:t>Where two tenor pairs are combined (Carry and Carry-Momentum), the equal-weighting across tenors is applied to the raw signal, and the execution shift is applied once to the combined result — not separately per tenor before combining. The two orderings coincide whenever both tenors have a valid signal on a given day, and diverge only when one tenor's signal is unavailable (for example, during its own rolling-window warm-up) while the other's is not.</w:t>
      </w:r>
    </w:p>
    <w:p>
      <w:pPr>
        <w:pStyle w:val="Heading2"/>
      </w:pPr>
      <w:r>
        <w:t>8. Portfolio Construction (Within an Asset Class)</w:t>
      </w:r>
    </w:p>
    <w:p>
      <w:r>
        <w:t>Each strategy's signal is computed on that product's own full available price history, not pre-truncated to the window shared across the asset class's products; only the resulting return series is aligned to the common window afterward, once any warm-up period has already been absorbed.</w:t>
      </w:r>
    </w:p>
    <w:p>
      <w:r>
        <w:t>Each asset class combines its four strategy series into two portfolios:</w:t>
      </w:r>
    </w:p>
    <w:p>
      <w:r>
        <w:t>• Equal Weight — simple average of the four strategies' daily net returns.</w:t>
      </w:r>
    </w:p>
    <w:p>
      <w:r>
        <w:t>• Risk Parity (rolling Equal Risk Contribution) — weights solved from the trailing 252-day covariance matrix of the four strategies' returns so each contributes equal risk, rebalanced every ~21 trading days using only data strictly before the rebalance date. No return-tilt is applied (pure ERC).</w:t>
      </w:r>
    </w:p>
    <w:p>
      <w:r>
        <w:t>Within each strategy, product-level return series are combined via equal weight on the union of each product's trading dates: a product not trading on a given day is assigned a zero return for that day, at its original fixed weight.</w:t>
      </w:r>
    </w:p>
    <w:p>
      <w:pPr>
        <w:pStyle w:val="Heading2"/>
      </w:pPr>
      <w:r>
        <w:t>9. Cross-Asset Portfolio Construction</w:t>
      </w:r>
    </w:p>
    <w:p>
      <w:r>
        <w:t>Cross-Commodity Portfolio (two-stage): first, each of the four strategies is equal-weighted across all four asset classes, producing one cross-commodity series per strategy (e.g., cross-commodity Momentum = average of Metals, Energy, Precious Metals, and NGL Momentum). Second, those four cross-commodity series are combined into an Equal Weight portfolio and a Risk Parity portfolio using the same construction as Section 8. This is hierarchical, not a single flat optimization over all sixteen underlying legs.</w:t>
      </w:r>
    </w:p>
    <w:p>
      <w:r>
        <w:t>Cross-Pair Portfolios: a 50/50 equal-weight combination of two asset classes' own Equal Weight portfolios, for four selected pairs (Metals-Energy, Metals-NGL, Precious-Energy, Precious-NGL).</w:t>
      </w:r>
    </w:p>
    <w:p>
      <w:r>
        <w:t>Any combination across asset classes is computed on the union of trading dates: an asset class not trading on a given day is assigned a zero return for that day. Metals (LME), Oil/Energy (NYMEX/ICE), Precious Metals (COMEX/NYMEX), and NGL (Argus OTC) trade on different exchange calendars.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