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b/>
          <w:sz w:val="28"/>
        </w:rPr>
        <w:t>LAPORAN HASIL MEMBACA KRITIS</w:t>
      </w:r>
    </w:p>
    <w:p>
      <w:pPr>
        <w:spacing w:line="240" w:lineRule="auto" w:after="360"/>
        <w:jc w:val="center"/>
      </w:pPr>
      <w:r>
        <w:rPr>
          <w:rFonts w:ascii="Times New Roman" w:hAnsi="Times New Roman"/>
          <w:b/>
          <w:sz w:val="28"/>
        </w:rPr>
        <w:t>KONSUMSI GULA BERLEBIH DAN RISIKO KERUSAKAN GINJAL</w:t>
      </w:r>
    </w:p>
    <w:p>
      <w:pPr>
        <w:spacing w:line="240" w:lineRule="auto" w:before="0" w:after="0"/>
        <w:jc w:val="both"/>
      </w:pPr>
      <w:r>
        <w:rPr>
          <w:rFonts w:ascii="Times New Roman" w:hAnsi="Times New Roman"/>
          <w:i/>
          <w:sz w:val="24"/>
        </w:rPr>
        <w:t xml:space="preserve">Artikel Utama: </w:t>
      </w:r>
      <w:r>
        <w:rPr>
          <w:rFonts w:ascii="Times New Roman" w:hAnsi="Times New Roman"/>
          <w:i w:val="0"/>
          <w:sz w:val="24"/>
        </w:rPr>
        <w:t xml:space="preserve">"Gula Berlebihan Dapat Tingkatkan Risisko Kerusakan Ginjal", </w:t>
      </w:r>
      <w:r>
        <w:rPr>
          <w:rFonts w:ascii="Times New Roman" w:hAnsi="Times New Roman"/>
          <w:i/>
          <w:sz w:val="24"/>
        </w:rPr>
        <w:t>Antara News</w:t>
      </w:r>
      <w:r>
        <w:rPr>
          <w:rFonts w:ascii="Times New Roman" w:hAnsi="Times New Roman"/>
          <w:i w:val="0"/>
          <w:sz w:val="24"/>
        </w:rPr>
        <w:t>, 2024 (sumber: dr. Mutalib Abdullah, Sp.PD-KGH, Bethsaida Hospital Gading Serpong).</w:t>
      </w:r>
    </w:p>
    <w:p>
      <w:pPr>
        <w:spacing w:line="240" w:lineRule="auto" w:before="0" w:after="0"/>
        <w:jc w:val="both"/>
      </w:pPr>
      <w:r>
        <w:rPr>
          <w:rFonts w:ascii="Times New Roman" w:hAnsi="Times New Roman"/>
          <w:i/>
          <w:sz w:val="24"/>
        </w:rPr>
        <w:t xml:space="preserve">Artikel Pembanding 1: </w:t>
      </w:r>
      <w:r>
        <w:rPr>
          <w:rFonts w:ascii="Times New Roman" w:hAnsi="Times New Roman"/>
          <w:i w:val="0"/>
          <w:sz w:val="24"/>
        </w:rPr>
        <w:t xml:space="preserve">Heo GY, Koh HB, Park JT, dkk. (2024). </w:t>
      </w:r>
      <w:r>
        <w:rPr>
          <w:rFonts w:ascii="Times New Roman" w:hAnsi="Times New Roman"/>
          <w:i/>
          <w:sz w:val="24"/>
        </w:rPr>
        <w:t xml:space="preserve">Sweetened Beverage Intake and Incident Chronic Kidney Disease in the UK Biobank Study. </w:t>
      </w:r>
      <w:r>
        <w:rPr>
          <w:rFonts w:ascii="Times New Roman" w:hAnsi="Times New Roman"/>
          <w:i w:val="0"/>
          <w:sz w:val="24"/>
        </w:rPr>
        <w:t>JAMA Network Open, 7(2):e2356885. doi:10.1001/jamanetworkopen.2023.56885.</w:t>
      </w:r>
    </w:p>
    <w:p>
      <w:pPr>
        <w:spacing w:line="240" w:lineRule="auto" w:before="0" w:after="0"/>
        <w:jc w:val="both"/>
      </w:pPr>
      <w:r>
        <w:rPr>
          <w:rFonts w:ascii="Times New Roman" w:hAnsi="Times New Roman"/>
          <w:i/>
          <w:sz w:val="24"/>
        </w:rPr>
        <w:t xml:space="preserve">Artikel Pembanding 2: </w:t>
      </w:r>
      <w:r>
        <w:rPr>
          <w:rFonts w:ascii="Times New Roman" w:hAnsi="Times New Roman"/>
          <w:i w:val="0"/>
          <w:sz w:val="24"/>
        </w:rPr>
        <w:t xml:space="preserve">Sartika, R.E.A. (2024). "Gula Manis Ancam Ginjal, Bahaya Terselubung Minuman Kekinian", </w:t>
      </w:r>
      <w:r>
        <w:rPr>
          <w:rFonts w:ascii="Times New Roman" w:hAnsi="Times New Roman"/>
          <w:i/>
          <w:sz w:val="24"/>
        </w:rPr>
        <w:t>Kompas.com</w:t>
      </w:r>
      <w:r>
        <w:rPr>
          <w:rFonts w:ascii="Times New Roman" w:hAnsi="Times New Roman"/>
          <w:i w:val="0"/>
          <w:sz w:val="24"/>
        </w:rPr>
        <w:t>, 3 Agustus 2024.</w:t>
      </w:r>
    </w:p>
    <w:p>
      <w:pPr>
        <w:spacing w:line="240" w:lineRule="auto" w:before="480" w:after="240"/>
        <w:ind w:firstLine="0"/>
        <w:jc w:val="left"/>
      </w:pPr>
      <w:r>
        <w:rPr>
          <w:rFonts w:ascii="Times New Roman" w:hAnsi="Times New Roman"/>
          <w:b/>
          <w:sz w:val="24"/>
        </w:rPr>
        <w:t>A. Simpulan Kritis</w:t>
      </w:r>
    </w:p>
    <w:p>
      <w:pPr>
        <w:spacing w:line="240" w:lineRule="auto" w:before="0" w:after="0"/>
        <w:ind w:firstLine="567"/>
        <w:jc w:val="both"/>
      </w:pPr>
      <w:r>
        <w:rPr>
          <w:rFonts w:ascii="Times New Roman" w:hAnsi="Times New Roman"/>
          <w:b w:val="0"/>
          <w:i w:val="0"/>
          <w:sz w:val="24"/>
        </w:rPr>
        <w:t>Artikel utama dari Antara News merupakan artikel kesehatan berbasis wawancara dengan dokter spesialis ginjal yang menyampaikan pesan utama: konsumsi gula berlebihan tidak secara langsung menyebabkan gagal ginjal, melainkan meningkatkan risiko obesitas dan diabetes yang dalam jangka panjang dapat memicu kerusakan ginjal. Pesan ini secara biologis masuk akal dan sejalan dengan konsensus medis, serta diperkuat oleh studi kohor prospektif Heo dkk. (2024) dalam JAMA Network Open yang melibatkan 127.830 partisipan UK Biobank dengan masa follow-up median 10,5 tahun. Studi tersebut menunjukkan bahwa konsumsi lebih dari satu porsi per hari minuman berpemanis gula dikaitkan dengan peningkatan risiko penyakit ginjal kronis (adjusted hazard ratio 1,19; 95% CI 1,05-1,34).</w:t>
      </w:r>
    </w:p>
    <w:p>
      <w:pPr>
        <w:spacing w:line="240" w:lineRule="auto" w:before="0" w:after="0"/>
        <w:ind w:firstLine="567"/>
        <w:jc w:val="both"/>
      </w:pPr>
      <w:r>
        <w:rPr>
          <w:rFonts w:ascii="Times New Roman" w:hAnsi="Times New Roman"/>
          <w:b w:val="0"/>
          <w:i w:val="0"/>
          <w:sz w:val="24"/>
        </w:rPr>
        <w:t>Namun, artikel Antara berfungsi sebagai media promosi kesehatan (health promotion), bukan laporan ilmiah. Artikel tidak mengutip studi primer secara spesifik, tidak mengkuantifikasi risiko, dan merangkum mekanisme kausal secara sederhana (gula, obesitas, diabetes, ginjal) tanpa menyebutkan bahwa asosiasi tersebut tetap signifikan setelah penyesuaian (adjustment) terhadap obesitas dan diabetes. Sebagai pembanding, artikel Kompas memberi kedalaman ilmiah yang lebih baik dengan mengutip tiga studi primer (JAMA Network Open 2024, Clinical Kidney Journal 2022, dan Clinical Journal of the American Society of Nephrology 2019) beserta angka spesifik (peningkatan risiko kematian 18 persen, risiko 1,8 kali lipat).</w:t>
      </w:r>
    </w:p>
    <w:p>
      <w:pPr>
        <w:spacing w:line="240" w:lineRule="auto" w:before="0" w:after="0"/>
        <w:ind w:firstLine="567"/>
        <w:jc w:val="both"/>
      </w:pPr>
      <w:r>
        <w:rPr>
          <w:rFonts w:ascii="Times New Roman" w:hAnsi="Times New Roman"/>
          <w:b w:val="0"/>
          <w:i w:val="0"/>
          <w:sz w:val="24"/>
        </w:rPr>
        <w:t>Kesimpulan kritis: ketiga artikel konvergen pada satu pesan inti yang sama, yakni pengurangan konsumsi minuman berpemanis dapat menurunkan risiko penyakit ginjal kronis. Akan tetapi, kedalaman bukti dan nuansa ilmiahnya berbeda: JAMA memberi bukti epidemiologis paling kuat, Kompas menyajikan sintesis jurnalistik dengan sitasi studi, dan Antara menyajikan pesan kesadaran masyarakat yang mudah diakses tetapi dangkal secara ilmiah.</w:t>
      </w:r>
    </w:p>
    <w:p>
      <w:pPr>
        <w:spacing w:line="240" w:lineRule="auto" w:before="480" w:after="240"/>
        <w:ind w:firstLine="0"/>
        <w:jc w:val="left"/>
      </w:pPr>
      <w:r>
        <w:rPr>
          <w:rFonts w:ascii="Times New Roman" w:hAnsi="Times New Roman"/>
          <w:b/>
          <w:sz w:val="24"/>
        </w:rPr>
        <w:t>B. Hal yang Dapat Dipercaya dari Artikel</w:t>
      </w:r>
    </w:p>
    <w:p>
      <w:pPr>
        <w:spacing w:line="240" w:lineRule="auto" w:before="0" w:after="0"/>
        <w:ind w:firstLine="567"/>
        <w:jc w:val="both"/>
      </w:pPr>
      <w:r>
        <w:rPr>
          <w:rFonts w:ascii="Times New Roman" w:hAnsi="Times New Roman"/>
          <w:b w:val="0"/>
          <w:i w:val="0"/>
          <w:sz w:val="24"/>
        </w:rPr>
        <w:t>Setelah membandingkan artikel utama dengan dua artikel pembanding, sejumlah klaim dalam artikel Antara dapat dipercaya karena didukung oleh sumber yang kredibel dan konsisten dengan bukti ilmiah, yaitu:</w:t>
      </w:r>
    </w:p>
    <w:p>
      <w:pPr>
        <w:spacing w:line="240" w:lineRule="auto" w:before="0" w:after="0"/>
        <w:ind w:firstLine="567"/>
        <w:jc w:val="both"/>
      </w:pPr>
      <w:r>
        <w:rPr>
          <w:rFonts w:ascii="Times New Roman" w:hAnsi="Times New Roman"/>
          <w:b w:val="0"/>
          <w:i w:val="0"/>
          <w:sz w:val="24"/>
        </w:rPr>
        <w:t>1. Rantai kausal inti: konsumsi gula berlebihan meningkatkan risiko obesitas dan diabetes yang berpotensi merusak ginjal dalam jangka panjang. Klaim ini didukung oleh konsensus medis dan terkonfirmasi oleh studi Heo dkk. (2024) yang menunjukkan asosiasi signifikan antara konsumsi minuman berpemanis gula lebih dari satu porsi per hari dengan peningkatan risiko penyakit ginjal kronis.</w:t>
      </w:r>
    </w:p>
    <w:p>
      <w:pPr>
        <w:spacing w:line="240" w:lineRule="auto" w:before="0" w:after="0"/>
        <w:ind w:firstLine="567"/>
        <w:jc w:val="both"/>
      </w:pPr>
      <w:r>
        <w:rPr>
          <w:rFonts w:ascii="Times New Roman" w:hAnsi="Times New Roman"/>
          <w:b w:val="0"/>
          <w:i w:val="0"/>
          <w:sz w:val="24"/>
        </w:rPr>
        <w:t>2. Data epidemiologi yang dikutip dapat diverifikasi, yaitu Survei Kesehatan Indonesia (SKI) 2023 yang menunjukkan penyakit ginjal kronis mulai ditemukan pada kelompok usia muda (15-24 tahun sebesar 0,02 persen hingga 35-44 tahun sebesar 0,11 persen), serta data BPJS Kesehatan 2024 yang mencatat 134.057 pasien gagal ginjal kronis menjalani hemodialisis. Data ini merupakan sumber resmi pemerintah yang dapat ditelusuri.</w:t>
      </w:r>
    </w:p>
    <w:p>
      <w:pPr>
        <w:spacing w:line="240" w:lineRule="auto" w:before="0" w:after="0"/>
        <w:ind w:firstLine="567"/>
        <w:jc w:val="both"/>
      </w:pPr>
      <w:r>
        <w:rPr>
          <w:rFonts w:ascii="Times New Roman" w:hAnsi="Times New Roman"/>
          <w:b w:val="0"/>
          <w:i w:val="0"/>
          <w:sz w:val="24"/>
        </w:rPr>
        <w:t>3. Sumber ahli yang dikutif adalah dokter spesialis penyakit dalam konsultan ginjal hipertensi (Sp.PD-KGH) dengan gelar FINASIM, yaitu kualifikasi spesialisasi nefrologi yang sahih, sehingga pendapatnya memiliki dasar kompetensi yang relevan.</w:t>
      </w:r>
    </w:p>
    <w:p>
      <w:pPr>
        <w:spacing w:line="240" w:lineRule="auto" w:before="0" w:after="0"/>
        <w:ind w:firstLine="567"/>
        <w:jc w:val="both"/>
      </w:pPr>
      <w:r>
        <w:rPr>
          <w:rFonts w:ascii="Times New Roman" w:hAnsi="Times New Roman"/>
          <w:b w:val="0"/>
          <w:i w:val="0"/>
          <w:sz w:val="24"/>
        </w:rPr>
        <w:t>4. Faktor risiko yang disebutkan, yaitu pola makan tinggi garam, kurang aktivitas fisik, merokok, berat badan tidak terkontrol, penggunaan obat pereda nyeri tanpa pengawasan, batu saluran kemih, penyakit autoimun, infeksi, kelainan bawaan, dan faktor genetik, merupakan faktor risiko penyakit ginjal kronis yang diterima dalam literatur medis.</w:t>
      </w:r>
    </w:p>
    <w:p>
      <w:pPr>
        <w:spacing w:line="240" w:lineRule="auto" w:before="0" w:after="0"/>
        <w:ind w:firstLine="567"/>
        <w:jc w:val="both"/>
      </w:pPr>
      <w:r>
        <w:rPr>
          <w:rFonts w:ascii="Times New Roman" w:hAnsi="Times New Roman"/>
          <w:b w:val="0"/>
          <w:i w:val="0"/>
          <w:sz w:val="24"/>
        </w:rPr>
        <w:t>5. Gejala yang diwaspadai (perubahan frekuensi atau jumlah urine, urine berbusa menetap, pembengkakan kaki, mudah lelah, mual, penurunan nafsu makan, dan tekanan darah sulit dikontrol) sesuai dengan manifestasi klinis penyakit ginjal kronis.</w:t>
      </w:r>
    </w:p>
    <w:p>
      <w:pPr>
        <w:spacing w:line="240" w:lineRule="auto" w:before="0" w:after="0"/>
        <w:ind w:firstLine="567"/>
        <w:jc w:val="both"/>
      </w:pPr>
      <w:r>
        <w:rPr>
          <w:rFonts w:ascii="Times New Roman" w:hAnsi="Times New Roman"/>
          <w:b w:val="0"/>
          <w:i w:val="0"/>
          <w:sz w:val="24"/>
        </w:rPr>
        <w:t>6. Pemeriksaan fungsi ginjal yang direkomendasikan, yaitu tes kreatinin untuk memperkirakan estimated glomerular filtration rate (eGFR) serta pemeriksaan urine untuk deteksi albumin atau protein, merupakan standar pemeriksaan nefrologi yang benar.</w:t>
      </w:r>
    </w:p>
    <w:p>
      <w:pPr>
        <w:spacing w:line="240" w:lineRule="auto" w:before="0" w:after="0"/>
        <w:ind w:firstLine="567"/>
        <w:jc w:val="both"/>
      </w:pPr>
      <w:r>
        <w:rPr>
          <w:rFonts w:ascii="Times New Roman" w:hAnsi="Times New Roman"/>
          <w:b w:val="0"/>
          <w:i w:val="0"/>
          <w:sz w:val="24"/>
        </w:rPr>
        <w:t>7. Pernyataan narasumber bahwa minuman manis bukan secara langsung menyebabkan gagal ginjal merupakan nuansa yang penting dan akurat. Studi Heo dkk. (2024) memang menunjukkan asosiasi, bukan kausalitas langsung, karena studi bersifat observasional.</w:t>
      </w:r>
    </w:p>
    <w:p>
      <w:pPr>
        <w:spacing w:line="240" w:lineRule="auto" w:before="480" w:after="240"/>
        <w:ind w:firstLine="0"/>
        <w:jc w:val="left"/>
      </w:pPr>
      <w:r>
        <w:rPr>
          <w:rFonts w:ascii="Times New Roman" w:hAnsi="Times New Roman"/>
          <w:b/>
          <w:sz w:val="24"/>
        </w:rPr>
        <w:t>C. Kekuatan Artikel</w:t>
      </w:r>
    </w:p>
    <w:p>
      <w:pPr>
        <w:spacing w:line="240" w:lineRule="auto" w:before="0" w:after="0"/>
        <w:ind w:firstLine="567"/>
        <w:jc w:val="both"/>
      </w:pPr>
      <w:r>
        <w:rPr>
          <w:rFonts w:ascii="Times New Roman" w:hAnsi="Times New Roman"/>
          <w:b w:val="0"/>
          <w:i w:val="0"/>
          <w:sz w:val="24"/>
        </w:rPr>
        <w:t>Artikel Antara memiliki sejumlah kekuatan sebagai artikel kesehatan masyarakat, yaitu:</w:t>
      </w:r>
    </w:p>
    <w:p>
      <w:pPr>
        <w:spacing w:line="240" w:lineRule="auto" w:before="0" w:after="0"/>
        <w:ind w:firstLine="567"/>
        <w:jc w:val="both"/>
      </w:pPr>
      <w:r>
        <w:rPr>
          <w:rFonts w:ascii="Times New Roman" w:hAnsi="Times New Roman"/>
          <w:b w:val="0"/>
          <w:i w:val="0"/>
          <w:sz w:val="24"/>
        </w:rPr>
        <w:t>1. Menggunakan narasumber yang berkualifikasi spesialis nefrologi (Sp.PD-KGH, FINASIM), bukan sekadar praktisi umum, sehingga otoritas medisnya kuat.</w:t>
      </w:r>
    </w:p>
    <w:p>
      <w:pPr>
        <w:spacing w:line="240" w:lineRule="auto" w:before="0" w:after="0"/>
        <w:ind w:firstLine="567"/>
        <w:jc w:val="both"/>
      </w:pPr>
      <w:r>
        <w:rPr>
          <w:rFonts w:ascii="Times New Roman" w:hAnsi="Times New Roman"/>
          <w:b w:val="0"/>
          <w:i w:val="0"/>
          <w:sz w:val="24"/>
        </w:rPr>
        <w:t>2. Mengutip data epidemiologi resmi (SKI 2023, BPJS Kesehatan 2024, Kementerian Kesehatan) yang memberi konteks lokal Indonesia, bukan sekadar mengutip data asing.</w:t>
      </w:r>
    </w:p>
    <w:p>
      <w:pPr>
        <w:spacing w:line="240" w:lineRule="auto" w:before="0" w:after="0"/>
        <w:ind w:firstLine="567"/>
        <w:jc w:val="both"/>
      </w:pPr>
      <w:r>
        <w:rPr>
          <w:rFonts w:ascii="Times New Roman" w:hAnsi="Times New Roman"/>
          <w:b w:val="0"/>
          <w:i w:val="0"/>
          <w:sz w:val="24"/>
        </w:rPr>
        <w:t>3. Nada penulisan yang seimbang dan tidak alarmistis. Pernyataan bahwa minuman manis tidak secara langsung menyebabkan gagal ginjal justru mencegah miskonsepsi yang dapat memicu ketakutan berlebihan pada masyarakat.</w:t>
      </w:r>
    </w:p>
    <w:p>
      <w:pPr>
        <w:spacing w:line="240" w:lineRule="auto" w:before="0" w:after="0"/>
        <w:ind w:firstLine="567"/>
        <w:jc w:val="both"/>
      </w:pPr>
      <w:r>
        <w:rPr>
          <w:rFonts w:ascii="Times New Roman" w:hAnsi="Times New Roman"/>
          <w:b w:val="0"/>
          <w:i w:val="0"/>
          <w:sz w:val="24"/>
        </w:rPr>
        <w:t>4. Menyajikan informasi praktis yang dapat ditindaklanjuti pembaca, antara lain daftar gejala yang perlu diwaspadai, jenis pemeriksaan fungsi ginjal, serta kelompok yang sebaiknya menjalani pemeriksaan berkala (pasien hipertensi, diabetes, batu saluran kemih berulang, atau riwayat keluarga penyakit ginjal).</w:t>
      </w:r>
    </w:p>
    <w:p>
      <w:pPr>
        <w:spacing w:line="240" w:lineRule="auto" w:before="0" w:after="0"/>
        <w:ind w:firstLine="567"/>
        <w:jc w:val="both"/>
      </w:pPr>
      <w:r>
        <w:rPr>
          <w:rFonts w:ascii="Times New Roman" w:hAnsi="Times New Roman"/>
          <w:b w:val="0"/>
          <w:i w:val="0"/>
          <w:sz w:val="24"/>
        </w:rPr>
        <w:t>5. Menggunakan bahasa yang mudah dipahami masyarakat awam, sehingga cocok sebagai media edukasi publik dengan jangkauan luas.</w:t>
      </w:r>
    </w:p>
    <w:p>
      <w:pPr>
        <w:spacing w:line="240" w:lineRule="auto" w:before="0" w:after="0"/>
        <w:ind w:firstLine="567"/>
        <w:jc w:val="both"/>
      </w:pPr>
      <w:r>
        <w:rPr>
          <w:rFonts w:ascii="Times New Roman" w:hAnsi="Times New Roman"/>
          <w:b w:val="0"/>
          <w:i w:val="0"/>
          <w:sz w:val="24"/>
        </w:rPr>
        <w:t>6. Transparansi sumber, yaitu menyebut nama Bethsaida Hospital Gading Serpong sebagai instansi narasumber, sehingga pembaca dapat menilai konteks informasi.</w:t>
      </w:r>
    </w:p>
    <w:p>
      <w:pPr>
        <w:spacing w:line="240" w:lineRule="auto" w:before="0" w:after="0"/>
        <w:ind w:firstLine="567"/>
        <w:jc w:val="both"/>
      </w:pPr>
      <w:r>
        <w:rPr>
          <w:rFonts w:ascii="Times New Roman" w:hAnsi="Times New Roman"/>
          <w:b w:val="0"/>
          <w:i w:val="0"/>
          <w:sz w:val="24"/>
        </w:rPr>
        <w:t>7. Menyinggung layanan medis yang tersedia (Urology and Nephrology Clinic) tanpa menjelaskannya sebagai iklan, sehingga tetap dalam koridor edukasi.</w:t>
      </w:r>
    </w:p>
    <w:p>
      <w:pPr>
        <w:spacing w:line="240" w:lineRule="auto" w:before="480" w:after="240"/>
        <w:ind w:firstLine="0"/>
        <w:jc w:val="left"/>
      </w:pPr>
      <w:r>
        <w:rPr>
          <w:rFonts w:ascii="Times New Roman" w:hAnsi="Times New Roman"/>
          <w:b/>
          <w:sz w:val="24"/>
        </w:rPr>
        <w:t>D. Kelemahan dan Keterbatasan</w:t>
      </w:r>
    </w:p>
    <w:p>
      <w:pPr>
        <w:spacing w:line="240" w:lineRule="auto" w:before="0" w:after="0"/>
        <w:ind w:firstLine="567"/>
        <w:jc w:val="both"/>
      </w:pPr>
      <w:r>
        <w:rPr>
          <w:rFonts w:ascii="Times New Roman" w:hAnsi="Times New Roman"/>
          <w:b w:val="0"/>
          <w:i w:val="0"/>
          <w:sz w:val="24"/>
        </w:rPr>
        <w:t>Meskipun memiliki kekuatan, artikel Antara juga memiliki sejumlah kelemahan dan keterbatasan yang perlu dicermati, yaitu:</w:t>
      </w:r>
    </w:p>
    <w:p>
      <w:pPr>
        <w:spacing w:line="240" w:lineRule="auto" w:before="0" w:after="0"/>
        <w:ind w:firstLine="567"/>
        <w:jc w:val="both"/>
      </w:pPr>
      <w:r>
        <w:rPr>
          <w:rFonts w:ascii="Times New Roman" w:hAnsi="Times New Roman"/>
          <w:b w:val="0"/>
          <w:i w:val="0"/>
          <w:sz w:val="24"/>
        </w:rPr>
        <w:t>1. Tidak mengutip studi primer secara spesifik. Artikel tidak menyebutkan sumber penelitian ilmiah yang mendukung klain kaitan gula dengan kerusakan ginjal. Sebagai pembanding, artikel Kompas secara eksplisit mengutip tiga studi primer dengan angka spesifik (JAMA Network Open 2024, Clinical Kidney Journal 2022, dan CJASN 2019).</w:t>
      </w:r>
    </w:p>
    <w:p>
      <w:pPr>
        <w:spacing w:line="240" w:lineRule="auto" w:before="0" w:after="0"/>
        <w:ind w:firstLine="567"/>
        <w:jc w:val="both"/>
      </w:pPr>
      <w:r>
        <w:rPr>
          <w:rFonts w:ascii="Times New Roman" w:hAnsi="Times New Roman"/>
          <w:b w:val="0"/>
          <w:i w:val="0"/>
          <w:sz w:val="24"/>
        </w:rPr>
        <w:t>2. Tidak mengkuantifikasi risiko. Artikel hanya menyatakan gula berlebihan dapat meningkatkan risiko, tanpa menyebutkan berapa besarnya. Pembanding menunjukkan angka konkret: studi JAMA menunjukkan adjusted hazard ratio 1,19 untuk konsumsi lebih dari satu porsi per hari, dan  studi Clinical Kidney Journal menunjukkan peningkatan risiko kematian 18 persen per penambahan satu porsi per hari, serta risiko 1,8 kali lebih tinggi untuk konsumsi lebih dari dua porsi per hari.</w:t>
      </w:r>
    </w:p>
    <w:p>
      <w:pPr>
        <w:spacing w:line="240" w:lineRule="auto" w:before="0" w:after="0"/>
        <w:ind w:firstLine="567"/>
        <w:jc w:val="both"/>
      </w:pPr>
      <w:r>
        <w:rPr>
          <w:rFonts w:ascii="Times New Roman" w:hAnsi="Times New Roman"/>
          <w:b w:val="0"/>
          <w:i w:val="0"/>
          <w:sz w:val="24"/>
        </w:rPr>
        <w:t>3. Merangkumkan minuman berpemanis gula dan minuman berpemanis buatan (artificially sweetened beverages) ke dalam istilah tunggal gula berlebihan. Padahal studi Heo dkk. (2024) secara terpisah menunjukkan bahwa konsumsi minuman berpemanis buatan juga meningkatkan risiko penyakit ginjal kronis (AHR 1,10 untuk lebih dari 0 hingga 1 porsi per hari, dan AHR 1,26 untuk lebih dari 1 porsi per hari). Kelemahan ini dapat menyesatkan pembaca yang mengira minuman label bebas gula atau diet aman bagi ginjal.</w:t>
      </w:r>
    </w:p>
    <w:p>
      <w:pPr>
        <w:spacing w:line="240" w:lineRule="auto" w:before="0" w:after="0"/>
        <w:ind w:firstLine="567"/>
        <w:jc w:val="both"/>
      </w:pPr>
      <w:r>
        <w:rPr>
          <w:rFonts w:ascii="Times New Roman" w:hAnsi="Times New Roman"/>
          <w:b w:val="0"/>
          <w:i w:val="0"/>
          <w:sz w:val="24"/>
        </w:rPr>
        <w:t>4. Tidak menyebutkan temuan penting studi JAMA bahwa jus buah alami (natural juice) tidak menunjukkan asosiasi signifikan dengan penyakit ginjal kronis (HR 0,99; 95% CI 0,87-1,11; P = 0,10). Nuansa ini penting karena membedakan sumber gula alami vs gula tambahan.</w:t>
      </w:r>
    </w:p>
    <w:p>
      <w:pPr>
        <w:spacing w:line="240" w:lineRule="auto" w:before="0" w:after="0"/>
        <w:ind w:firstLine="567"/>
        <w:jc w:val="both"/>
      </w:pPr>
      <w:r>
        <w:rPr>
          <w:rFonts w:ascii="Times New Roman" w:hAnsi="Times New Roman"/>
          <w:b w:val="0"/>
          <w:i w:val="0"/>
          <w:sz w:val="24"/>
        </w:rPr>
        <w:t>5. Tidak membahas efek substitusi (penggantian) jenis minuman. Studi Heo dkk. (2024) menunjukkan bahwa mengganti satu porsi per hari minuman berpemanis gula dengan jus alami (HR 0,93) atau air (HR 0,93) dikaitkan dengan penurunan risiko penyakit ginjal kronis. Informasi ini sangat relevan sebagai saran praktis, namun absen dalam artikel Antara.</w:t>
      </w:r>
    </w:p>
    <w:p>
      <w:pPr>
        <w:spacing w:line="240" w:lineRule="auto" w:before="0" w:after="0"/>
        <w:ind w:firstLine="567"/>
        <w:jc w:val="both"/>
      </w:pPr>
      <w:r>
        <w:rPr>
          <w:rFonts w:ascii="Times New Roman" w:hAnsi="Times New Roman"/>
          <w:b w:val="0"/>
          <w:i w:val="0"/>
          <w:sz w:val="24"/>
        </w:rPr>
        <w:t>6. Terdapat potensi konflik kepentingan karena narasumber berafiliasi dengan Bethsaida Hospital, yang juga dipromosikan layanan Urology and Nephrology Clinic-nya. Meskipun disampaikan secara halus, ini menimbulkan bias komersial yang harus diwaspadai pembaca.</w:t>
      </w:r>
    </w:p>
    <w:p>
      <w:pPr>
        <w:spacing w:line="240" w:lineRule="auto" w:before="0" w:after="0"/>
        <w:ind w:firstLine="567"/>
        <w:jc w:val="both"/>
      </w:pPr>
      <w:r>
        <w:rPr>
          <w:rFonts w:ascii="Times New Roman" w:hAnsi="Times New Roman"/>
          <w:b w:val="0"/>
          <w:i w:val="0"/>
          <w:sz w:val="24"/>
        </w:rPr>
        <w:t>7. Tidak mendefinisikan ukuran porsi atau ambang batas konsumsi gula berlebihan. Pembaca tidak memperoleh pegangan konkret tentang kapan suatu konsumsi dianggap berlebihan.</w:t>
      </w:r>
    </w:p>
    <w:p>
      <w:pPr>
        <w:spacing w:line="240" w:lineRule="auto" w:before="0" w:after="0"/>
        <w:ind w:firstLine="567"/>
        <w:jc w:val="both"/>
      </w:pPr>
      <w:r>
        <w:rPr>
          <w:rFonts w:ascii="Times New Roman" w:hAnsi="Times New Roman"/>
          <w:b w:val="0"/>
          <w:i w:val="0"/>
          <w:sz w:val="24"/>
        </w:rPr>
        <w:t>8. Merangkum mekanisme kausal secara terlalu sederhana (gula, obesitas, diabetes, ginjal). Studi Heo dkk. (2024) menunjukkan asosiasi tetap signifikan setelah penyesuaian (adjustment) terhadap indeks massa tubuh dan diabetes, yang berarti gula berpotensi memberi efek langsung pada ginjal melalui jalur lain (misalnya resistensi insulin, asam urat, peradangan sistemik).</w:t>
      </w:r>
    </w:p>
    <w:p>
      <w:pPr>
        <w:spacing w:line="240" w:lineRule="auto" w:before="0" w:after="0"/>
        <w:ind w:firstLine="567"/>
        <w:jc w:val="both"/>
      </w:pPr>
      <w:r>
        <w:rPr>
          <w:rFonts w:ascii="Times New Roman" w:hAnsi="Times New Roman"/>
          <w:b w:val="0"/>
          <w:i w:val="0"/>
          <w:sz w:val="24"/>
        </w:rPr>
        <w:t>9. Tidak menyebutkan keterbatasan studiobservasional, yakni bahwa studi JAMA hanya menunjukkan asosiasi, bukan kausalitas. Generalisasi temuan UK Biobank (partisipan rerata berusia 55,2 tahun, mayoritas keturunan Eropa) ke populasi Indonesia juga tidak dibahas.</w:t>
      </w:r>
    </w:p>
    <w:p>
      <w:pPr>
        <w:spacing w:line="240" w:lineRule="auto" w:before="480" w:after="240"/>
        <w:ind w:firstLine="0"/>
        <w:jc w:val="left"/>
      </w:pPr>
      <w:r>
        <w:rPr>
          <w:rFonts w:ascii="Times New Roman" w:hAnsi="Times New Roman"/>
          <w:b/>
          <w:sz w:val="24"/>
        </w:rPr>
        <w:t>E. Hal yang Perlu Diperhatikan Pembaca</w:t>
      </w:r>
    </w:p>
    <w:p>
      <w:pPr>
        <w:spacing w:line="240" w:lineRule="auto" w:before="0" w:after="0"/>
        <w:ind w:firstLine="567"/>
        <w:jc w:val="both"/>
      </w:pPr>
      <w:r>
        <w:rPr>
          <w:rFonts w:ascii="Times New Roman" w:hAnsi="Times New Roman"/>
          <w:b w:val="0"/>
          <w:i w:val="0"/>
          <w:sz w:val="24"/>
        </w:rPr>
        <w:t>Pembaca perlu mencermati sejumlah hal dalam membaca artikel Antara, yaitu:</w:t>
      </w:r>
    </w:p>
    <w:p>
      <w:pPr>
        <w:spacing w:line="240" w:lineRule="auto" w:before="0" w:after="0"/>
        <w:ind w:firstLine="567"/>
        <w:jc w:val="both"/>
      </w:pPr>
      <w:r>
        <w:rPr>
          <w:rFonts w:ascii="Times New Roman" w:hAnsi="Times New Roman"/>
          <w:b w:val="0"/>
          <w:i w:val="0"/>
          <w:sz w:val="24"/>
        </w:rPr>
        <w:t>1. Artikel ini adalah media promosi kesehatan (health promotion) berbasis wawancara dokter, bukan laporan penelitian asli. Oleh karena itu, klaimnya tidak dilengkapi dengan data, metode, atau angka statistik sebagaimana artikel ilmiah.</w:t>
      </w:r>
    </w:p>
    <w:p>
      <w:pPr>
        <w:spacing w:line="240" w:lineRule="auto" w:before="0" w:after="0"/>
        <w:ind w:firstLine="567"/>
        <w:jc w:val="both"/>
      </w:pPr>
      <w:r>
        <w:rPr>
          <w:rFonts w:ascii="Times New Roman" w:hAnsi="Times New Roman"/>
          <w:b w:val="0"/>
          <w:i w:val="0"/>
          <w:sz w:val="24"/>
        </w:rPr>
        <w:t>2. Karena narasumber berafiliasi dengan rumah sakit swasta, pembaca perlu kritis terhadap kemungkinan adanya bias komersial, meskipun isi medisnya tetap sahih.</w:t>
      </w:r>
    </w:p>
    <w:p>
      <w:pPr>
        <w:spacing w:line="240" w:lineRule="auto" w:before="0" w:after="0"/>
        <w:ind w:firstLine="567"/>
        <w:jc w:val="both"/>
      </w:pPr>
      <w:r>
        <w:rPr>
          <w:rFonts w:ascii="Times New Roman" w:hAnsi="Times New Roman"/>
          <w:b w:val="0"/>
          <w:i w:val="0"/>
          <w:sz w:val="24"/>
        </w:rPr>
        <w:t>3. Istilah gula berlebihan tidak dikuantifikasi dalam artikel. Sebagai pegangan, studi JAMA menetapkan ambang lebih dari satu porsi per hari minuman berpemanis gula sebagai ambang peningkatan risiko signifikan. Pembaca sebaiknya tidak menganggap konsumsi sesekali sama dengan konsumsi berlebihan.</w:t>
      </w:r>
    </w:p>
    <w:p>
      <w:pPr>
        <w:spacing w:line="240" w:lineRule="auto" w:before="0" w:after="0"/>
        <w:ind w:firstLine="567"/>
        <w:jc w:val="both"/>
      </w:pPr>
      <w:r>
        <w:rPr>
          <w:rFonts w:ascii="Times New Roman" w:hAnsi="Times New Roman"/>
          <w:b w:val="0"/>
          <w:i w:val="0"/>
          <w:sz w:val="24"/>
        </w:rPr>
        <w:t>4. Pembaca yang beralih ke minuman berpemanis buatan (berlabel bebas gula, diet, atau low-calorie) dengan asumsi aman bagi ginjal perlu berhati-hati, karena studi JAMA menunjukkan minuman tersebut juga meningkatkan risiko penyakit ginjal kronis, hal yang tidak disebutkan dalam artikel Antara.</w:t>
      </w:r>
    </w:p>
    <w:p>
      <w:pPr>
        <w:spacing w:line="240" w:lineRule="auto" w:before="0" w:after="0"/>
        <w:ind w:firstLine="567"/>
        <w:jc w:val="both"/>
      </w:pPr>
      <w:r>
        <w:rPr>
          <w:rFonts w:ascii="Times New Roman" w:hAnsi="Times New Roman"/>
          <w:b w:val="0"/>
          <w:i w:val="0"/>
          <w:sz w:val="24"/>
        </w:rPr>
        <w:t>5. Jus buah alami tanpa tambahan gula tampaknya lebih aman dibandingkan minuman berpemanis, sesuai temuan JAMA yang tidak menunjukkan asosiasi signifikan. Namun, pembaca perlu membedakan jus buah murni dari jus kemasan yang berlabel minuman berpemanis.</w:t>
      </w:r>
    </w:p>
    <w:p>
      <w:pPr>
        <w:spacing w:line="240" w:lineRule="auto" w:before="0" w:after="0"/>
        <w:ind w:firstLine="567"/>
        <w:jc w:val="both"/>
      </w:pPr>
      <w:r>
        <w:rPr>
          <w:rFonts w:ascii="Times New Roman" w:hAnsi="Times New Roman"/>
          <w:b w:val="0"/>
          <w:i w:val="0"/>
          <w:sz w:val="24"/>
        </w:rPr>
        <w:t>6. Pembaca perlu membaca label komposisi minuman kemasan dan mengenali nama lain gula, seperti sukrosa, fruktosa, dan sirup jagung fruktosa tinggi (high-fructose corn syrup), sebagaimana dijelaskan artikel Kompas.</w:t>
      </w:r>
    </w:p>
    <w:p>
      <w:pPr>
        <w:spacing w:line="240" w:lineRule="auto" w:before="0" w:after="0"/>
        <w:ind w:firstLine="567"/>
        <w:jc w:val="both"/>
      </w:pPr>
      <w:r>
        <w:rPr>
          <w:rFonts w:ascii="Times New Roman" w:hAnsi="Times New Roman"/>
          <w:b w:val="0"/>
          <w:i w:val="0"/>
          <w:sz w:val="24"/>
        </w:rPr>
        <w:t>7. Karena studi JAMA bersifatobservasional, asosiasi yang dilaporkan tidak otomatis berarti kausalitas. Faktor perancu (confounding) seperti pola makan keseluruhan, aktivitas fisik, dan status sosioekonomi dapat berperan.</w:t>
      </w:r>
    </w:p>
    <w:p>
      <w:pPr>
        <w:spacing w:line="240" w:lineRule="auto" w:before="0" w:after="0"/>
        <w:ind w:firstLine="567"/>
        <w:jc w:val="both"/>
      </w:pPr>
      <w:r>
        <w:rPr>
          <w:rFonts w:ascii="Times New Roman" w:hAnsi="Times New Roman"/>
          <w:b w:val="0"/>
          <w:i w:val="0"/>
          <w:sz w:val="24"/>
        </w:rPr>
        <w:t>8. Karakteristik partisipan UK Biobank (rerata usia 55,2 tahun, mayoritas keturunan Eropa) mungkin tidak sepenuhnya dapat digeneralisasi ke populasi Indonesia. Pembaca perlu menunggu studi lokal yang lebih relevan secara epidemiologis.</w:t>
      </w:r>
    </w:p>
    <w:p>
      <w:pPr>
        <w:spacing w:line="240" w:lineRule="auto" w:before="0" w:after="0"/>
        <w:ind w:firstLine="567"/>
        <w:jc w:val="both"/>
      </w:pPr>
      <w:r>
        <w:rPr>
          <w:rFonts w:ascii="Times New Roman" w:hAnsi="Times New Roman"/>
          <w:b w:val="0"/>
          <w:i w:val="0"/>
          <w:sz w:val="24"/>
        </w:rPr>
        <w:t>9. Pembaca yang termasuk kelompok berisiko tinggi (hipertensi, diabetes, batu saluran kemih berulang, riwayat keluarga penyakit ginjal) sebaiknya menjalani pemeriksaan fungsi ginjal secara berkala, sebagaimana disarankan artikel.</w:t>
      </w:r>
    </w:p>
    <w:p>
      <w:pPr>
        <w:spacing w:line="240" w:lineRule="auto" w:before="480" w:after="240"/>
        <w:ind w:firstLine="0"/>
        <w:jc w:val="left"/>
      </w:pPr>
      <w:r>
        <w:rPr>
          <w:rFonts w:ascii="Times New Roman" w:hAnsi="Times New Roman"/>
          <w:b/>
          <w:sz w:val="24"/>
        </w:rPr>
        <w:t>F. Kesimpulan Kelompok</w:t>
      </w:r>
    </w:p>
    <w:p>
      <w:pPr>
        <w:spacing w:line="240" w:lineRule="auto" w:before="0" w:after="0"/>
        <w:ind w:firstLine="567"/>
        <w:jc w:val="both"/>
      </w:pPr>
      <w:r>
        <w:rPr>
          <w:rFonts w:ascii="Times New Roman" w:hAnsi="Times New Roman"/>
          <w:b w:val="0"/>
          <w:i w:val="0"/>
          <w:sz w:val="24"/>
        </w:rPr>
        <w:t>Berdasarkan pembacaan kritis terhadap artikel utama dan dua artikel pembanding, kelompok menyimpulkan bahwa:</w:t>
      </w:r>
    </w:p>
    <w:p>
      <w:pPr>
        <w:spacing w:line="240" w:lineRule="auto" w:before="0" w:after="0"/>
        <w:ind w:firstLine="567"/>
        <w:jc w:val="both"/>
      </w:pPr>
      <w:r>
        <w:rPr>
          <w:rFonts w:ascii="Times New Roman" w:hAnsi="Times New Roman"/>
          <w:b w:val="0"/>
          <w:i w:val="0"/>
          <w:sz w:val="24"/>
        </w:rPr>
        <w:t>1. Artikel Antara News dapat dipercaya sebagai media edukasi kesehatan masyarakat karena inti pesannya selaras dengan bukti ilmiah, namun lemah dalam kedalaman ilmiah karena tidak mengutip studi primer dan tidak mengkuantifikasi risiko.</w:t>
      </w:r>
    </w:p>
    <w:p>
      <w:pPr>
        <w:spacing w:line="240" w:lineRule="auto" w:before="0" w:after="0"/>
        <w:ind w:firstLine="567"/>
        <w:jc w:val="both"/>
      </w:pPr>
      <w:r>
        <w:rPr>
          <w:rFonts w:ascii="Times New Roman" w:hAnsi="Times New Roman"/>
          <w:b w:val="0"/>
          <w:i w:val="0"/>
          <w:sz w:val="24"/>
        </w:rPr>
        <w:t>2. Studi Heo dkk. (2024) dalam JAMA Network Open memberi bukti epidemiologis paling kuat dengan desain kohor prospektif, sampel besar (127.830 partisipan), dan follow-up panjang (median 10,5 tahun). Studi ini menjadi rujukan utama untuk klaim kaitan konsumsi minuman berpemanis dengan penyakit ginjal kronis.</w:t>
      </w:r>
    </w:p>
    <w:p>
      <w:pPr>
        <w:spacing w:line="240" w:lineRule="auto" w:before="0" w:after="0"/>
        <w:ind w:firstLine="567"/>
        <w:jc w:val="both"/>
      </w:pPr>
      <w:r>
        <w:rPr>
          <w:rFonts w:ascii="Times New Roman" w:hAnsi="Times New Roman"/>
          <w:b w:val="0"/>
          <w:i w:val="0"/>
          <w:sz w:val="24"/>
        </w:rPr>
        <w:t>3. Artikel Kompas merupakan sintesis jurnalistik terbaik di antara ketiga artikel karena menyajikan bahasa yang mudah dipahami sekaligus mengutip tiga studi primer dengan angka spesifik, sehingga menjembatani kesenjangan antara artikel Antara dan studi JAMA.</w:t>
      </w:r>
    </w:p>
    <w:p>
      <w:pPr>
        <w:spacing w:line="240" w:lineRule="auto" w:before="0" w:after="0"/>
        <w:ind w:firstLine="567"/>
        <w:jc w:val="both"/>
      </w:pPr>
      <w:r>
        <w:rPr>
          <w:rFonts w:ascii="Times New Roman" w:hAnsi="Times New Roman"/>
          <w:b w:val="0"/>
          <w:i w:val="0"/>
          <w:sz w:val="24"/>
        </w:rPr>
        <w:t>4. Ketiga artikel konvergen pada pesan yang sama: pengurangan konsumsi minuman berpemanis dapat menurunkan risiko penyakit ginjal kronis. Rekomendasi substitusi yang aman, sebagaimana temuan JAMA, adalah mengganti minuman berpemanis dengan air atau jus buah alami.</w:t>
      </w:r>
    </w:p>
    <w:p>
      <w:pPr>
        <w:spacing w:line="240" w:lineRule="auto" w:before="0" w:after="0"/>
        <w:ind w:firstLine="567"/>
        <w:jc w:val="both"/>
      </w:pPr>
      <w:r>
        <w:rPr>
          <w:rFonts w:ascii="Times New Roman" w:hAnsi="Times New Roman"/>
          <w:b w:val="0"/>
          <w:i w:val="0"/>
          <w:sz w:val="24"/>
        </w:rPr>
        <w:t>5. Untuk keperluan akademik dan klinis, sebaiknya mengacu langsung pada artikel JAMA sebagai sumber primer. Untuk edukasi masyarakat luas, artikel Antara dan Kompas bersifat saling melengkapi, dengan catatan pembaca perlu menyadari keterbatasan masing-masing.</w:t>
      </w:r>
    </w:p>
    <w:p>
      <w:pPr>
        <w:spacing w:line="240" w:lineRule="auto" w:before="0" w:after="0"/>
        <w:ind w:firstLine="567"/>
        <w:jc w:val="both"/>
      </w:pPr>
      <w:r>
        <w:rPr>
          <w:rFonts w:ascii="Times New Roman" w:hAnsi="Times New Roman"/>
          <w:b w:val="0"/>
          <w:i w:val="0"/>
          <w:sz w:val="24"/>
        </w:rPr>
        <w:t>6. Rekomendasi kelompok: artikel Antara perlu diperbaiki dengan menambah sitasi studi primer (minimal JAMA Network Open 2024), memisahkan pembahasan minuman berpemanis gula vs buatan, menyebutkan temuan jus alami yang tidak signifikan, serta menambahkan informasi efek substitusi. Dengan demikian, artikel akan memberi manfaat edukatif yang lebih utuh dan berbasis bukti.</w:t>
      </w:r>
    </w:p>
    <w:sectPr w:rsidR="00FC693F" w:rsidRPr="0006063C" w:rsidSect="00034616">
      <w:pgSz w:w="11906" w:h="16838"/>
      <w:pgMar w:top="2268"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