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6223"/>
      </w:tblGrid>
      <w:tr w14:paraId="583DE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31" w:type="dxa"/>
            <w:tcBorders>
              <w:bottom w:val="single" w:color="auto" w:sz="12" w:space="0"/>
            </w:tcBorders>
            <w:vAlign w:val="bottom"/>
          </w:tcPr>
          <w:p w14:paraId="180BDE8B">
            <w:pPr>
              <w:spacing w:line="20" w:lineRule="atLeast"/>
              <w:ind w:firstLine="360" w:firstLineChars="100"/>
              <w:rPr>
                <w:rFonts w:hint="eastAsia" w:eastAsia="宋体"/>
                <w:b/>
                <w:sz w:val="36"/>
                <w:szCs w:val="36"/>
                <w:lang w:eastAsia="zh-CN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  <w:woUserID w:val="1"/>
              </w:rPr>
              <w:t>年</w:t>
            </w:r>
            <w:r>
              <w:rPr>
                <w:rFonts w:hint="eastAsia"/>
                <w:b/>
                <w:sz w:val="36"/>
                <w:szCs w:val="36"/>
                <w:woUserID w:val="1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  <w:lang w:eastAsia="zh-CN"/>
                <w:woUserID w:val="1"/>
              </w:rPr>
              <w:t>级</w:t>
            </w:r>
          </w:p>
        </w:tc>
        <w:tc>
          <w:tcPr>
            <w:tcW w:w="6223" w:type="dxa"/>
            <w:tcBorders>
              <w:bottom w:val="single" w:color="auto" w:sz="12" w:space="0"/>
            </w:tcBorders>
            <w:vAlign w:val="center"/>
          </w:tcPr>
          <w:p w14:paraId="1A653039">
            <w:pPr>
              <w:spacing w:line="20" w:lineRule="atLeast"/>
              <w:rPr>
                <w:b/>
                <w:sz w:val="36"/>
                <w:szCs w:val="36"/>
                <w:woUserID w:val="1"/>
              </w:rPr>
            </w:pPr>
          </w:p>
          <w:p w14:paraId="36F7B740">
            <w:pPr>
              <w:spacing w:line="20" w:lineRule="atLeast"/>
              <w:jc w:val="center"/>
              <w:rPr>
                <w:rFonts w:hint="eastAsia" w:eastAsia="宋体"/>
                <w:b/>
                <w:sz w:val="36"/>
                <w:szCs w:val="36"/>
                <w:lang w:eastAsia="zh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lang w:eastAsia="zh"/>
                <w:woUserID w:val="1"/>
              </w:rPr>
              <w:t>大一</w:t>
            </w:r>
          </w:p>
        </w:tc>
      </w:tr>
      <w:tr w14:paraId="2FDA5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131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593E0F8C">
            <w:pPr>
              <w:spacing w:line="20" w:lineRule="atLeast"/>
              <w:jc w:val="center"/>
              <w:rPr>
                <w:b/>
                <w:sz w:val="36"/>
                <w:szCs w:val="36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woUserID w:val="1"/>
              </w:rPr>
              <w:t>参赛队</w:t>
            </w:r>
            <w:r>
              <w:rPr>
                <w:rFonts w:hint="eastAsia"/>
                <w:b/>
                <w:sz w:val="36"/>
                <w:szCs w:val="36"/>
                <w:lang w:eastAsia="zh-CN"/>
                <w:woUserID w:val="1"/>
              </w:rPr>
              <w:t>名</w:t>
            </w:r>
          </w:p>
        </w:tc>
        <w:tc>
          <w:tcPr>
            <w:tcW w:w="622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E7430E">
            <w:pPr>
              <w:spacing w:line="20" w:lineRule="atLeast"/>
              <w:rPr>
                <w:b/>
                <w:sz w:val="36"/>
                <w:szCs w:val="36"/>
                <w:woUserID w:val="1"/>
              </w:rPr>
            </w:pPr>
          </w:p>
          <w:p w14:paraId="549CF8AF">
            <w:pPr>
              <w:jc w:val="center"/>
              <w:rPr>
                <w:rFonts w:hint="eastAsia"/>
                <w:sz w:val="36"/>
                <w:szCs w:val="36"/>
                <w:lang w:eastAsia="zh"/>
                <w:woUserID w:val="1"/>
              </w:rPr>
            </w:pPr>
          </w:p>
        </w:tc>
      </w:tr>
      <w:tr w14:paraId="3E069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7" w:hRule="atLeast"/>
          <w:jc w:val="center"/>
        </w:trPr>
        <w:tc>
          <w:tcPr>
            <w:tcW w:w="2131" w:type="dxa"/>
            <w:vMerge w:val="restart"/>
            <w:tcBorders>
              <w:top w:val="single" w:color="auto" w:sz="12" w:space="0"/>
            </w:tcBorders>
            <w:vAlign w:val="center"/>
          </w:tcPr>
          <w:p w14:paraId="0CEFD177">
            <w:pPr>
              <w:spacing w:line="20" w:lineRule="atLeast"/>
              <w:jc w:val="center"/>
              <w:rPr>
                <w:rFonts w:hint="eastAsia"/>
                <w:b/>
                <w:sz w:val="36"/>
                <w:szCs w:val="36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woUserID w:val="1"/>
              </w:rPr>
              <w:t>队员</w:t>
            </w:r>
          </w:p>
          <w:p w14:paraId="66C30D86">
            <w:pPr>
              <w:spacing w:line="20" w:lineRule="atLeast"/>
              <w:jc w:val="center"/>
              <w:rPr>
                <w:rFonts w:hint="eastAsia" w:eastAsia="宋体"/>
                <w:b/>
                <w:sz w:val="36"/>
                <w:szCs w:val="36"/>
                <w:lang w:eastAsia="zh-CN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  <w:woUserID w:val="1"/>
              </w:rPr>
              <w:t>学号、</w:t>
            </w:r>
            <w:r>
              <w:rPr>
                <w:rFonts w:hint="eastAsia"/>
                <w:b/>
                <w:sz w:val="36"/>
                <w:szCs w:val="36"/>
                <w:woUserID w:val="1"/>
              </w:rPr>
              <w:t>姓名</w:t>
            </w:r>
            <w:r>
              <w:rPr>
                <w:rFonts w:hint="eastAsia"/>
                <w:b/>
                <w:sz w:val="36"/>
                <w:szCs w:val="36"/>
                <w:lang w:eastAsia="zh-CN"/>
                <w:woUserID w:val="1"/>
              </w:rPr>
              <w:t>及工作内容</w:t>
            </w:r>
          </w:p>
        </w:tc>
        <w:tc>
          <w:tcPr>
            <w:tcW w:w="6223" w:type="dxa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63EAB3F4">
            <w:pPr>
              <w:spacing w:line="20" w:lineRule="atLeast"/>
              <w:rPr>
                <w:rFonts w:hint="eastAsia" w:eastAsia="宋体"/>
                <w:b/>
                <w:sz w:val="36"/>
                <w:szCs w:val="36"/>
                <w:lang w:eastAsia="zh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woUserID w:val="1"/>
              </w:rPr>
              <w:t>1.</w:t>
            </w:r>
            <w:r>
              <w:rPr>
                <w:rFonts w:hint="default" w:ascii="仿宋" w:hAnsi="仿宋" w:eastAsia="仿宋" w:cs="仿宋"/>
                <w:b/>
                <w:sz w:val="36"/>
                <w:szCs w:val="36"/>
                <w:lang w:eastAsia="zh"/>
                <w:woUserID w:val="1"/>
              </w:rPr>
              <w:t>202521000306</w:t>
            </w:r>
            <w:r>
              <w:rPr>
                <w:rFonts w:hint="eastAsia"/>
                <w:b/>
                <w:sz w:val="36"/>
                <w:szCs w:val="36"/>
                <w:lang w:eastAsia="zh"/>
                <w:woUserID w:val="1"/>
              </w:rPr>
              <w:t xml:space="preserve">胡馨 </w:t>
            </w:r>
          </w:p>
        </w:tc>
      </w:tr>
      <w:tr w14:paraId="13B93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1" w:hRule="atLeast"/>
          <w:jc w:val="center"/>
        </w:trPr>
        <w:tc>
          <w:tcPr>
            <w:tcW w:w="2131" w:type="dxa"/>
            <w:vMerge w:val="continue"/>
            <w:vAlign w:val="center"/>
          </w:tcPr>
          <w:p w14:paraId="1DA2EF27">
            <w:pPr>
              <w:spacing w:line="20" w:lineRule="atLeast"/>
              <w:jc w:val="center"/>
              <w:rPr>
                <w:b/>
                <w:sz w:val="36"/>
                <w:szCs w:val="36"/>
                <w:woUserID w:val="1"/>
              </w:rPr>
            </w:pPr>
          </w:p>
        </w:tc>
        <w:tc>
          <w:tcPr>
            <w:tcW w:w="6223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0EBD6ADC">
            <w:pPr>
              <w:spacing w:line="20" w:lineRule="atLeast"/>
              <w:rPr>
                <w:rFonts w:hint="eastAsia" w:eastAsia="宋体"/>
                <w:b/>
                <w:sz w:val="36"/>
                <w:szCs w:val="36"/>
                <w:lang w:eastAsia="zh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woUserID w:val="1"/>
              </w:rPr>
              <w:t>2.</w:t>
            </w:r>
            <w:r>
              <w:rPr>
                <w:rFonts w:hint="eastAsia"/>
                <w:b/>
                <w:sz w:val="36"/>
                <w:szCs w:val="36"/>
                <w:lang w:eastAsia="zh"/>
                <w:woUserID w:val="1"/>
              </w:rPr>
              <w:t>无</w:t>
            </w:r>
          </w:p>
        </w:tc>
      </w:tr>
      <w:tr w14:paraId="318C1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7" w:hRule="atLeast"/>
          <w:jc w:val="center"/>
        </w:trPr>
        <w:tc>
          <w:tcPr>
            <w:tcW w:w="2131" w:type="dxa"/>
            <w:vMerge w:val="continue"/>
            <w:tcBorders>
              <w:bottom w:val="single" w:color="auto" w:sz="12" w:space="0"/>
            </w:tcBorders>
            <w:vAlign w:val="center"/>
          </w:tcPr>
          <w:p w14:paraId="4454199A">
            <w:pPr>
              <w:spacing w:line="20" w:lineRule="atLeast"/>
              <w:jc w:val="center"/>
              <w:rPr>
                <w:b/>
                <w:sz w:val="36"/>
                <w:szCs w:val="36"/>
                <w:woUserID w:val="1"/>
              </w:rPr>
            </w:pPr>
          </w:p>
        </w:tc>
        <w:tc>
          <w:tcPr>
            <w:tcW w:w="6223" w:type="dxa"/>
            <w:tcBorders>
              <w:top w:val="single" w:color="auto" w:sz="8" w:space="0"/>
              <w:bottom w:val="single" w:color="auto" w:sz="12" w:space="0"/>
            </w:tcBorders>
            <w:vAlign w:val="center"/>
          </w:tcPr>
          <w:p w14:paraId="69670DDF">
            <w:pPr>
              <w:spacing w:line="20" w:lineRule="atLeast"/>
              <w:rPr>
                <w:rFonts w:hint="eastAsia" w:eastAsia="宋体"/>
                <w:b/>
                <w:sz w:val="36"/>
                <w:szCs w:val="36"/>
                <w:lang w:eastAsia="zh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woUserID w:val="1"/>
              </w:rPr>
              <w:t>3.</w:t>
            </w:r>
            <w:r>
              <w:rPr>
                <w:rFonts w:hint="eastAsia"/>
                <w:b/>
                <w:sz w:val="36"/>
                <w:szCs w:val="36"/>
                <w:lang w:eastAsia="zh"/>
                <w:woUserID w:val="1"/>
              </w:rPr>
              <w:t>无</w:t>
            </w:r>
          </w:p>
        </w:tc>
      </w:tr>
      <w:tr w14:paraId="12EF0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  <w:jc w:val="center"/>
        </w:trPr>
        <w:tc>
          <w:tcPr>
            <w:tcW w:w="213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C6A2F6D">
            <w:pPr>
              <w:spacing w:line="20" w:lineRule="atLeast"/>
              <w:jc w:val="center"/>
              <w:rPr>
                <w:rFonts w:hint="eastAsia" w:eastAsia="宋体"/>
                <w:b/>
                <w:sz w:val="36"/>
                <w:szCs w:val="36"/>
                <w:lang w:eastAsia="zh-CN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  <w:woUserID w:val="1"/>
              </w:rPr>
              <w:t>完成时间</w:t>
            </w:r>
          </w:p>
        </w:tc>
        <w:tc>
          <w:tcPr>
            <w:tcW w:w="6223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2AEAEB8">
            <w:pPr>
              <w:spacing w:line="20" w:lineRule="atLeast"/>
              <w:jc w:val="center"/>
              <w:rPr>
                <w:rFonts w:hint="eastAsia" w:eastAsia="宋体"/>
                <w:b/>
                <w:sz w:val="36"/>
                <w:szCs w:val="36"/>
                <w:lang w:eastAsia="zh"/>
                <w:woUserID w:val="1"/>
              </w:rPr>
            </w:pPr>
            <w:r>
              <w:rPr>
                <w:rFonts w:hint="eastAsia"/>
                <w:b/>
                <w:sz w:val="36"/>
                <w:szCs w:val="36"/>
                <w:lang w:eastAsia="zh"/>
                <w:woUserID w:val="1"/>
              </w:rPr>
              <w:t>2026/7/14</w:t>
            </w:r>
          </w:p>
        </w:tc>
      </w:tr>
    </w:tbl>
    <w:p w14:paraId="0A217040">
      <w:pPr>
        <w:sectPr>
          <w:pgSz w:w="12240" w:h="15840"/>
          <w:pgMar w:top="1440" w:right="1800" w:bottom="1440" w:left="1800" w:header="720" w:footer="720" w:gutter="0"/>
          <w:pgNumType w:fmt="decimal" w:start="0"/>
          <w:cols w:space="720" w:num="1"/>
          <w:docGrid w:linePitch="360" w:charSpace="0"/>
        </w:sectPr>
      </w:pPr>
    </w:p>
    <w:p w14:paraId="6F45A63B">
      <w:r>
        <w:t xml:space="preserve"> </w:t>
      </w:r>
    </w:p>
    <w:p w14:paraId="7050A4C3">
      <w:pPr>
        <w:spacing w:after="200"/>
      </w:pPr>
    </w:p>
    <w:p w14:paraId="4835CAEF">
      <w:pPr>
        <w:spacing w:line="360" w:lineRule="auto"/>
        <w:ind w:left="0" w:leftChars="0" w:firstLine="0" w:firstLineChars="0"/>
        <w:jc w:val="center"/>
        <w:rPr>
          <w:rFonts w:hint="eastAsia" w:ascii="黑体" w:hAnsi="黑体" w:eastAsia="黑体" w:cs="黑体"/>
          <w:lang w:eastAsia="zh"/>
          <w:woUserID w:val="1"/>
        </w:rPr>
      </w:pPr>
      <w:r>
        <w:rPr>
          <w:rFonts w:hint="eastAsia" w:ascii="隶书" w:hAnsi="宋体" w:eastAsia="隶书"/>
          <w:sz w:val="36"/>
          <w:woUserID w:val="1"/>
        </w:rPr>
        <w:t>题 目</w:t>
      </w:r>
      <w:r>
        <w:rPr>
          <w:rFonts w:ascii="宋体" w:hAnsi="宋体"/>
          <w:sz w:val="28"/>
          <w:woUserID w:val="1"/>
        </w:rPr>
        <w:t xml:space="preserve">  </w:t>
      </w:r>
      <w:r>
        <w:rPr>
          <w:rFonts w:hint="eastAsia"/>
          <w:sz w:val="32"/>
          <w:szCs w:val="32"/>
          <w:woUserID w:val="1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  <w:lang w:eastAsia="zh"/>
          <w:woUserID w:val="1"/>
        </w:rPr>
        <w:t>住房的合理定价</w:t>
      </w:r>
    </w:p>
    <w:p w14:paraId="71ADE8F0">
      <w:pPr>
        <w:pStyle w:val="3"/>
        <w:rPr>
          <w:rFonts w:ascii="黑体" w:hAnsi="黑体" w:eastAsia="黑体"/>
          <w:b/>
          <w:sz w:val="32"/>
          <w:szCs w:val="32"/>
        </w:rPr>
      </w:pPr>
      <w:bookmarkStart w:id="0" w:name="_Toc1990108150"/>
      <w:r>
        <w:rPr>
          <w:rFonts w:ascii="黑体" w:hAnsi="黑体" w:eastAsia="黑体"/>
          <w:b/>
          <w:sz w:val="32"/>
          <w:szCs w:val="32"/>
        </w:rPr>
        <w:t>摘要</w:t>
      </w:r>
      <w:bookmarkEnd w:id="0"/>
    </w:p>
    <w:p w14:paraId="3D7EE48E">
      <w:pPr>
        <w:ind w:firstLine="420"/>
        <w:rPr>
          <w:rFonts w:hint="default" w:ascii="仿宋" w:hAnsi="仿宋" w:eastAsia="仿宋" w:cs="仿宋"/>
          <w:sz w:val="30"/>
          <w:szCs w:val="30"/>
          <w:woUserID w:val="1"/>
        </w:rPr>
      </w:pPr>
      <w:r>
        <w:rPr>
          <w:rFonts w:hint="default" w:ascii="仿宋" w:hAnsi="仿宋" w:eastAsia="仿宋" w:cs="仿宋"/>
          <w:sz w:val="30"/>
          <w:szCs w:val="30"/>
          <w:woUserID w:val="1"/>
        </w:rPr>
        <w:t>针对房价预测这一典型的多因素回归预测问题，本文基于1997—2009年中国商品房平均销售价格、国内生产总值（GDP）与居民人均可支配收入数据，建立了以GDP和居民收入为自变量的多元线性回归模型。模型采用最小二乘法（OLS）进行参数估计，并通过留一交叉验证（LOOCV）和拟合优度R²对模型进行检验。结果表明，模型R²达到0.9861，LOOCV平均绝对百分比误差仅为6.81%，拟合效果优良。</w:t>
      </w:r>
    </w:p>
    <w:p w14:paraId="51B49171">
      <w:pPr>
        <w:ind w:firstLine="420"/>
        <w:rPr>
          <w:rFonts w:hint="default" w:ascii="仿宋" w:hAnsi="仿宋" w:eastAsia="仿宋" w:cs="仿宋"/>
          <w:sz w:val="30"/>
          <w:szCs w:val="30"/>
          <w:woUserID w:val="1"/>
        </w:rPr>
      </w:pPr>
      <w:r>
        <w:rPr>
          <w:rFonts w:hint="default" w:ascii="仿宋" w:hAnsi="仿宋" w:eastAsia="仿宋" w:cs="仿宋"/>
          <w:sz w:val="30"/>
          <w:szCs w:val="30"/>
          <w:woUserID w:val="1"/>
        </w:rPr>
        <w:t>本文的核心思路是将房价预测转化为一个多元回归问题，以宏观经济指标GDP和居民收入水平作为解释变量。与仅使用时间序列趋势外推的方法相比，本模型从经济学因果关系出发，具有更强的解释性和外推能力。最终，本文利用该模型对2010—2013年的房价走势进行了预测，预测结果合理，可为房地产市场分析和政策制定提供参考。</w:t>
      </w:r>
    </w:p>
    <w:p w14:paraId="4B2CBC29">
      <w:pPr>
        <w:ind w:firstLine="420"/>
        <w:rPr>
          <w:rFonts w:hint="default" w:ascii="仿宋" w:hAnsi="仿宋" w:eastAsia="仿宋" w:cs="仿宋"/>
          <w:sz w:val="30"/>
          <w:szCs w:val="30"/>
          <w:woUserID w:val="1"/>
        </w:rPr>
      </w:pPr>
      <w:r>
        <w:rPr>
          <w:rFonts w:hint="default" w:ascii="仿宋" w:hAnsi="仿宋" w:eastAsia="仿宋" w:cs="仿宋"/>
          <w:sz w:val="30"/>
          <w:szCs w:val="30"/>
          <w:woUserID w:val="1"/>
        </w:rPr>
        <w:t>关键词：房价预测；多元线性回归；最小二乘法；留一交叉验证；GDP</w:t>
      </w:r>
    </w:p>
    <w:p w14:paraId="072786A2">
      <w:pPr>
        <w:rPr>
          <w:woUserID w:val="1"/>
        </w:rPr>
      </w:pPr>
      <w:r>
        <w:rPr>
          <w:woUserID w:val="1"/>
        </w:rPr>
        <w:br w:type="page"/>
      </w:r>
    </w:p>
    <w:p w14:paraId="5AE20590">
      <w:pPr>
        <w:ind w:left="0" w:leftChars="0" w:firstLine="0" w:firstLineChars="0"/>
        <w:rPr>
          <w:rFonts w:hint="default" w:ascii="仿宋" w:hAnsi="仿宋" w:eastAsia="仿宋" w:cs="仿宋"/>
          <w:sz w:val="30"/>
          <w:szCs w:val="30"/>
        </w:rPr>
        <w:sectPr>
          <w:footerReference r:id="rId5" w:type="default"/>
          <w:pgSz w:w="12240" w:h="15840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</w:p>
    <w:p w14:paraId="03D34E1C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目录</w:t>
      </w:r>
    </w:p>
    <w:p w14:paraId="4D0ECC52">
      <w:pPr>
        <w:pStyle w:val="26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"1-2" \h \z \u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_Toc1990108150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摘要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_Toc1990108150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21D458C5">
      <w:pPr>
        <w:pStyle w:val="26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_Toc1824087924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1. 问题重述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_Toc1824087924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4026F68">
      <w:pPr>
        <w:pStyle w:val="29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_Toc1572540263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1.1 问题背景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_Toc1572540263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EF7707E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_Toc1856641007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1.2 问题描述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4</w:t>
      </w:r>
    </w:p>
    <w:p w14:paraId="5257AF18">
      <w:pPr>
        <w:pStyle w:val="26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_Toc825075305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2. 模型假设与符号说明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4</w:t>
      </w:r>
    </w:p>
    <w:p w14:paraId="7B004372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_Toc239467562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2.1 模型假设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4</w:t>
      </w:r>
    </w:p>
    <w:p w14:paraId="7FD52AF8">
      <w:pPr>
        <w:pStyle w:val="29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_Toc593603432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2.2 符号说明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_Toc593603432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4D3E92E4">
      <w:pPr>
        <w:pStyle w:val="26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_Toc2017911276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3. 问题一：相关性分析与模型建立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_Toc2017911276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102A446">
      <w:pPr>
        <w:pStyle w:val="29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_Toc378245026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3.1 问题分析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_Toc378245026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682F01F9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_Toc1072937533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3.2 模型建立</w:t>
      </w:r>
      <w:r>
        <w:rPr>
          <w:rFonts w:hint="eastAsia" w:ascii="黑体" w:hAnsi="黑体" w:eastAsia="黑体" w:cs="黑体"/>
          <w:sz w:val="24"/>
          <w:szCs w:val="24"/>
          <w:lang w:eastAsia="zh"/>
          <w:woUserID w:val="1"/>
        </w:rPr>
        <w:t>（</w:t>
      </w:r>
      <w:r>
        <w:rPr>
          <w:rFonts w:hint="eastAsia" w:ascii="黑体" w:hAnsi="黑体" w:eastAsia="黑体" w:cs="黑体"/>
          <w:sz w:val="24"/>
          <w:woUserID w:val="1"/>
        </w:rPr>
        <w:t>二元线性回归模型</w:t>
      </w:r>
      <w:r>
        <w:rPr>
          <w:rFonts w:hint="eastAsia" w:ascii="黑体" w:hAnsi="黑体" w:eastAsia="黑体" w:cs="黑体"/>
          <w:sz w:val="24"/>
          <w:lang w:eastAsia="zh"/>
          <w:woUserID w:val="1"/>
        </w:rPr>
        <w:t>）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5</w:t>
      </w:r>
    </w:p>
    <w:p w14:paraId="73D94380">
      <w:pPr>
        <w:pStyle w:val="29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_Toc598579575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 xml:space="preserve">3.3 </w:t>
      </w:r>
      <w:r>
        <w:rPr>
          <w:rFonts w:hint="eastAsia" w:ascii="黑体" w:hAnsi="黑体" w:eastAsia="黑体"/>
          <w:sz w:val="24"/>
          <w:szCs w:val="24"/>
          <w:lang w:eastAsia="zh"/>
          <w:woUserID w:val="1"/>
        </w:rPr>
        <w:t>使用python进行</w:t>
      </w:r>
      <w:r>
        <w:rPr>
          <w:rFonts w:ascii="黑体" w:hAnsi="黑体" w:eastAsia="黑体"/>
          <w:sz w:val="24"/>
          <w:szCs w:val="24"/>
        </w:rPr>
        <w:t>模型求解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_Toc598579575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B5E07F9">
      <w:pPr>
        <w:pStyle w:val="26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_Toc1145855864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4. 问题二：模型检验与评估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_Toc1145855864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16F6559D">
      <w:pPr>
        <w:pStyle w:val="29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_Toc1506218168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4.1 问题分析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_Toc1506218168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351DC8FD">
      <w:pPr>
        <w:pStyle w:val="29"/>
        <w:tabs>
          <w:tab w:val="right" w:leader="dot" w:pos="8640"/>
        </w:tabs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_Toc1015007032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4.2 模型检验</w:t>
      </w:r>
      <w:r>
        <w:rPr>
          <w:rFonts w:hint="eastAsia" w:ascii="黑体" w:hAnsi="黑体" w:eastAsia="黑体"/>
          <w:sz w:val="24"/>
          <w:szCs w:val="24"/>
          <w:lang w:eastAsia="zh"/>
          <w:woUserID w:val="1"/>
        </w:rPr>
        <w:t>：计算</w:t>
      </w:r>
      <w:r>
        <w:rPr>
          <w:rFonts w:hint="default" w:ascii="Cambria Math" w:hAnsi="Cambria Math" w:eastAsia="宋体" w:cs="Cambria Math"/>
          <w:sz w:val="24"/>
          <w:woUserID w:val="1"/>
        </w:rPr>
        <w:t>R²</w:t>
      </w:r>
      <w:r>
        <w:rPr>
          <w:rFonts w:hint="eastAsia" w:ascii="黑体" w:hAnsi="黑体" w:eastAsia="黑体" w:cs="黑体"/>
          <w:sz w:val="24"/>
          <w:lang w:eastAsia="zh"/>
          <w:woUserID w:val="1"/>
        </w:rPr>
        <w:t>以及</w:t>
      </w:r>
      <w:r>
        <w:rPr>
          <w:rFonts w:hint="eastAsia" w:ascii="黑体" w:hAnsi="黑体" w:eastAsia="黑体" w:cs="黑体"/>
          <w:sz w:val="24"/>
          <w:woUserID w:val="1"/>
        </w:rPr>
        <w:t>交叉验证MAPE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_Toc1015007032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end"/>
      </w:r>
    </w:p>
    <w:p w14:paraId="5977AB1C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_Toc1932772177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4.3 拟合结果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8</w:t>
      </w:r>
    </w:p>
    <w:p w14:paraId="19191849">
      <w:pPr>
        <w:pStyle w:val="26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_Toc2125133405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5. 问题三：2010—2013年房价预测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9</w:t>
      </w:r>
    </w:p>
    <w:p w14:paraId="5568820E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  <w:woUserID w:val="1"/>
        </w:rPr>
        <w:fldChar w:fldCharType="begin"/>
      </w:r>
      <w:r>
        <w:rPr>
          <w:sz w:val="24"/>
          <w:szCs w:val="24"/>
          <w:woUserID w:val="1"/>
        </w:rPr>
        <w:instrText xml:space="preserve"> HYPERLINK \l _Toc1609594866 </w:instrText>
      </w:r>
      <w:r>
        <w:rPr>
          <w:sz w:val="24"/>
          <w:szCs w:val="24"/>
          <w:woUserID w:val="1"/>
        </w:rPr>
        <w:fldChar w:fldCharType="separate"/>
      </w:r>
      <w:r>
        <w:rPr>
          <w:rFonts w:ascii="黑体" w:hAnsi="黑体" w:eastAsia="黑体"/>
          <w:sz w:val="24"/>
          <w:szCs w:val="24"/>
          <w:woUserID w:val="1"/>
        </w:rPr>
        <w:t>5.</w:t>
      </w:r>
      <w:r>
        <w:rPr>
          <w:rFonts w:hint="eastAsia" w:ascii="黑体" w:hAnsi="黑体" w:eastAsia="黑体"/>
          <w:sz w:val="24"/>
          <w:szCs w:val="24"/>
          <w:lang w:eastAsia="zh"/>
          <w:woUserID w:val="1"/>
        </w:rPr>
        <w:t>1</w:t>
      </w:r>
      <w:r>
        <w:rPr>
          <w:rFonts w:ascii="黑体" w:hAnsi="黑体" w:eastAsia="黑体"/>
          <w:sz w:val="24"/>
          <w:szCs w:val="24"/>
          <w:woUserID w:val="1"/>
        </w:rPr>
        <w:t xml:space="preserve"> </w:t>
      </w:r>
      <w:r>
        <w:rPr>
          <w:rFonts w:hint="eastAsia" w:ascii="黑体" w:hAnsi="黑体" w:eastAsia="黑体"/>
          <w:sz w:val="24"/>
          <w:szCs w:val="24"/>
          <w:lang w:eastAsia="zh"/>
          <w:woUserID w:val="1"/>
        </w:rPr>
        <w:t>问题分析</w:t>
      </w:r>
      <w:r>
        <w:rPr>
          <w:sz w:val="24"/>
          <w:szCs w:val="24"/>
          <w:woUserID w:val="1"/>
        </w:rPr>
        <w:tab/>
      </w:r>
      <w:r>
        <w:rPr>
          <w:sz w:val="24"/>
          <w:szCs w:val="24"/>
          <w:woUserID w:val="1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9</w:t>
      </w:r>
    </w:p>
    <w:p w14:paraId="238D01D9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_Toc1609594866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 xml:space="preserve">5.2 </w:t>
      </w:r>
      <w:r>
        <w:rPr>
          <w:rFonts w:hint="eastAsia" w:ascii="黑体" w:hAnsi="黑体" w:eastAsia="黑体"/>
          <w:sz w:val="24"/>
          <w:szCs w:val="24"/>
          <w:lang w:eastAsia="zh"/>
          <w:woUserID w:val="1"/>
        </w:rPr>
        <w:t>以</w:t>
      </w:r>
      <w:r>
        <w:rPr>
          <w:rFonts w:hint="eastAsia" w:ascii="黑体" w:hAnsi="黑体" w:eastAsia="黑体" w:cs="黑体"/>
          <w:sz w:val="24"/>
          <w:woUserID w:val="1"/>
        </w:rPr>
        <w:t>复合增长率</w:t>
      </w:r>
      <w:r>
        <w:rPr>
          <w:rFonts w:ascii="黑体" w:hAnsi="黑体" w:eastAsia="黑体"/>
          <w:sz w:val="24"/>
          <w:szCs w:val="24"/>
        </w:rPr>
        <w:t>外推估计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9</w:t>
      </w:r>
    </w:p>
    <w:p w14:paraId="76421F7C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_Toc1227930333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5.3 预测结果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9</w:t>
      </w:r>
    </w:p>
    <w:p w14:paraId="0C9937DF">
      <w:pPr>
        <w:pStyle w:val="26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_Toc219693021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6. 模型评价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10</w:t>
      </w:r>
    </w:p>
    <w:p w14:paraId="3B305B68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_Toc537805898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6.1 模型的创新点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10</w:t>
      </w:r>
    </w:p>
    <w:p w14:paraId="76997AF8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_Toc1444700230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6.2 模型的优点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10</w:t>
      </w:r>
    </w:p>
    <w:p w14:paraId="3198267D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_Toc581863495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6.3 模型的缺点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10</w:t>
      </w:r>
    </w:p>
    <w:p w14:paraId="01505FED">
      <w:pPr>
        <w:pStyle w:val="29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_Toc1471270817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6.4 未来展望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10</w:t>
      </w:r>
    </w:p>
    <w:p w14:paraId="67826AA9">
      <w:pPr>
        <w:pStyle w:val="26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_Toc1723971334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参考文献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11</w:t>
      </w:r>
    </w:p>
    <w:p w14:paraId="7F60D1DC">
      <w:pPr>
        <w:pStyle w:val="26"/>
        <w:tabs>
          <w:tab w:val="right" w:leader="dot" w:pos="8640"/>
        </w:tabs>
        <w:rPr>
          <w:rFonts w:hint="eastAsia" w:eastAsia="宋体"/>
          <w:sz w:val="24"/>
          <w:szCs w:val="24"/>
          <w:lang w:eastAsia="zh"/>
          <w:woUserID w:val="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_Toc475695890 </w:instrText>
      </w:r>
      <w:r>
        <w:rPr>
          <w:sz w:val="24"/>
          <w:szCs w:val="24"/>
        </w:rPr>
        <w:fldChar w:fldCharType="separate"/>
      </w:r>
      <w:r>
        <w:rPr>
          <w:rFonts w:ascii="黑体" w:hAnsi="黑体" w:eastAsia="黑体"/>
          <w:sz w:val="24"/>
          <w:szCs w:val="24"/>
        </w:rPr>
        <w:t>附录：Python源代码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eastAsia="zh"/>
          <w:woUserID w:val="1"/>
        </w:rPr>
        <w:t>11</w:t>
      </w:r>
    </w:p>
    <w:p w14:paraId="69B77807">
      <w:pPr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7A7E782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1ACDFA7">
      <w:pPr>
        <w:pStyle w:val="3"/>
      </w:pPr>
      <w:bookmarkStart w:id="1" w:name="_Toc1824087924"/>
      <w:r>
        <w:rPr>
          <w:rFonts w:ascii="黑体" w:hAnsi="黑体" w:eastAsia="黑体"/>
          <w:b/>
          <w:sz w:val="28"/>
        </w:rPr>
        <w:t>1. 问题重述</w:t>
      </w:r>
      <w:bookmarkEnd w:id="1"/>
    </w:p>
    <w:p w14:paraId="6E3BB55C">
      <w:pPr>
        <w:pStyle w:val="4"/>
      </w:pPr>
      <w:bookmarkStart w:id="2" w:name="_Toc1572540263"/>
      <w:r>
        <w:rPr>
          <w:rFonts w:ascii="黑体" w:hAnsi="黑体" w:eastAsia="黑体"/>
          <w:b/>
          <w:sz w:val="26"/>
        </w:rPr>
        <w:t>1.1 问题背景</w:t>
      </w:r>
      <w:bookmarkEnd w:id="2"/>
    </w:p>
    <w:p w14:paraId="5520C504">
      <w:pPr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房地产市场是国民经济的重要支柱产业之一，房价的波动直接关系到居民的生活质量、财富分配以及宏观经济的稳定。近年来，随着我国城市化进程加快和经济的持续增长，房价呈现出明显的上升趋势。准确预测房价走势，对于政府制定房地产调控政策、开发商进行投资决策以及居民合理安排购房计划都具有重要意义。</w:t>
      </w:r>
    </w:p>
    <w:p w14:paraId="33BDF2E5">
      <w:pPr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4"/>
        </w:rPr>
        <w:t>传统的房价预测方法主要包括时间序列法、特征价格法（Hedonic模型）以及机器学习方法等。时间序列法仅利用历史价格数据进行趋势外推，忽略了影响房价的宏观经济因素；特征价格法需要大量微观层面的房屋属性数据，数据获取难度大；机器学习方法虽然拟合能力强，但模型解释性较差。本文采用多元线性回归方法，基于宏观经济指标GDP和居民收入，建立一个既具有经济解释力又具备良好预测精度的房价预测模型。</w:t>
      </w:r>
    </w:p>
    <w:p w14:paraId="266A7949">
      <w:pPr>
        <w:pStyle w:val="4"/>
      </w:pPr>
      <w:bookmarkStart w:id="3" w:name="_Toc1856641007"/>
      <w:r>
        <w:rPr>
          <w:rFonts w:ascii="黑体" w:hAnsi="黑体" w:eastAsia="黑体"/>
          <w:b/>
          <w:sz w:val="26"/>
        </w:rPr>
        <w:t>1.2 问题描述</w:t>
      </w:r>
      <w:bookmarkEnd w:id="3"/>
    </w:p>
    <w:p w14:paraId="3FBDD8BD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基于上述背景，本文使用1997—2009年的以下数据：中国商品房平均销售价格（元/平方米）、国内生产总值GDP（亿元）和城镇居民人均可支配收入（元）。本文需要解决以下四个问题：</w:t>
      </w:r>
    </w:p>
    <w:p w14:paraId="75104D6E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问题一：分析房价与GDP、居民收入之间的相关关系，建立房价预测的多元线性回归模型，并对模型进行参数估计。</w:t>
      </w:r>
    </w:p>
    <w:p w14:paraId="2B51323C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问题二：对模型进行检验与评估，包括拟合优度R²检验和留一交叉验证（LOOCV），评估模型的预测精度和泛化能力。</w:t>
      </w:r>
    </w:p>
    <w:p w14:paraId="73E9E1D0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问题三：基于历史数据增长率，对2010—2013年的GDP和居民收入进行合理预测，并代入模型计算对应年份的房价预测值。</w:t>
      </w:r>
    </w:p>
    <w:p w14:paraId="5AFFA3F1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问题四：对模型进行全面评价，分析模型的创新点、优点和局限性，并提出改进方向。</w:t>
      </w:r>
    </w:p>
    <w:p w14:paraId="72F4F587">
      <w:pPr>
        <w:pStyle w:val="3"/>
      </w:pPr>
      <w:bookmarkStart w:id="4" w:name="_Toc825075305"/>
      <w:r>
        <w:rPr>
          <w:rFonts w:ascii="黑体" w:hAnsi="黑体" w:eastAsia="黑体"/>
          <w:b/>
          <w:sz w:val="28"/>
        </w:rPr>
        <w:t>2. 模型假设与符号说明</w:t>
      </w:r>
      <w:bookmarkEnd w:id="4"/>
    </w:p>
    <w:p w14:paraId="0C6334CF">
      <w:pPr>
        <w:pStyle w:val="4"/>
      </w:pPr>
      <w:bookmarkStart w:id="5" w:name="_Toc239467562"/>
      <w:r>
        <w:rPr>
          <w:rFonts w:ascii="黑体" w:hAnsi="黑体" w:eastAsia="黑体"/>
          <w:b/>
          <w:sz w:val="26"/>
        </w:rPr>
        <w:t>2.1 模型假设</w:t>
      </w:r>
      <w:bookmarkEnd w:id="5"/>
    </w:p>
    <w:p w14:paraId="0C22D2EC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1. 假设房价与GDP、居民收入之间的关系是线性的，即满足多元线性回归模型的基本形式。</w:t>
      </w:r>
    </w:p>
    <w:p w14:paraId="47CE60BB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2. 假设各年份数据之间相互独立，不存在自相关性。</w:t>
      </w:r>
    </w:p>
    <w:p w14:paraId="51A02786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3. 假设误差项服从均值为零的正态分布，且具有同方差性。</w:t>
      </w:r>
    </w:p>
    <w:p w14:paraId="6D3BF1A2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4. 假设GDP和居民收入之间不存在完全多重共线性。</w:t>
      </w:r>
    </w:p>
    <w:p w14:paraId="075E35D6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5. 假设未来年份GDP和居民收入按照近三年的平均增长率持续增长。</w:t>
      </w:r>
    </w:p>
    <w:p w14:paraId="14884AAF">
      <w:pPr>
        <w:pStyle w:val="4"/>
      </w:pPr>
      <w:bookmarkStart w:id="6" w:name="_Toc593603432"/>
      <w:r>
        <w:rPr>
          <w:rFonts w:ascii="黑体" w:hAnsi="黑体" w:eastAsia="黑体"/>
          <w:b/>
          <w:sz w:val="26"/>
        </w:rPr>
        <w:t>2.2 符号说明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69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32A11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符号</w:t>
            </w:r>
          </w:p>
        </w:tc>
        <w:tc>
          <w:tcPr>
            <w:tcW w:w="2880" w:type="dxa"/>
          </w:tcPr>
          <w:p w14:paraId="4D7F59D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含义</w:t>
            </w:r>
          </w:p>
        </w:tc>
        <w:tc>
          <w:tcPr>
            <w:tcW w:w="2880" w:type="dxa"/>
          </w:tcPr>
          <w:p w14:paraId="1E94D72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单位</w:t>
            </w:r>
          </w:p>
        </w:tc>
      </w:tr>
      <w:tr w14:paraId="5497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E7B673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y</w:t>
            </w:r>
          </w:p>
        </w:tc>
        <w:tc>
          <w:tcPr>
            <w:tcW w:w="2880" w:type="dxa"/>
          </w:tcPr>
          <w:p w14:paraId="362F17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商品房平均销售价格</w:t>
            </w:r>
          </w:p>
        </w:tc>
        <w:tc>
          <w:tcPr>
            <w:tcW w:w="2880" w:type="dxa"/>
          </w:tcPr>
          <w:p w14:paraId="72AF87E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元/平方米</w:t>
            </w:r>
          </w:p>
        </w:tc>
      </w:tr>
      <w:tr w14:paraId="63FFE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231BAF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x₁</w:t>
            </w:r>
          </w:p>
        </w:tc>
        <w:tc>
          <w:tcPr>
            <w:tcW w:w="2880" w:type="dxa"/>
          </w:tcPr>
          <w:p w14:paraId="7B341E2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国内生产总值（GDP）</w:t>
            </w:r>
          </w:p>
        </w:tc>
        <w:tc>
          <w:tcPr>
            <w:tcW w:w="2880" w:type="dxa"/>
          </w:tcPr>
          <w:p w14:paraId="202A615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亿元</w:t>
            </w:r>
          </w:p>
        </w:tc>
      </w:tr>
      <w:tr w14:paraId="0382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1CCF2434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x₂</w:t>
            </w:r>
          </w:p>
        </w:tc>
        <w:tc>
          <w:tcPr>
            <w:tcW w:w="2880" w:type="dxa"/>
          </w:tcPr>
          <w:p w14:paraId="63C8E3C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城镇居民人均可支配收入</w:t>
            </w:r>
          </w:p>
        </w:tc>
        <w:tc>
          <w:tcPr>
            <w:tcW w:w="2880" w:type="dxa"/>
          </w:tcPr>
          <w:p w14:paraId="67E04DC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元</w:t>
            </w:r>
          </w:p>
        </w:tc>
      </w:tr>
      <w:tr w14:paraId="5F41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539AB8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β₀</w:t>
            </w:r>
          </w:p>
        </w:tc>
        <w:tc>
          <w:tcPr>
            <w:tcW w:w="2880" w:type="dxa"/>
          </w:tcPr>
          <w:p w14:paraId="7D264D75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回归截距项</w:t>
            </w:r>
          </w:p>
        </w:tc>
        <w:tc>
          <w:tcPr>
            <w:tcW w:w="2880" w:type="dxa"/>
          </w:tcPr>
          <w:p w14:paraId="726B8D5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</w:tr>
      <w:tr w14:paraId="10A7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8A3948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β₁</w:t>
            </w:r>
          </w:p>
        </w:tc>
        <w:tc>
          <w:tcPr>
            <w:tcW w:w="2880" w:type="dxa"/>
          </w:tcPr>
          <w:p w14:paraId="371FA83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GDP的回归系数</w:t>
            </w:r>
          </w:p>
        </w:tc>
        <w:tc>
          <w:tcPr>
            <w:tcW w:w="2880" w:type="dxa"/>
          </w:tcPr>
          <w:p w14:paraId="5FBC483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</w:tr>
      <w:tr w14:paraId="35B7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234F2C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β₂</w:t>
            </w:r>
          </w:p>
        </w:tc>
        <w:tc>
          <w:tcPr>
            <w:tcW w:w="2880" w:type="dxa"/>
          </w:tcPr>
          <w:p w14:paraId="36E3019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收入的回归系数</w:t>
            </w:r>
          </w:p>
        </w:tc>
        <w:tc>
          <w:tcPr>
            <w:tcW w:w="2880" w:type="dxa"/>
          </w:tcPr>
          <w:p w14:paraId="7915E5F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</w:tr>
      <w:tr w14:paraId="4C374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779E7E5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n</w:t>
            </w:r>
          </w:p>
        </w:tc>
        <w:tc>
          <w:tcPr>
            <w:tcW w:w="2880" w:type="dxa"/>
          </w:tcPr>
          <w:p w14:paraId="76C65B0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样本数量（13年）</w:t>
            </w:r>
          </w:p>
        </w:tc>
        <w:tc>
          <w:tcPr>
            <w:tcW w:w="2880" w:type="dxa"/>
          </w:tcPr>
          <w:p w14:paraId="384DFE3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</w:tr>
      <w:tr w14:paraId="55AA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CB03F2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R²</w:t>
            </w:r>
          </w:p>
        </w:tc>
        <w:tc>
          <w:tcPr>
            <w:tcW w:w="2880" w:type="dxa"/>
          </w:tcPr>
          <w:p w14:paraId="5F9D296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决定系数（拟合优度）</w:t>
            </w:r>
          </w:p>
        </w:tc>
        <w:tc>
          <w:tcPr>
            <w:tcW w:w="2880" w:type="dxa"/>
          </w:tcPr>
          <w:p w14:paraId="5CAF226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</w:tr>
      <w:tr w14:paraId="1109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72A91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MAPE</w:t>
            </w:r>
          </w:p>
        </w:tc>
        <w:tc>
          <w:tcPr>
            <w:tcW w:w="2880" w:type="dxa"/>
          </w:tcPr>
          <w:p w14:paraId="27ABC46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平均绝对百分比误差</w:t>
            </w:r>
          </w:p>
        </w:tc>
        <w:tc>
          <w:tcPr>
            <w:tcW w:w="2880" w:type="dxa"/>
          </w:tcPr>
          <w:p w14:paraId="1AB05991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%</w:t>
            </w:r>
          </w:p>
        </w:tc>
      </w:tr>
      <w:tr w14:paraId="2AAC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485C02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ε</w:t>
            </w:r>
          </w:p>
        </w:tc>
        <w:tc>
          <w:tcPr>
            <w:tcW w:w="2880" w:type="dxa"/>
          </w:tcPr>
          <w:p w14:paraId="77EA2EA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随机误差项</w:t>
            </w:r>
          </w:p>
        </w:tc>
        <w:tc>
          <w:tcPr>
            <w:tcW w:w="2880" w:type="dxa"/>
          </w:tcPr>
          <w:p w14:paraId="6A1EA23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0FB60891"/>
    <w:p w14:paraId="75E3B883">
      <w:pPr>
        <w:pStyle w:val="3"/>
      </w:pPr>
      <w:bookmarkStart w:id="7" w:name="_Toc2017911276"/>
      <w:r>
        <w:rPr>
          <w:rFonts w:ascii="黑体" w:hAnsi="黑体" w:eastAsia="黑体"/>
          <w:b/>
          <w:sz w:val="28"/>
        </w:rPr>
        <w:t>3. 问题一：相关性分析与模型建立</w:t>
      </w:r>
      <w:bookmarkEnd w:id="7"/>
    </w:p>
    <w:p w14:paraId="56EEC5B3">
      <w:pPr>
        <w:pStyle w:val="4"/>
      </w:pPr>
      <w:bookmarkStart w:id="8" w:name="_Toc378245026"/>
      <w:r>
        <w:rPr>
          <w:rFonts w:ascii="黑体" w:hAnsi="黑体" w:eastAsia="黑体"/>
          <w:b/>
          <w:sz w:val="26"/>
        </w:rPr>
        <w:t>3.1 问题分析</w:t>
      </w:r>
      <w:bookmarkEnd w:id="8"/>
    </w:p>
    <w:p w14:paraId="7DA000F4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问题一要求建立房价与GDP、居民收入之间的回归模型。首先需要对变量之间的相关性进行分析，判断是否存在显著的线性关系。若相关性较强，则适合建立线性回归模型。通过计算皮尔逊相关系数，房价与GDP的相关系数为0.9826，房价与居民收入的相关系数为0.9914，两者均接近1，表明房价与两个自变量之间存在极强的正相关关系。</w:t>
      </w:r>
    </w:p>
    <w:p w14:paraId="6D390858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进一步分析，GDP反映了整体经济规模和发展水平，经济越发达，房地产市场需求越旺盛，推动房价上涨；居民可支配收入则直接决定了购房能力和消费水平，收入增长为房价提供了购买力支撑。因此，选择GDP和居民收入作为解释变量具有坚实的经济学基础。</w:t>
      </w:r>
    </w:p>
    <w:p w14:paraId="69912C47">
      <w:pPr>
        <w:pStyle w:val="4"/>
        <w:rPr>
          <w:rFonts w:hint="eastAsia" w:ascii="Cambria Math" w:hAnsi="Cambria Math" w:eastAsia="黑体" w:cs="Cambria Math"/>
          <w:lang w:eastAsia="zh"/>
          <w:woUserID w:val="1"/>
        </w:rPr>
      </w:pPr>
      <w:bookmarkStart w:id="9" w:name="_Toc1072937533"/>
      <w:r>
        <w:rPr>
          <w:rFonts w:ascii="黑体" w:hAnsi="黑体" w:eastAsia="黑体"/>
          <w:b/>
          <w:sz w:val="26"/>
        </w:rPr>
        <w:t xml:space="preserve">3.2 </w:t>
      </w:r>
      <w:bookmarkEnd w:id="9"/>
      <w:r>
        <w:rPr>
          <w:rFonts w:hint="eastAsia" w:ascii="黑体" w:hAnsi="黑体" w:eastAsia="黑体"/>
          <w:b/>
          <w:sz w:val="26"/>
          <w:lang w:eastAsia="zh"/>
          <w:woUserID w:val="1"/>
        </w:rPr>
        <w:t>模型建立</w:t>
      </w:r>
      <w:r>
        <w:rPr>
          <w:rFonts w:hint="eastAsia" w:ascii="黑体" w:hAnsi="黑体" w:eastAsia="黑体" w:cs="黑体"/>
          <w:sz w:val="24"/>
          <w:szCs w:val="24"/>
          <w:lang w:eastAsia="zh"/>
          <w:woUserID w:val="1"/>
        </w:rPr>
        <w:t>（</w:t>
      </w:r>
      <w:r>
        <w:rPr>
          <w:rFonts w:hint="eastAsia" w:ascii="黑体" w:hAnsi="黑体" w:eastAsia="黑体" w:cs="黑体"/>
          <w:sz w:val="24"/>
          <w:szCs w:val="24"/>
          <w:lang w:eastAsia="zh"/>
          <w:woUserID w:val="1"/>
        </w:rPr>
        <w:t>二元线性回归模型）</w:t>
      </w:r>
    </w:p>
    <w:p w14:paraId="64F1FAD2">
      <w:pPr>
        <w:ind w:firstLine="420"/>
        <w:rPr>
          <w:rFonts w:hint="default" w:ascii="Cambria Math" w:hAnsi="Cambria Math" w:eastAsia="Microsoft JhengHei" w:cs="Cambria Math"/>
        </w:rPr>
      </w:pPr>
      <w:r>
        <w:rPr>
          <w:rFonts w:hint="default" w:ascii="Cambria Math" w:hAnsi="Cambria Math" w:eastAsia="Microsoft JhengHei" w:cs="Cambria Math"/>
          <w:sz w:val="24"/>
        </w:rPr>
        <w:t>y = β₀ + β₁·x₁ + β₂·x₂ + ε</w:t>
      </w:r>
    </w:p>
    <w:p w14:paraId="0E919247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其中，y表示商品房平均销售价格，</w:t>
      </w:r>
      <w:r>
        <w:rPr>
          <w:rFonts w:hint="default" w:ascii="Cambria Math" w:hAnsi="Cambria Math" w:eastAsia="宋体" w:cs="Cambria Math"/>
          <w:sz w:val="24"/>
        </w:rPr>
        <w:t>x₁表示GDP，</w:t>
      </w:r>
      <w:r>
        <w:rPr>
          <w:rFonts w:hint="default" w:ascii="Cambria Math" w:hAnsi="Cambria Math" w:eastAsia="宋体" w:cs="Cambria Math"/>
          <w:sz w:val="24"/>
        </w:rPr>
        <w:t>x₂表示居民人均可支配收入，</w:t>
      </w:r>
      <w:r>
        <w:rPr>
          <w:rFonts w:hint="default" w:ascii="Cambria Math" w:hAnsi="Cambria Math" w:eastAsia="宋体" w:cs="Cambria Math"/>
          <w:sz w:val="24"/>
        </w:rPr>
        <w:t>β₀、β₁、β₂为待估参数，</w:t>
      </w:r>
      <w:r>
        <w:rPr>
          <w:rFonts w:hint="default" w:ascii="Cambria Math" w:hAnsi="Cambria Math" w:eastAsia="宋体" w:cs="Cambria Math"/>
          <w:sz w:val="24"/>
        </w:rPr>
        <w:t>ε为随机误差项。</w:t>
      </w:r>
    </w:p>
    <w:p w14:paraId="203A379D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采用普通最小二乘法（OLS）进行参数估计，最小化残差平方和：</w:t>
      </w:r>
    </w:p>
    <w:p w14:paraId="768AF2CF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min Σ(yᵢ − ŷᵢ)² = min Σ(yᵢ − β₀ − β₁x₁ᵢ − β₂x₂ᵢ)²</w:t>
      </w:r>
    </w:p>
    <w:p w14:paraId="2BFDD104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其矩阵形式的解为：</w:t>
      </w:r>
      <w:r>
        <w:rPr>
          <w:rFonts w:hint="default" w:ascii="Cambria Math" w:hAnsi="Cambria Math" w:eastAsia="宋体" w:cs="Cambria Math"/>
          <w:sz w:val="24"/>
        </w:rPr>
        <w:t>β = (XᵀX)⁻¹Xᵀy</w:t>
      </w:r>
    </w:p>
    <w:p w14:paraId="7723006C">
      <w:pPr>
        <w:pStyle w:val="4"/>
      </w:pPr>
      <w:bookmarkStart w:id="10" w:name="_Toc598579575"/>
      <w:r>
        <w:rPr>
          <w:rFonts w:ascii="黑体" w:hAnsi="黑体" w:eastAsia="黑体"/>
          <w:b/>
          <w:sz w:val="26"/>
        </w:rPr>
        <w:t xml:space="preserve">3.3 </w:t>
      </w:r>
      <w:r>
        <w:rPr>
          <w:rFonts w:hint="eastAsia" w:ascii="黑体" w:hAnsi="黑体" w:eastAsia="黑体"/>
          <w:sz w:val="26"/>
          <w:szCs w:val="26"/>
          <w:lang w:eastAsia="zh"/>
          <w:woUserID w:val="1"/>
        </w:rPr>
        <w:t>使用python进行</w:t>
      </w:r>
      <w:r>
        <w:rPr>
          <w:rFonts w:ascii="黑体" w:hAnsi="黑体" w:eastAsia="黑体"/>
          <w:b/>
          <w:sz w:val="26"/>
        </w:rPr>
        <w:t>模型求解</w:t>
      </w:r>
      <w:bookmarkEnd w:id="10"/>
    </w:p>
    <w:p w14:paraId="68A74151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利用Python编程，基于1997—2009年共13组数据进行回归计算，求得模型参数如下：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0"/>
        <w:gridCol w:w="4320"/>
      </w:tblGrid>
      <w:tr w14:paraId="4656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4380" w:type="dxa"/>
          </w:tcPr>
          <w:p w14:paraId="2849CA18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参数</w:t>
            </w:r>
          </w:p>
        </w:tc>
        <w:tc>
          <w:tcPr>
            <w:tcW w:w="4320" w:type="dxa"/>
          </w:tcPr>
          <w:p w14:paraId="1BE529C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估计值</w:t>
            </w:r>
          </w:p>
        </w:tc>
      </w:tr>
      <w:tr w14:paraId="4CD6A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80" w:type="dxa"/>
          </w:tcPr>
          <w:p w14:paraId="0A77DE7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β₀（截距）</w:t>
            </w:r>
          </w:p>
        </w:tc>
        <w:tc>
          <w:tcPr>
            <w:tcW w:w="4320" w:type="dxa"/>
          </w:tcPr>
          <w:p w14:paraId="72EFBCAD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-48.46</w:t>
            </w:r>
          </w:p>
        </w:tc>
      </w:tr>
      <w:tr w14:paraId="789F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80" w:type="dxa"/>
          </w:tcPr>
          <w:p w14:paraId="6E6F46F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β₁（GDP系数）</w:t>
            </w:r>
          </w:p>
        </w:tc>
        <w:tc>
          <w:tcPr>
            <w:tcW w:w="4320" w:type="dxa"/>
          </w:tcPr>
          <w:p w14:paraId="52A7EB02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0.0492</w:t>
            </w:r>
          </w:p>
        </w:tc>
      </w:tr>
      <w:tr w14:paraId="3F009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80" w:type="dxa"/>
          </w:tcPr>
          <w:p w14:paraId="14D9476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β₂（收入系数）</w:t>
            </w:r>
          </w:p>
        </w:tc>
        <w:tc>
          <w:tcPr>
            <w:tcW w:w="4320" w:type="dxa"/>
          </w:tcPr>
          <w:p w14:paraId="6AE61ADC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0.1348</w:t>
            </w:r>
          </w:p>
        </w:tc>
      </w:tr>
    </w:tbl>
    <w:p w14:paraId="767F89EB">
      <w:pPr>
        <w:rPr>
          <w:rFonts w:hint="default" w:ascii="Cambria Math" w:hAnsi="Cambria Math" w:cs="Cambria Math"/>
        </w:rPr>
      </w:pPr>
    </w:p>
    <w:p w14:paraId="2F080F36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得到的回归方程为：</w:t>
      </w:r>
    </w:p>
    <w:p w14:paraId="6655D6EA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y = -48.46 + 0.0492·GDP + 0.1348·Income</w:t>
      </w:r>
    </w:p>
    <w:p w14:paraId="0D684447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从经济学含义来看，</w:t>
      </w:r>
      <w:r>
        <w:rPr>
          <w:rFonts w:hint="default" w:ascii="Cambria Math" w:hAnsi="Cambria Math" w:eastAsia="宋体" w:cs="Cambria Math"/>
          <w:sz w:val="24"/>
        </w:rPr>
        <w:t>β₁ = 0.0492表示在居民收入不变的情况下，GDP每增加1亿元，房价平均上涨</w:t>
      </w:r>
      <w:r>
        <w:rPr>
          <w:rFonts w:hint="default" w:ascii="Cambria Math" w:hAnsi="Cambria Math" w:eastAsia="宋体" w:cs="Cambria Math"/>
          <w:sz w:val="24"/>
        </w:rPr>
        <w:t>0.0492元/平方米；</w:t>
      </w:r>
      <w:r>
        <w:rPr>
          <w:rFonts w:hint="default" w:ascii="Cambria Math" w:hAnsi="Cambria Math" w:eastAsia="宋体" w:cs="Cambria Math"/>
          <w:sz w:val="24"/>
        </w:rPr>
        <w:t>β₂ = 0.1348表示在GDP不变的情况下，居民收入每增加1元，房价平均上涨</w:t>
      </w:r>
      <w:r>
        <w:rPr>
          <w:rFonts w:hint="default" w:ascii="Cambria Math" w:hAnsi="Cambria Math" w:eastAsia="宋体" w:cs="Cambria Math"/>
          <w:sz w:val="24"/>
        </w:rPr>
        <w:t>0.1348元/平方米。截距项</w:t>
      </w:r>
      <w:r>
        <w:rPr>
          <w:rFonts w:hint="default" w:ascii="Cambria Math" w:hAnsi="Cambria Math" w:eastAsia="宋体" w:cs="Cambria Math"/>
          <w:sz w:val="24"/>
        </w:rPr>
        <w:t>β₀ = -48.46为负值，表示当GDP和收入均为零时房价的理论值，在实际经济含义中仅作为模型的数学调整项。</w:t>
      </w:r>
    </w:p>
    <w:p w14:paraId="2DE43414">
      <w:pPr>
        <w:pStyle w:val="3"/>
      </w:pPr>
      <w:bookmarkStart w:id="11" w:name="_Toc1145855864"/>
      <w:r>
        <w:rPr>
          <w:rFonts w:ascii="黑体" w:hAnsi="黑体" w:eastAsia="黑体"/>
          <w:b/>
          <w:sz w:val="28"/>
        </w:rPr>
        <w:t>4. 问题二：模型检验与评估</w:t>
      </w:r>
      <w:bookmarkEnd w:id="11"/>
    </w:p>
    <w:p w14:paraId="2BB6B653">
      <w:pPr>
        <w:pStyle w:val="4"/>
      </w:pPr>
      <w:bookmarkStart w:id="12" w:name="_Toc1506218168"/>
      <w:r>
        <w:rPr>
          <w:rFonts w:ascii="黑体" w:hAnsi="黑体" w:eastAsia="黑体"/>
          <w:b/>
          <w:sz w:val="26"/>
        </w:rPr>
        <w:t>4.1 问题分析</w:t>
      </w:r>
      <w:bookmarkEnd w:id="12"/>
    </w:p>
    <w:p w14:paraId="0F410D6B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模型建立后，需要对模型的拟合效果和预测精度进行检验。本文从两个维度进行评价：一是拟合优度R²，反映模型对历史数据的解释程度；二是留一交叉验证（LOOCV）的平均绝对百分比误差（MAPE），反映模型的泛化预测能力。</w:t>
      </w:r>
    </w:p>
    <w:p w14:paraId="54A11C54">
      <w:pPr>
        <w:ind w:firstLine="420"/>
        <w:rPr>
          <w:rFonts w:hint="default" w:ascii="Cambria Math" w:hAnsi="Cambria Math" w:cs="Cambria Math"/>
          <w:sz w:val="24"/>
          <w:lang w:eastAsia="zh"/>
          <w:woUserID w:val="1"/>
        </w:rPr>
      </w:pPr>
      <w:r>
        <w:rPr>
          <w:rFonts w:hint="default" w:ascii="Cambria Math" w:hAnsi="Cambria Math" w:eastAsia="宋体" w:cs="Cambria Math"/>
          <w:sz w:val="24"/>
        </w:rPr>
        <w:t>R²的计算公式为：</w:t>
      </w:r>
      <w:r>
        <w:rPr>
          <w:rFonts w:hint="default" w:ascii="Cambria Math" w:hAnsi="Cambria Math" w:eastAsia="宋体" w:cs="Cambria Math"/>
          <w:sz w:val="24"/>
        </w:rPr>
        <w:t xml:space="preserve">R² = 1 − </w:t>
      </w:r>
      <w:r>
        <w:rPr>
          <w:rFonts w:hint="default" w:ascii="Cambria Math" w:hAnsi="Cambria Math" w:cs="Cambria Math"/>
          <w:sz w:val="24"/>
          <w:lang w:eastAsia="zh"/>
          <w:woUserID w:val="1"/>
        </w:rPr>
        <w:t>Σ(yᵢ − ŷᵢ)²</w:t>
      </w:r>
      <w:r>
        <w:rPr>
          <w:rFonts w:hint="default" w:ascii="Cambria Math" w:hAnsi="Cambria Math" w:eastAsia="宋体" w:cs="Cambria Math"/>
          <w:sz w:val="24"/>
        </w:rPr>
        <w:t xml:space="preserve"> / </w:t>
      </w:r>
      <w:r>
        <w:rPr>
          <w:rFonts w:hint="default" w:ascii="Cambria Math" w:hAnsi="Cambria Math" w:cs="Cambria Math"/>
          <w:sz w:val="24"/>
          <w:lang w:eastAsia="zh"/>
          <w:woUserID w:val="1"/>
        </w:rPr>
        <w:t xml:space="preserve"> Σ(yᵢ − ȳ)²</w:t>
      </w:r>
    </w:p>
    <w:p w14:paraId="5F57AFEC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LOOCV的基本思路是：每次留出一个样本作为测试集，用其余n−1个样本训练模型，计算对留出样本的预测误差，重复n次后取平均。该方法在小样本场景下能最大化利用数据信息。</w:t>
      </w:r>
    </w:p>
    <w:p w14:paraId="36FCBD89">
      <w:pPr>
        <w:pStyle w:val="4"/>
        <w:rPr>
          <w:sz w:val="24"/>
          <w:szCs w:val="24"/>
        </w:rPr>
      </w:pPr>
      <w:bookmarkStart w:id="13" w:name="_Toc1015007032"/>
      <w:r>
        <w:rPr>
          <w:rFonts w:ascii="黑体" w:hAnsi="黑体" w:eastAsia="黑体"/>
          <w:b/>
          <w:sz w:val="26"/>
        </w:rPr>
        <w:t>4.2 模型检验</w:t>
      </w:r>
      <w:bookmarkEnd w:id="13"/>
      <w:r>
        <w:rPr>
          <w:rFonts w:hint="eastAsia" w:ascii="黑体" w:hAnsi="黑体" w:eastAsia="黑体"/>
          <w:sz w:val="24"/>
          <w:szCs w:val="24"/>
          <w:lang w:eastAsia="zh"/>
          <w:woUserID w:val="1"/>
        </w:rPr>
        <w:t>：</w:t>
      </w:r>
      <w:r>
        <w:rPr>
          <w:rFonts w:hint="eastAsia" w:ascii="黑体" w:hAnsi="黑体" w:eastAsia="黑体"/>
          <w:sz w:val="24"/>
          <w:szCs w:val="24"/>
          <w:lang w:eastAsia="zh"/>
          <w:woUserID w:val="1"/>
        </w:rPr>
        <w:t>计算</w:t>
      </w:r>
      <w:r>
        <w:rPr>
          <w:rFonts w:hint="default" w:ascii="Cambria Math" w:hAnsi="Cambria Math" w:eastAsia="宋体" w:cs="Cambria Math"/>
          <w:sz w:val="24"/>
          <w:szCs w:val="24"/>
          <w:woUserID w:val="1"/>
        </w:rPr>
        <w:t>R²</w:t>
      </w:r>
      <w:r>
        <w:rPr>
          <w:rFonts w:hint="eastAsia" w:ascii="黑体" w:hAnsi="黑体" w:eastAsia="黑体" w:cs="黑体"/>
          <w:sz w:val="24"/>
          <w:szCs w:val="24"/>
          <w:lang w:eastAsia="zh"/>
          <w:woUserID w:val="1"/>
        </w:rPr>
        <w:t>以及</w:t>
      </w:r>
      <w:r>
        <w:rPr>
          <w:rFonts w:hint="eastAsia" w:ascii="黑体" w:hAnsi="黑体" w:eastAsia="黑体" w:cs="黑体"/>
          <w:sz w:val="24"/>
          <w:szCs w:val="24"/>
          <w:woUserID w:val="1"/>
        </w:rPr>
        <w:t>交叉验证MAPE</w:t>
      </w:r>
    </w:p>
    <w:p w14:paraId="5569FDC7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经计算，模型的拟合优度</w:t>
      </w:r>
      <w:r>
        <w:rPr>
          <w:rFonts w:hint="default" w:ascii="Cambria Math" w:hAnsi="Cambria Math" w:eastAsia="宋体" w:cs="Cambria Math"/>
          <w:sz w:val="24"/>
        </w:rPr>
        <w:t>R² = 0.9861，表明GDP和居民收入两个变量能够解释房价变动的98.61%，模型的解释能力非常强。</w:t>
      </w:r>
    </w:p>
    <w:p w14:paraId="30357A76">
      <w:pPr>
        <w:ind w:firstLine="420"/>
        <w:jc w:val="left"/>
        <w:rPr>
          <w:rFonts w:hint="eastAsia" w:ascii="Cambria Math" w:hAnsi="Cambria Math" w:eastAsia="宋体" w:cs="Cambria Math"/>
          <w:lang w:eastAsia="zh"/>
        </w:rPr>
      </w:pPr>
      <w:r>
        <w:rPr>
          <w:rFonts w:hint="default" w:ascii="Cambria Math" w:hAnsi="Cambria Math" w:eastAsia="宋体" w:cs="Cambria Math"/>
          <w:sz w:val="24"/>
        </w:rPr>
        <w:t>留一交叉验证结果：</w:t>
      </w:r>
      <w:r>
        <w:rPr>
          <w:rFonts w:hint="default" w:ascii="Cambria Math" w:hAnsi="Cambria Math" w:eastAsia="宋体" w:cs="Cambria Math"/>
          <w:sz w:val="24"/>
        </w:rPr>
        <w:t>LOOCV MAPE = 6.81%，表明模型在样本外的平均预测误差仅为6.81%，模型具有良好的泛化能力。</w:t>
      </w:r>
      <w:r>
        <w:rPr>
          <w:rFonts w:hint="eastAsia" w:ascii="Cambria Math" w:hAnsi="Cambria Math" w:eastAsia="宋体" w:cs="Cambria Math"/>
          <w:lang w:eastAsia="zh"/>
        </w:rPr>
        <w:drawing>
          <wp:inline distT="0" distB="0" distL="114300" distR="114300">
            <wp:extent cx="5486400" cy="27432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mbria Math" w:hAnsi="Cambria Math" w:eastAsia="宋体" w:cs="Cambria Math"/>
          <w:lang w:eastAsia="zh"/>
        </w:rPr>
        <w:drawing>
          <wp:inline distT="0" distB="0" distL="114300" distR="114300">
            <wp:extent cx="5486400" cy="27432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C17F">
      <w:pPr>
        <w:pStyle w:val="4"/>
      </w:pPr>
      <w:bookmarkStart w:id="14" w:name="_Toc1932772177"/>
      <w:r>
        <w:rPr>
          <w:rFonts w:ascii="黑体" w:hAnsi="黑体" w:eastAsia="黑体"/>
          <w:b/>
          <w:sz w:val="26"/>
        </w:rPr>
        <w:t>4.3 拟合结果</w:t>
      </w:r>
      <w:bookmarkEnd w:id="14"/>
    </w:p>
    <w:p w14:paraId="75B31572">
      <w:pPr>
        <w:ind w:firstLine="420"/>
        <w:rPr>
          <w:rFonts w:hint="eastAsia" w:ascii="Cambria Math" w:hAnsi="Cambria Math" w:eastAsia="宋体" w:cs="Cambria Math"/>
          <w:lang w:eastAsia="zh"/>
        </w:rPr>
      </w:pPr>
      <w:r>
        <w:rPr>
          <w:rFonts w:hint="default" w:ascii="Cambria Math" w:hAnsi="Cambria Math" w:eastAsia="宋体" w:cs="Cambria Math"/>
          <w:sz w:val="24"/>
        </w:rPr>
        <w:t>各年份的实际房价与模型拟合值对比如下</w:t>
      </w:r>
      <w:r>
        <w:rPr>
          <w:rFonts w:hint="eastAsia" w:ascii="Cambria Math" w:hAnsi="Cambria Math" w:cs="Cambria Math"/>
          <w:sz w:val="24"/>
          <w:lang w:eastAsia="zh"/>
          <w:woUserID w:val="1"/>
        </w:rPr>
        <w:t>图和下表</w:t>
      </w:r>
      <w:r>
        <w:rPr>
          <w:rFonts w:hint="default" w:ascii="Cambria Math" w:hAnsi="Cambria Math" w:eastAsia="宋体" w:cs="Cambria Math"/>
          <w:sz w:val="24"/>
        </w:rPr>
        <w:t>所示：</w:t>
      </w:r>
      <w:r>
        <w:rPr>
          <w:rFonts w:hint="eastAsia" w:ascii="Cambria Math" w:hAnsi="Cambria Math" w:eastAsia="宋体" w:cs="Cambria Math"/>
          <w:lang w:eastAsia="zh"/>
        </w:rPr>
        <w:drawing>
          <wp:inline distT="0" distB="0" distL="114300" distR="114300">
            <wp:extent cx="5601970" cy="3112770"/>
            <wp:effectExtent l="0" t="0" r="1778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1728"/>
        <w:gridCol w:w="1728"/>
        <w:gridCol w:w="1728"/>
        <w:gridCol w:w="1728"/>
      </w:tblGrid>
      <w:tr w14:paraId="57F0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7287C132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年份</w:t>
            </w:r>
          </w:p>
        </w:tc>
        <w:tc>
          <w:tcPr>
            <w:tcW w:w="1728" w:type="dxa"/>
          </w:tcPr>
          <w:p w14:paraId="5BCDC42C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实际价格(元/㎡)</w:t>
            </w:r>
          </w:p>
        </w:tc>
        <w:tc>
          <w:tcPr>
            <w:tcW w:w="1728" w:type="dxa"/>
          </w:tcPr>
          <w:p w14:paraId="47A50974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拟合值(元/㎡)</w:t>
            </w:r>
          </w:p>
        </w:tc>
        <w:tc>
          <w:tcPr>
            <w:tcW w:w="1728" w:type="dxa"/>
          </w:tcPr>
          <w:p w14:paraId="5EFF169C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残差(元/㎡)</w:t>
            </w:r>
          </w:p>
        </w:tc>
        <w:tc>
          <w:tcPr>
            <w:tcW w:w="1728" w:type="dxa"/>
          </w:tcPr>
          <w:p w14:paraId="6164D531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相对误差(%)</w:t>
            </w:r>
          </w:p>
        </w:tc>
      </w:tr>
      <w:tr w14:paraId="3848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2E4BF69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1997</w:t>
            </w:r>
          </w:p>
        </w:tc>
        <w:tc>
          <w:tcPr>
            <w:tcW w:w="1728" w:type="dxa"/>
          </w:tcPr>
          <w:p w14:paraId="428529CC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767</w:t>
            </w:r>
          </w:p>
        </w:tc>
        <w:tc>
          <w:tcPr>
            <w:tcW w:w="1728" w:type="dxa"/>
          </w:tcPr>
          <w:p w14:paraId="59FD9C2D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821</w:t>
            </w:r>
          </w:p>
        </w:tc>
        <w:tc>
          <w:tcPr>
            <w:tcW w:w="1728" w:type="dxa"/>
          </w:tcPr>
          <w:p w14:paraId="19F746E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-54</w:t>
            </w:r>
          </w:p>
        </w:tc>
        <w:tc>
          <w:tcPr>
            <w:tcW w:w="1728" w:type="dxa"/>
          </w:tcPr>
          <w:p w14:paraId="58F2DC4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7.0</w:t>
            </w:r>
          </w:p>
        </w:tc>
      </w:tr>
      <w:tr w14:paraId="07D1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176679B2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1998</w:t>
            </w:r>
          </w:p>
        </w:tc>
        <w:tc>
          <w:tcPr>
            <w:tcW w:w="1728" w:type="dxa"/>
          </w:tcPr>
          <w:p w14:paraId="1A86118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895</w:t>
            </w:r>
          </w:p>
        </w:tc>
        <w:tc>
          <w:tcPr>
            <w:tcW w:w="1728" w:type="dxa"/>
          </w:tcPr>
          <w:p w14:paraId="0C74ABDB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830</w:t>
            </w:r>
          </w:p>
        </w:tc>
        <w:tc>
          <w:tcPr>
            <w:tcW w:w="1728" w:type="dxa"/>
          </w:tcPr>
          <w:p w14:paraId="0BD3431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65</w:t>
            </w:r>
          </w:p>
        </w:tc>
        <w:tc>
          <w:tcPr>
            <w:tcW w:w="1728" w:type="dxa"/>
          </w:tcPr>
          <w:p w14:paraId="62FDAF9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7.2</w:t>
            </w:r>
          </w:p>
        </w:tc>
      </w:tr>
      <w:tr w14:paraId="5E56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03" w:type="dxa"/>
          </w:tcPr>
          <w:p w14:paraId="727BA89F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1999</w:t>
            </w:r>
          </w:p>
        </w:tc>
        <w:tc>
          <w:tcPr>
            <w:tcW w:w="1728" w:type="dxa"/>
          </w:tcPr>
          <w:p w14:paraId="27FE18D2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995</w:t>
            </w:r>
          </w:p>
        </w:tc>
        <w:tc>
          <w:tcPr>
            <w:tcW w:w="1728" w:type="dxa"/>
          </w:tcPr>
          <w:p w14:paraId="640C752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1024</w:t>
            </w:r>
          </w:p>
        </w:tc>
        <w:tc>
          <w:tcPr>
            <w:tcW w:w="1728" w:type="dxa"/>
          </w:tcPr>
          <w:p w14:paraId="7D9BDAA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-29</w:t>
            </w:r>
          </w:p>
        </w:tc>
        <w:tc>
          <w:tcPr>
            <w:tcW w:w="1728" w:type="dxa"/>
          </w:tcPr>
          <w:p w14:paraId="1E8814B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2.9</w:t>
            </w:r>
          </w:p>
        </w:tc>
      </w:tr>
      <w:tr w14:paraId="196E1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0B248C5D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2000</w:t>
            </w:r>
          </w:p>
        </w:tc>
        <w:tc>
          <w:tcPr>
            <w:tcW w:w="1728" w:type="dxa"/>
          </w:tcPr>
          <w:p w14:paraId="00D153A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1117</w:t>
            </w:r>
          </w:p>
        </w:tc>
        <w:tc>
          <w:tcPr>
            <w:tcW w:w="1728" w:type="dxa"/>
          </w:tcPr>
          <w:p w14:paraId="754852E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1162</w:t>
            </w:r>
          </w:p>
        </w:tc>
        <w:tc>
          <w:tcPr>
            <w:tcW w:w="1728" w:type="dxa"/>
          </w:tcPr>
          <w:p w14:paraId="65BCF564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-45</w:t>
            </w:r>
          </w:p>
        </w:tc>
        <w:tc>
          <w:tcPr>
            <w:tcW w:w="1728" w:type="dxa"/>
          </w:tcPr>
          <w:p w14:paraId="02864778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4.1</w:t>
            </w:r>
          </w:p>
        </w:tc>
      </w:tr>
      <w:tr w14:paraId="401C8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7CA89232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2001</w:t>
            </w:r>
          </w:p>
        </w:tc>
        <w:tc>
          <w:tcPr>
            <w:tcW w:w="1728" w:type="dxa"/>
          </w:tcPr>
          <w:p w14:paraId="2F232A3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1261</w:t>
            </w:r>
          </w:p>
        </w:tc>
        <w:tc>
          <w:tcPr>
            <w:tcW w:w="1728" w:type="dxa"/>
          </w:tcPr>
          <w:p w14:paraId="2F2D994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1336</w:t>
            </w:r>
          </w:p>
        </w:tc>
        <w:tc>
          <w:tcPr>
            <w:tcW w:w="1728" w:type="dxa"/>
          </w:tcPr>
          <w:p w14:paraId="56DEF8A6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-75</w:t>
            </w:r>
          </w:p>
        </w:tc>
        <w:tc>
          <w:tcPr>
            <w:tcW w:w="1728" w:type="dxa"/>
          </w:tcPr>
          <w:p w14:paraId="5F795DC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6.0</w:t>
            </w:r>
          </w:p>
        </w:tc>
      </w:tr>
      <w:tr w14:paraId="20A2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0338B05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2002</w:t>
            </w:r>
          </w:p>
        </w:tc>
        <w:tc>
          <w:tcPr>
            <w:tcW w:w="1728" w:type="dxa"/>
          </w:tcPr>
          <w:p w14:paraId="6098877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1437</w:t>
            </w:r>
          </w:p>
        </w:tc>
        <w:tc>
          <w:tcPr>
            <w:tcW w:w="1728" w:type="dxa"/>
          </w:tcPr>
          <w:p w14:paraId="7F7FD1D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1531</w:t>
            </w:r>
          </w:p>
        </w:tc>
        <w:tc>
          <w:tcPr>
            <w:tcW w:w="1728" w:type="dxa"/>
          </w:tcPr>
          <w:p w14:paraId="019D27FB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-94</w:t>
            </w:r>
          </w:p>
        </w:tc>
        <w:tc>
          <w:tcPr>
            <w:tcW w:w="1728" w:type="dxa"/>
          </w:tcPr>
          <w:p w14:paraId="4E9D9624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6.6</w:t>
            </w:r>
          </w:p>
        </w:tc>
      </w:tr>
      <w:tr w14:paraId="73319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03" w:type="dxa"/>
          </w:tcPr>
          <w:p w14:paraId="524111F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2003</w:t>
            </w:r>
          </w:p>
        </w:tc>
        <w:tc>
          <w:tcPr>
            <w:tcW w:w="1728" w:type="dxa"/>
          </w:tcPr>
          <w:p w14:paraId="47DFA0A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1640</w:t>
            </w:r>
          </w:p>
        </w:tc>
        <w:tc>
          <w:tcPr>
            <w:tcW w:w="1728" w:type="dxa"/>
          </w:tcPr>
          <w:p w14:paraId="0D9DAE64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1709</w:t>
            </w:r>
          </w:p>
        </w:tc>
        <w:tc>
          <w:tcPr>
            <w:tcW w:w="1728" w:type="dxa"/>
          </w:tcPr>
          <w:p w14:paraId="7D596E6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-69</w:t>
            </w:r>
          </w:p>
        </w:tc>
        <w:tc>
          <w:tcPr>
            <w:tcW w:w="1728" w:type="dxa"/>
          </w:tcPr>
          <w:p w14:paraId="45D53C3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4.2</w:t>
            </w:r>
          </w:p>
        </w:tc>
      </w:tr>
      <w:tr w14:paraId="260D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502C61DF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2004</w:t>
            </w:r>
          </w:p>
        </w:tc>
        <w:tc>
          <w:tcPr>
            <w:tcW w:w="1728" w:type="dxa"/>
          </w:tcPr>
          <w:p w14:paraId="5CEBDCE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1957</w:t>
            </w:r>
          </w:p>
        </w:tc>
        <w:tc>
          <w:tcPr>
            <w:tcW w:w="1728" w:type="dxa"/>
          </w:tcPr>
          <w:p w14:paraId="242A6F22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1872</w:t>
            </w:r>
          </w:p>
        </w:tc>
        <w:tc>
          <w:tcPr>
            <w:tcW w:w="1728" w:type="dxa"/>
          </w:tcPr>
          <w:p w14:paraId="2C57720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85</w:t>
            </w:r>
          </w:p>
        </w:tc>
        <w:tc>
          <w:tcPr>
            <w:tcW w:w="1728" w:type="dxa"/>
          </w:tcPr>
          <w:p w14:paraId="54143D5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4.3</w:t>
            </w:r>
          </w:p>
        </w:tc>
      </w:tr>
      <w:tr w14:paraId="6E66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64E67C2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2005</w:t>
            </w:r>
          </w:p>
        </w:tc>
        <w:tc>
          <w:tcPr>
            <w:tcW w:w="1728" w:type="dxa"/>
          </w:tcPr>
          <w:p w14:paraId="0F1ADFB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2244</w:t>
            </w:r>
          </w:p>
        </w:tc>
        <w:tc>
          <w:tcPr>
            <w:tcW w:w="1728" w:type="dxa"/>
          </w:tcPr>
          <w:p w14:paraId="33EA56A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2064</w:t>
            </w:r>
          </w:p>
        </w:tc>
        <w:tc>
          <w:tcPr>
            <w:tcW w:w="1728" w:type="dxa"/>
          </w:tcPr>
          <w:p w14:paraId="1EF7C82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180</w:t>
            </w:r>
          </w:p>
        </w:tc>
        <w:tc>
          <w:tcPr>
            <w:tcW w:w="1728" w:type="dxa"/>
          </w:tcPr>
          <w:p w14:paraId="62B6ADE6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8.0</w:t>
            </w:r>
          </w:p>
        </w:tc>
      </w:tr>
      <w:tr w14:paraId="5F26B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4990D5D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2006</w:t>
            </w:r>
          </w:p>
        </w:tc>
        <w:tc>
          <w:tcPr>
            <w:tcW w:w="1728" w:type="dxa"/>
          </w:tcPr>
          <w:p w14:paraId="4682881C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2489</w:t>
            </w:r>
          </w:p>
        </w:tc>
        <w:tc>
          <w:tcPr>
            <w:tcW w:w="1728" w:type="dxa"/>
          </w:tcPr>
          <w:p w14:paraId="1DF6975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2324</w:t>
            </w:r>
          </w:p>
        </w:tc>
        <w:tc>
          <w:tcPr>
            <w:tcW w:w="1728" w:type="dxa"/>
          </w:tcPr>
          <w:p w14:paraId="1B7022E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165</w:t>
            </w:r>
          </w:p>
        </w:tc>
        <w:tc>
          <w:tcPr>
            <w:tcW w:w="1728" w:type="dxa"/>
          </w:tcPr>
          <w:p w14:paraId="5679D70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6.6</w:t>
            </w:r>
          </w:p>
        </w:tc>
      </w:tr>
      <w:tr w14:paraId="792C2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03" w:type="dxa"/>
          </w:tcPr>
          <w:p w14:paraId="20370B8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2007</w:t>
            </w:r>
          </w:p>
        </w:tc>
        <w:tc>
          <w:tcPr>
            <w:tcW w:w="1728" w:type="dxa"/>
          </w:tcPr>
          <w:p w14:paraId="26A22FD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2801</w:t>
            </w:r>
          </w:p>
        </w:tc>
        <w:tc>
          <w:tcPr>
            <w:tcW w:w="1728" w:type="dxa"/>
          </w:tcPr>
          <w:p w14:paraId="2C28FA9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2712</w:t>
            </w:r>
          </w:p>
        </w:tc>
        <w:tc>
          <w:tcPr>
            <w:tcW w:w="1728" w:type="dxa"/>
          </w:tcPr>
          <w:p w14:paraId="6E3807B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89</w:t>
            </w:r>
          </w:p>
        </w:tc>
        <w:tc>
          <w:tcPr>
            <w:tcW w:w="1728" w:type="dxa"/>
          </w:tcPr>
          <w:p w14:paraId="62F2666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3.2</w:t>
            </w:r>
          </w:p>
        </w:tc>
      </w:tr>
      <w:tr w14:paraId="6109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1B23FF0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2008</w:t>
            </w:r>
          </w:p>
        </w:tc>
        <w:tc>
          <w:tcPr>
            <w:tcW w:w="1728" w:type="dxa"/>
          </w:tcPr>
          <w:p w14:paraId="5A39E14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3096</w:t>
            </w:r>
          </w:p>
        </w:tc>
        <w:tc>
          <w:tcPr>
            <w:tcW w:w="1728" w:type="dxa"/>
          </w:tcPr>
          <w:p w14:paraId="512E2761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3266</w:t>
            </w:r>
          </w:p>
        </w:tc>
        <w:tc>
          <w:tcPr>
            <w:tcW w:w="1728" w:type="dxa"/>
          </w:tcPr>
          <w:p w14:paraId="248085A8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-170</w:t>
            </w:r>
          </w:p>
        </w:tc>
        <w:tc>
          <w:tcPr>
            <w:tcW w:w="1728" w:type="dxa"/>
          </w:tcPr>
          <w:p w14:paraId="3975A316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5.5</w:t>
            </w:r>
          </w:p>
        </w:tc>
      </w:tr>
      <w:tr w14:paraId="34ED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</w:tcPr>
          <w:p w14:paraId="7FE6D21D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2009</w:t>
            </w:r>
          </w:p>
        </w:tc>
        <w:tc>
          <w:tcPr>
            <w:tcW w:w="1728" w:type="dxa"/>
          </w:tcPr>
          <w:p w14:paraId="7379F04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3500</w:t>
            </w:r>
          </w:p>
        </w:tc>
        <w:tc>
          <w:tcPr>
            <w:tcW w:w="1728" w:type="dxa"/>
          </w:tcPr>
          <w:p w14:paraId="1B57DFA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3546</w:t>
            </w:r>
          </w:p>
        </w:tc>
        <w:tc>
          <w:tcPr>
            <w:tcW w:w="1728" w:type="dxa"/>
          </w:tcPr>
          <w:p w14:paraId="768C35E7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-46</w:t>
            </w:r>
          </w:p>
        </w:tc>
        <w:tc>
          <w:tcPr>
            <w:tcW w:w="1728" w:type="dxa"/>
          </w:tcPr>
          <w:p w14:paraId="44173753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1.3</w:t>
            </w:r>
          </w:p>
        </w:tc>
      </w:tr>
    </w:tbl>
    <w:p w14:paraId="562CD108">
      <w:pPr>
        <w:rPr>
          <w:rFonts w:hint="default" w:ascii="Cambria Math" w:hAnsi="Cambria Math" w:cs="Cambria Math"/>
        </w:rPr>
      </w:pPr>
    </w:p>
    <w:p w14:paraId="5B48522C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从上表可以看出，所有年份的相对误差均控制在8%以内。1998年误差最大，为7.2%；2009年误差最小，仅为1.3%。模型整体拟合效果良好，误差波动较小，满足预测需求。</w:t>
      </w:r>
    </w:p>
    <w:p w14:paraId="20299F0F">
      <w:pPr>
        <w:pStyle w:val="3"/>
      </w:pPr>
      <w:bookmarkStart w:id="15" w:name="_Toc2125133405"/>
      <w:r>
        <w:rPr>
          <w:rFonts w:ascii="黑体" w:hAnsi="黑体" w:eastAsia="黑体"/>
          <w:b/>
          <w:sz w:val="28"/>
        </w:rPr>
        <w:t>5. 问题三：2010—2013年房价预测</w:t>
      </w:r>
      <w:bookmarkEnd w:id="15"/>
    </w:p>
    <w:p w14:paraId="0C3399DE">
      <w:pPr>
        <w:pStyle w:val="4"/>
      </w:pPr>
      <w:bookmarkStart w:id="16" w:name="_Toc1951410192"/>
      <w:r>
        <w:rPr>
          <w:rFonts w:ascii="黑体" w:hAnsi="黑体" w:eastAsia="黑体"/>
          <w:b/>
          <w:sz w:val="26"/>
        </w:rPr>
        <w:t>5.1 问题分析</w:t>
      </w:r>
      <w:bookmarkEnd w:id="16"/>
    </w:p>
    <w:p w14:paraId="6B82691A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问题三要求对未来房价进行预测。由于模型需要GDP和居民收入作为输入，因此首先需要对2010—2013年的GDP和居民收入进行合理估计。</w:t>
      </w:r>
    </w:p>
    <w:p w14:paraId="72842929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本文采用近三年（2007—2009年）的年均复合增长率进行趋势外推。该方法假设短期内经济增长保持稳定趋势，适用于短期预测场景。</w:t>
      </w:r>
    </w:p>
    <w:p w14:paraId="25B5D332">
      <w:pPr>
        <w:pStyle w:val="4"/>
      </w:pPr>
      <w:bookmarkStart w:id="17" w:name="_Toc1609594866"/>
      <w:r>
        <w:rPr>
          <w:rFonts w:ascii="黑体" w:hAnsi="黑体" w:eastAsia="黑体"/>
          <w:b/>
          <w:sz w:val="26"/>
        </w:rPr>
        <w:t xml:space="preserve">5.2 </w:t>
      </w:r>
      <w:r>
        <w:rPr>
          <w:rFonts w:hint="eastAsia" w:ascii="黑体" w:hAnsi="黑体" w:eastAsia="黑体" w:cstheme="majorBidi"/>
          <w:b/>
          <w:bCs/>
          <w:color w:val="4F81BD" w:themeColor="accent1"/>
          <w:sz w:val="26"/>
          <w:szCs w:val="26"/>
          <w:lang w:val="en-US" w:eastAsia="zh" w:bidi="ar-SA"/>
          <w14:textFill>
            <w14:solidFill>
              <w14:schemeClr w14:val="accent1"/>
            </w14:solidFill>
          </w14:textFill>
        </w:rPr>
        <w:t>以</w:t>
      </w:r>
      <w:r>
        <w:rPr>
          <w:rFonts w:hint="eastAsia" w:ascii="黑体" w:hAnsi="黑体" w:eastAsia="黑体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复合增长率</w:t>
      </w:r>
      <w:r>
        <w:rPr>
          <w:rFonts w:ascii="黑体" w:hAnsi="黑体" w:eastAsia="黑体"/>
          <w:b/>
          <w:sz w:val="26"/>
        </w:rPr>
        <w:t>外推估计</w:t>
      </w:r>
      <w:bookmarkEnd w:id="17"/>
    </w:p>
    <w:p w14:paraId="3D7A66F9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经计算，2007—2009年GDP的年均复合增长率为19.9%，居民收入的年均复合增长率为13.3%。基于此增长率，对2010—2013年的GDP和居民收入进行估计。</w:t>
      </w:r>
    </w:p>
    <w:p w14:paraId="0EE4E239">
      <w:pPr>
        <w:pStyle w:val="4"/>
      </w:pPr>
      <w:bookmarkStart w:id="18" w:name="_Toc1227930333"/>
      <w:r>
        <w:rPr>
          <w:rFonts w:ascii="黑体" w:hAnsi="黑体" w:eastAsia="黑体"/>
          <w:b/>
          <w:sz w:val="26"/>
        </w:rPr>
        <w:t>5.3 预测结果</w:t>
      </w:r>
      <w:bookmarkEnd w:id="18"/>
    </w:p>
    <w:p w14:paraId="77878D53">
      <w:pPr>
        <w:ind w:firstLine="420"/>
        <w:rPr>
          <w:rFonts w:hint="eastAsia" w:ascii="Cambria Math" w:hAnsi="Cambria Math" w:eastAsia="宋体" w:cs="Cambria Math"/>
          <w:lang w:eastAsia="zh"/>
        </w:rPr>
      </w:pPr>
      <w:r>
        <w:rPr>
          <w:rFonts w:hint="default" w:ascii="Cambria Math" w:hAnsi="Cambria Math" w:eastAsia="宋体" w:cs="Cambria Math"/>
          <w:sz w:val="24"/>
        </w:rPr>
        <w:t>代入回归方程，得到2010—2013年的房价预测值：</w:t>
      </w:r>
      <w:r>
        <w:rPr>
          <w:rFonts w:hint="eastAsia" w:ascii="Cambria Math" w:hAnsi="Cambria Math" w:eastAsia="宋体" w:cs="Cambria Math"/>
          <w:lang w:eastAsia="zh"/>
        </w:rPr>
        <w:drawing>
          <wp:inline distT="0" distB="0" distL="114300" distR="114300">
            <wp:extent cx="5486400" cy="3017520"/>
            <wp:effectExtent l="0" t="0" r="0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92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8BF8B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年份</w:t>
            </w:r>
          </w:p>
        </w:tc>
        <w:tc>
          <w:tcPr>
            <w:tcW w:w="2160" w:type="dxa"/>
          </w:tcPr>
          <w:p w14:paraId="5BF7925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GDP估计值(亿元)</w:t>
            </w:r>
          </w:p>
        </w:tc>
        <w:tc>
          <w:tcPr>
            <w:tcW w:w="2160" w:type="dxa"/>
          </w:tcPr>
          <w:p w14:paraId="61E9CEF4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收入估计值(元)</w:t>
            </w:r>
          </w:p>
        </w:tc>
        <w:tc>
          <w:tcPr>
            <w:tcW w:w="2160" w:type="dxa"/>
          </w:tcPr>
          <w:p w14:paraId="5EFA19BD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b/>
                <w:sz w:val="22"/>
                <w:szCs w:val="22"/>
              </w:rPr>
              <w:t>房价预测值(元/㎡)</w:t>
            </w:r>
          </w:p>
        </w:tc>
      </w:tr>
      <w:tr w14:paraId="3C84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013879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2010</w:t>
            </w:r>
          </w:p>
        </w:tc>
        <w:tc>
          <w:tcPr>
            <w:tcW w:w="2160" w:type="dxa"/>
          </w:tcPr>
          <w:p w14:paraId="32AFB61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22472</w:t>
            </w:r>
          </w:p>
        </w:tc>
        <w:tc>
          <w:tcPr>
            <w:tcW w:w="2160" w:type="dxa"/>
          </w:tcPr>
          <w:p w14:paraId="6E555044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22455</w:t>
            </w:r>
          </w:p>
        </w:tc>
        <w:tc>
          <w:tcPr>
            <w:tcW w:w="2160" w:type="dxa"/>
          </w:tcPr>
          <w:p w14:paraId="3DE45D2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4085</w:t>
            </w:r>
          </w:p>
        </w:tc>
      </w:tr>
      <w:tr w14:paraId="5D0D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170471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2011</w:t>
            </w:r>
          </w:p>
        </w:tc>
        <w:tc>
          <w:tcPr>
            <w:tcW w:w="2160" w:type="dxa"/>
          </w:tcPr>
          <w:p w14:paraId="31F055F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26941</w:t>
            </w:r>
          </w:p>
        </w:tc>
        <w:tc>
          <w:tcPr>
            <w:tcW w:w="2160" w:type="dxa"/>
          </w:tcPr>
          <w:p w14:paraId="5D158446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25440</w:t>
            </w:r>
          </w:p>
        </w:tc>
        <w:tc>
          <w:tcPr>
            <w:tcW w:w="2160" w:type="dxa"/>
          </w:tcPr>
          <w:p w14:paraId="7D820E9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4707</w:t>
            </w:r>
          </w:p>
        </w:tc>
      </w:tr>
      <w:tr w14:paraId="3A00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32B4D7A5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2012</w:t>
            </w:r>
          </w:p>
        </w:tc>
        <w:tc>
          <w:tcPr>
            <w:tcW w:w="2160" w:type="dxa"/>
          </w:tcPr>
          <w:p w14:paraId="165E5E1E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32298</w:t>
            </w:r>
          </w:p>
        </w:tc>
        <w:tc>
          <w:tcPr>
            <w:tcW w:w="2160" w:type="dxa"/>
          </w:tcPr>
          <w:p w14:paraId="226BB7D8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28821</w:t>
            </w:r>
          </w:p>
        </w:tc>
        <w:tc>
          <w:tcPr>
            <w:tcW w:w="2160" w:type="dxa"/>
          </w:tcPr>
          <w:p w14:paraId="43D88D5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5427</w:t>
            </w:r>
          </w:p>
        </w:tc>
      </w:tr>
      <w:tr w14:paraId="0B48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B4823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2013</w:t>
            </w:r>
          </w:p>
        </w:tc>
        <w:tc>
          <w:tcPr>
            <w:tcW w:w="2160" w:type="dxa"/>
          </w:tcPr>
          <w:p w14:paraId="20042CD8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38721</w:t>
            </w:r>
          </w:p>
        </w:tc>
        <w:tc>
          <w:tcPr>
            <w:tcW w:w="2160" w:type="dxa"/>
          </w:tcPr>
          <w:p w14:paraId="3C5BB490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32652</w:t>
            </w:r>
          </w:p>
        </w:tc>
        <w:tc>
          <w:tcPr>
            <w:tcW w:w="2160" w:type="dxa"/>
          </w:tcPr>
          <w:p w14:paraId="64B9A47A">
            <w:pPr>
              <w:spacing w:after="0" w:line="240" w:lineRule="auto"/>
              <w:jc w:val="center"/>
              <w:rPr>
                <w:rFonts w:hint="default" w:ascii="Cambria Math" w:hAnsi="Cambria Math" w:cs="Cambria Math"/>
                <w:sz w:val="22"/>
                <w:szCs w:val="22"/>
              </w:rPr>
            </w:pPr>
            <w:r>
              <w:rPr>
                <w:rFonts w:hint="default" w:ascii="Cambria Math" w:hAnsi="Cambria Math" w:cs="Cambria Math"/>
                <w:sz w:val="22"/>
                <w:szCs w:val="22"/>
              </w:rPr>
              <w:t>6259</w:t>
            </w:r>
          </w:p>
        </w:tc>
      </w:tr>
    </w:tbl>
    <w:p w14:paraId="379EAE93">
      <w:pPr>
        <w:rPr>
          <w:rFonts w:hint="default" w:ascii="Cambria Math" w:hAnsi="Cambria Math" w:cs="Cambria Math"/>
        </w:rPr>
      </w:pPr>
    </w:p>
    <w:p w14:paraId="79A09FC5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预测结果显示，房价呈逐年上升趋势。2010年预测房价约为4085元/平方米，到2013年将达到6259元/平方米，四年间涨幅约为53.2%。</w:t>
      </w:r>
    </w:p>
    <w:p w14:paraId="219D73F5">
      <w:pPr>
        <w:pStyle w:val="3"/>
      </w:pPr>
      <w:bookmarkStart w:id="19" w:name="_Toc219693021"/>
      <w:r>
        <w:rPr>
          <w:rFonts w:ascii="黑体" w:hAnsi="黑体" w:eastAsia="黑体"/>
          <w:b/>
          <w:sz w:val="28"/>
        </w:rPr>
        <w:t>6. 模型评价</w:t>
      </w:r>
      <w:bookmarkEnd w:id="19"/>
    </w:p>
    <w:p w14:paraId="5D453B77">
      <w:pPr>
        <w:pStyle w:val="4"/>
      </w:pPr>
      <w:bookmarkStart w:id="20" w:name="_Toc537805898"/>
      <w:r>
        <w:rPr>
          <w:rFonts w:ascii="黑体" w:hAnsi="黑体" w:eastAsia="黑体"/>
          <w:b/>
          <w:sz w:val="26"/>
        </w:rPr>
        <w:t>6.1 模型的创新点</w:t>
      </w:r>
      <w:bookmarkEnd w:id="20"/>
    </w:p>
    <w:p w14:paraId="32F79316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1. 本文从宏观经济学的供需角度出发，选择GDP和居民收入作为房价的解释变量，建立了具有因果解释力的预测模型，而非简单的时间序列趋势外推。</w:t>
      </w:r>
    </w:p>
    <w:p w14:paraId="0281AFD1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2. 采用留一交叉验证（LOOCV）方法在小样本条件下对模型进行了严格的泛化能力评估，避免</w:t>
      </w:r>
      <w:r>
        <w:rPr>
          <w:rFonts w:hint="eastAsia" w:ascii="宋体" w:hAnsi="宋体" w:eastAsia="宋体" w:cs="宋体"/>
          <w:sz w:val="24"/>
        </w:rPr>
        <w:t>了</w:t>
      </w:r>
      <w:r>
        <w:rPr>
          <w:rFonts w:hint="default" w:ascii="Cambria Math" w:hAnsi="Cambria Math" w:eastAsia="宋体" w:cs="Cambria Math"/>
          <w:sz w:val="24"/>
        </w:rPr>
        <w:t>传统划分训练集/测试集方法在小样本下的不稳定性。</w:t>
      </w:r>
    </w:p>
    <w:p w14:paraId="78B85341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3. 模型简洁实用，仅需两个宏观经济指标即可获得R²=0.9861的高精度预测，便于实际应用中的快速预测和决策支持。</w:t>
      </w:r>
    </w:p>
    <w:p w14:paraId="3F1370D7">
      <w:pPr>
        <w:pStyle w:val="4"/>
      </w:pPr>
      <w:bookmarkStart w:id="21" w:name="_Toc1444700230"/>
      <w:r>
        <w:rPr>
          <w:rFonts w:ascii="黑体" w:hAnsi="黑体" w:eastAsia="黑体"/>
          <w:b/>
          <w:sz w:val="26"/>
        </w:rPr>
        <w:t>6.2 模型的优点</w:t>
      </w:r>
      <w:bookmarkEnd w:id="21"/>
    </w:p>
    <w:p w14:paraId="47528582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1. 模型结构简单清晰，计算量小，易于理解和复现。</w:t>
      </w:r>
    </w:p>
    <w:p w14:paraId="3B84B732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2. 预测精度高，拟合优度</w:t>
      </w:r>
      <w:r>
        <w:rPr>
          <w:rFonts w:hint="default" w:ascii="Cambria Math" w:hAnsi="Cambria Math" w:eastAsia="宋体" w:cs="Cambria Math"/>
          <w:sz w:val="24"/>
        </w:rPr>
        <w:t>R²达0.9861，交叉验证MAPE仅为6.81%，满足实际应用需求。</w:t>
      </w:r>
    </w:p>
    <w:p w14:paraId="6D157FA4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3. 经济解释性强，回归系数具有明确的经济含义，可为政策分析提供参考。</w:t>
      </w:r>
    </w:p>
    <w:p w14:paraId="222B2F13">
      <w:pPr>
        <w:pStyle w:val="4"/>
      </w:pPr>
      <w:bookmarkStart w:id="22" w:name="_Toc581863495"/>
      <w:r>
        <w:rPr>
          <w:rFonts w:ascii="黑体" w:hAnsi="黑体" w:eastAsia="黑体"/>
          <w:b/>
          <w:sz w:val="26"/>
        </w:rPr>
        <w:t>6.3 模型的缺点</w:t>
      </w:r>
      <w:bookmarkEnd w:id="22"/>
    </w:p>
    <w:p w14:paraId="71A1A175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1. 样本量较小（仅13年数据），模型参数的统计显著性无法充分保证。</w:t>
      </w:r>
    </w:p>
    <w:p w14:paraId="4DF27FAD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2. 未考虑其他可能影响房价的重要因素，如城市化率、贷款利率、土地供应政策、人口结构变化等。</w:t>
      </w:r>
    </w:p>
    <w:p w14:paraId="0BE3A1F6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3. 线性假设可能与现实经济中的非线性关系存在偏差。</w:t>
      </w:r>
    </w:p>
    <w:p w14:paraId="2E262F9B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4. 对未来GDP和收入的预测采用固定增长率外推，未考虑经济周期波动和政策变化的影响。</w:t>
      </w:r>
    </w:p>
    <w:p w14:paraId="5DDA64EE">
      <w:pPr>
        <w:pStyle w:val="4"/>
      </w:pPr>
      <w:bookmarkStart w:id="23" w:name="_Toc1471270817"/>
      <w:r>
        <w:rPr>
          <w:rFonts w:ascii="黑体" w:hAnsi="黑体" w:eastAsia="黑体"/>
          <w:b/>
          <w:sz w:val="26"/>
        </w:rPr>
        <w:t>6.4 未来展望</w:t>
      </w:r>
      <w:bookmarkEnd w:id="23"/>
    </w:p>
    <w:p w14:paraId="04F4EB98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1. 引入更多解释变量，如城镇化率、M2货币供应量、房贷利率等，提高模型的完备性。</w:t>
      </w:r>
    </w:p>
    <w:p w14:paraId="6B328149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2. 尝试非线性模型（如多项式回归、对数模型）或机器学习方法（如支持向量回归、随机森林），探索变量间可能存在的非线性关系。</w:t>
      </w:r>
    </w:p>
    <w:p w14:paraId="4026BB42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3. 采用更长的时间序列数据，提高参数估计的统计可靠性。</w:t>
      </w:r>
    </w:p>
    <w:p w14:paraId="72E3C9BE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4. 引入情景分析方法，考虑不同的经济增长情景下的房价预测范围，而非单一的点预测值。</w:t>
      </w:r>
    </w:p>
    <w:p w14:paraId="33EB6679">
      <w:pPr>
        <w:pStyle w:val="3"/>
      </w:pPr>
      <w:bookmarkStart w:id="24" w:name="_Toc1723971334"/>
      <w:r>
        <w:rPr>
          <w:rFonts w:ascii="黑体" w:hAnsi="黑体" w:eastAsia="黑体"/>
          <w:b/>
          <w:sz w:val="28"/>
        </w:rPr>
        <w:t>参考文献</w:t>
      </w:r>
      <w:bookmarkEnd w:id="24"/>
    </w:p>
    <w:p w14:paraId="585692CB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[1]</w:t>
      </w:r>
      <w:r>
        <w:rPr>
          <w:rFonts w:ascii="宋体" w:hAnsi="宋体" w:eastAsia="宋体"/>
          <w:sz w:val="24"/>
        </w:rPr>
        <w:t xml:space="preserve"> 张红. 房地产经济学[M]. 北京: 清华大学出版社</w:t>
      </w:r>
      <w:r>
        <w:rPr>
          <w:rFonts w:hint="default" w:ascii="Cambria Math" w:hAnsi="Cambria Math" w:eastAsia="宋体" w:cs="Cambria Math"/>
          <w:sz w:val="24"/>
        </w:rPr>
        <w:t>, 2019.</w:t>
      </w:r>
    </w:p>
    <w:p w14:paraId="6A82183C">
      <w:pPr>
        <w:ind w:firstLine="420"/>
      </w:pPr>
      <w:r>
        <w:rPr>
          <w:rFonts w:hint="default" w:ascii="Cambria Math" w:hAnsi="Cambria Math" w:eastAsia="宋体" w:cs="Cambria Math"/>
          <w:sz w:val="24"/>
        </w:rPr>
        <w:t>[2]</w:t>
      </w:r>
      <w:r>
        <w:rPr>
          <w:rFonts w:ascii="宋体" w:hAnsi="宋体" w:eastAsia="宋体"/>
          <w:sz w:val="24"/>
        </w:rPr>
        <w:t xml:space="preserve"> 高铁梅. 计量经济分析方法与建模</w:t>
      </w:r>
      <w:r>
        <w:rPr>
          <w:rFonts w:hint="default" w:ascii="Cambria Math" w:hAnsi="Cambria Math" w:eastAsia="宋体" w:cs="Cambria Math"/>
          <w:sz w:val="24"/>
        </w:rPr>
        <w:t>: EViews</w:t>
      </w:r>
      <w:r>
        <w:rPr>
          <w:rFonts w:ascii="宋体" w:hAnsi="宋体" w:eastAsia="宋体"/>
          <w:sz w:val="24"/>
        </w:rPr>
        <w:t>应用及实例</w:t>
      </w:r>
      <w:r>
        <w:rPr>
          <w:rFonts w:hint="default" w:ascii="Cambria Math" w:hAnsi="Cambria Math" w:eastAsia="宋体" w:cs="Cambria Math"/>
          <w:sz w:val="24"/>
        </w:rPr>
        <w:t>[M]</w:t>
      </w:r>
      <w:r>
        <w:rPr>
          <w:rFonts w:ascii="宋体" w:hAnsi="宋体" w:eastAsia="宋体"/>
          <w:sz w:val="24"/>
        </w:rPr>
        <w:t>. 北京: 清华大学出版社, 2020.</w:t>
      </w:r>
    </w:p>
    <w:p w14:paraId="49A79336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[3]</w:t>
      </w:r>
      <w:r>
        <w:rPr>
          <w:rFonts w:ascii="宋体" w:hAnsi="宋体" w:eastAsia="宋体"/>
          <w:sz w:val="24"/>
        </w:rPr>
        <w:t xml:space="preserve"> 李子奈, 潘文卿. 计量经济学(第四版)</w:t>
      </w:r>
      <w:r>
        <w:rPr>
          <w:rFonts w:hint="default" w:ascii="Cambria Math" w:hAnsi="Cambria Math" w:eastAsia="宋体" w:cs="Cambria Math"/>
          <w:sz w:val="24"/>
        </w:rPr>
        <w:t>[M].</w:t>
      </w:r>
      <w:r>
        <w:rPr>
          <w:rFonts w:ascii="宋体" w:hAnsi="宋体" w:eastAsia="宋体"/>
          <w:sz w:val="24"/>
        </w:rPr>
        <w:t xml:space="preserve"> 北京: 高等教育出版社</w:t>
      </w:r>
      <w:r>
        <w:rPr>
          <w:rFonts w:hint="default" w:ascii="Cambria Math" w:hAnsi="Cambria Math" w:eastAsia="宋体" w:cs="Cambria Math"/>
          <w:sz w:val="24"/>
        </w:rPr>
        <w:t>, 2015.</w:t>
      </w:r>
    </w:p>
    <w:p w14:paraId="59D78C12">
      <w:pPr>
        <w:ind w:firstLine="420"/>
      </w:pPr>
      <w:r>
        <w:rPr>
          <w:rFonts w:hint="default" w:ascii="Cambria Math" w:hAnsi="Cambria Math" w:eastAsia="宋体" w:cs="Cambria Math"/>
          <w:sz w:val="24"/>
        </w:rPr>
        <w:t>[4]</w:t>
      </w:r>
      <w:r>
        <w:rPr>
          <w:rFonts w:ascii="宋体" w:hAnsi="宋体" w:eastAsia="宋体"/>
          <w:sz w:val="24"/>
        </w:rPr>
        <w:t xml:space="preserve"> 国家统计局. 中国统计年鉴</w:t>
      </w:r>
      <w:r>
        <w:rPr>
          <w:rFonts w:hint="default" w:ascii="Cambria Math" w:hAnsi="Cambria Math" w:eastAsia="宋体" w:cs="Cambria Math"/>
          <w:sz w:val="24"/>
        </w:rPr>
        <w:t>(1998—2010)[M].</w:t>
      </w:r>
      <w:r>
        <w:rPr>
          <w:rFonts w:ascii="宋体" w:hAnsi="宋体" w:eastAsia="宋体"/>
          <w:sz w:val="24"/>
        </w:rPr>
        <w:t xml:space="preserve"> 北京: 中国统计出版社.</w:t>
      </w:r>
    </w:p>
    <w:p w14:paraId="49C0640C">
      <w:pPr>
        <w:ind w:firstLine="420"/>
        <w:rPr>
          <w:rFonts w:hint="default" w:ascii="Cambria Math" w:hAnsi="Cambria Math" w:cs="Cambria Math"/>
        </w:rPr>
      </w:pPr>
      <w:r>
        <w:rPr>
          <w:rFonts w:hint="default" w:ascii="Cambria Math" w:hAnsi="Cambria Math" w:eastAsia="宋体" w:cs="Cambria Math"/>
          <w:sz w:val="24"/>
        </w:rPr>
        <w:t>[5]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default" w:ascii="Cambria Math" w:hAnsi="Cambria Math" w:eastAsia="宋体" w:cs="Cambria Math"/>
          <w:sz w:val="24"/>
        </w:rPr>
        <w:t>James G, Witten D, Hastie T, et al. An Introduction to Statistical Learning[M]. New York: Springer, 2013.</w:t>
      </w:r>
    </w:p>
    <w:p w14:paraId="38B86833">
      <w:pPr>
        <w:ind w:firstLine="420"/>
      </w:pPr>
      <w:r>
        <w:rPr>
          <w:rFonts w:hint="default" w:ascii="Cambria Math" w:hAnsi="Cambria Math" w:eastAsia="宋体" w:cs="Cambria Math"/>
          <w:sz w:val="24"/>
        </w:rPr>
        <w:t>[6]</w:t>
      </w:r>
      <w:r>
        <w:rPr>
          <w:rFonts w:ascii="宋体" w:hAnsi="宋体" w:eastAsia="宋体"/>
          <w:sz w:val="24"/>
        </w:rPr>
        <w:t xml:space="preserve"> 陈强. 高级计量经济学及</w:t>
      </w:r>
      <w:r>
        <w:rPr>
          <w:rFonts w:hint="default" w:ascii="Cambria Math" w:hAnsi="Cambria Math" w:eastAsia="宋体" w:cs="Cambria Math"/>
          <w:sz w:val="24"/>
        </w:rPr>
        <w:t>Stata</w:t>
      </w:r>
      <w:r>
        <w:rPr>
          <w:rFonts w:ascii="宋体" w:hAnsi="宋体" w:eastAsia="宋体"/>
          <w:sz w:val="24"/>
        </w:rPr>
        <w:t xml:space="preserve">应用(第二版)[M]. 北京: 高等教育出版社, </w:t>
      </w:r>
      <w:r>
        <w:rPr>
          <w:rFonts w:hint="default" w:ascii="Cambria Math" w:hAnsi="Cambria Math" w:eastAsia="宋体" w:cs="Cambria Math"/>
          <w:sz w:val="24"/>
        </w:rPr>
        <w:t>2014.</w:t>
      </w:r>
    </w:p>
    <w:p w14:paraId="7B094856">
      <w:pPr>
        <w:pStyle w:val="3"/>
        <w:rPr>
          <w:rFonts w:ascii="黑体" w:hAnsi="黑体" w:eastAsia="黑体"/>
          <w:b/>
          <w:sz w:val="28"/>
          <w:woUserID w:val="1"/>
        </w:rPr>
      </w:pPr>
      <w:bookmarkStart w:id="25" w:name="_Toc475695890"/>
    </w:p>
    <w:p w14:paraId="5C26AF70">
      <w:pPr>
        <w:pStyle w:val="3"/>
        <w:rPr>
          <w:woUserID w:val="1"/>
        </w:rPr>
      </w:pPr>
      <w:r>
        <w:rPr>
          <w:rFonts w:ascii="黑体" w:hAnsi="黑体" w:eastAsia="黑体"/>
          <w:b/>
          <w:sz w:val="28"/>
          <w:woUserID w:val="1"/>
        </w:rPr>
        <w:t>附录：Python源代码</w:t>
      </w:r>
      <w:bookmarkEnd w:id="25"/>
    </w:p>
    <w:p w14:paraId="08296070">
      <w:pPr>
        <w:rPr>
          <w:rFonts w:ascii="Consolas" w:hAnsi="Consolas"/>
          <w:sz w:val="22"/>
          <w:szCs w:val="22"/>
        </w:rPr>
      </w:pPr>
      <w:bookmarkStart w:id="26" w:name="_GoBack"/>
      <w:r>
        <w:rPr>
          <w:rFonts w:ascii="Consolas" w:hAnsi="Consolas"/>
          <w:sz w:val="22"/>
          <w:szCs w:val="22"/>
          <w:woUserID w:val="1"/>
        </w:rPr>
        <w:t>import numpy as np</w:t>
      </w:r>
      <w:r>
        <w:rPr>
          <w:rFonts w:ascii="Consolas" w:hAnsi="Consolas"/>
          <w:sz w:val="22"/>
          <w:szCs w:val="22"/>
          <w:woUserID w:val="1"/>
        </w:rPr>
        <w:br w:type="textWrapping"/>
      </w:r>
      <w:r>
        <w:rPr>
          <w:rFonts w:ascii="Consolas" w:hAnsi="Consolas"/>
          <w:sz w:val="22"/>
          <w:szCs w:val="22"/>
          <w:woUserID w:val="1"/>
        </w:rPr>
        <w:br w:type="textWrapping"/>
      </w:r>
      <w:r>
        <w:rPr>
          <w:rFonts w:ascii="Consolas" w:hAnsi="Consolas"/>
          <w:sz w:val="22"/>
          <w:szCs w:val="22"/>
          <w:woUserID w:val="1"/>
        </w:rPr>
        <w:t># 数据</w:t>
      </w:r>
      <w:r>
        <w:rPr>
          <w:rFonts w:hint="eastAsia" w:ascii="Consolas" w:hAnsi="Consolas"/>
          <w:sz w:val="22"/>
          <w:szCs w:val="22"/>
          <w:lang w:eastAsia="zh"/>
          <w:woUserID w:val="1"/>
        </w:rPr>
        <w:t>：</w:t>
      </w:r>
      <w:r>
        <w:rPr>
          <w:rFonts w:ascii="Consolas" w:hAnsi="Consolas"/>
          <w:sz w:val="22"/>
          <w:szCs w:val="22"/>
          <w:woUserID w:val="1"/>
        </w:rPr>
        <w:br w:type="textWrapping"/>
      </w:r>
      <w:r>
        <w:rPr>
          <w:rFonts w:ascii="Consolas" w:hAnsi="Consolas"/>
          <w:sz w:val="22"/>
          <w:szCs w:val="22"/>
        </w:rPr>
        <w:t>year = np.array([1997,1998,1999,2000,2001,2002,2003,2004,2005,2006,2007,2008,2009])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price = np.array([767,895,995,1117,1261,1437,1640,1957,2244,2489,2801,3096,3500])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gdp = np.array([3540,3783,3916,4239,4922,5560,6399,7842,9116,10879,13475,16737,18745])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income = np.array([5156,5138,6526,7434,8475,9688,10703,11384,12343,13630,15558,18472,19820])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n = len(year)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# 多元线性回归: </w:t>
      </w:r>
    </w:p>
    <w:p w14:paraId="0DA46718">
      <w:pPr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Price = b0 + b1*GDP + b2*Income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X = np.column_stack([np.ones(n), gdp, income])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beta = np.linalg.inv(X.T @ X) @ X.T @ price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y_pred = X @ beta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residuals = price - y_pred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ss_res = np.sum(residuals**2)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ss_tot = np.sum((price - np.mean(price))**2)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r2 = 1 - ss_res / ss_tot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print(f"Price = {beta[0]:.2f} + {beta[1]:.4f}*GDP + {beta[2]:.4f}*Income")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print(f"R^2 = {r2:.4f}")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# LOOCV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mape_list = []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for i in range(n):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X_train = np.delete(X, i, axis=0)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y_train = np.delete(price, i)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b = np.linalg.inv(X_train.T @ X_train) @ X_train.T @ y_train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mape = abs(X[i] @ b - price[i]) / price[i] * 100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mape_list.append(mape)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print(f"LOOCV MAPE = {np.mean(mape_list):.2f}%")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# 拟合明细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for i in range(n):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print(f"{year[i]} Actual={price[i]} Pred={y_pred[i]:.0f} "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      f"Resid={residuals[i]:.0f} Err%={abs(residuals[i])/price[i]*100:.1f}%")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# 预测 2010-2013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gdp_rate = (gdp[-1]/gdp[-4])**(1/3)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inc_rate = (income[-1]/income[-4])**(1/3)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for yr in [2010,2011,2012,2013]: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g = gdp[-1] * (gdp_rate**(yr-2009))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inc = income[-1] * (inc_rate**(yr-2009))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p = np.array([1, g, inc]) @ beta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 xml:space="preserve">    print(f"{yr}: Price={p:.0f}")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# 相关性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print(f"Corr(Price,GDP)={np.corrcoef(gdp,price)[0,1]:.4f}")</w:t>
      </w:r>
      <w:r>
        <w:rPr>
          <w:rFonts w:ascii="Consolas" w:hAnsi="Consolas"/>
          <w:sz w:val="22"/>
          <w:szCs w:val="22"/>
        </w:rPr>
        <w:br w:type="textWrapping"/>
      </w:r>
      <w:r>
        <w:rPr>
          <w:rFonts w:ascii="Consolas" w:hAnsi="Consolas"/>
          <w:sz w:val="22"/>
          <w:szCs w:val="22"/>
        </w:rPr>
        <w:t>print(f"Corr(Price,Income)={np.corrcoef(income,price)[0,1]:.4f}")</w:t>
      </w:r>
    </w:p>
    <w:bookmarkEnd w:id="26"/>
    <w:sectPr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Noto Sans Mono"/>
    <w:panose1 w:val="020B0609020204030204"/>
    <w:charset w:val="00"/>
    <w:family w:val="auto"/>
    <w:pitch w:val="default"/>
    <w:sig w:usb0="E00006FF" w:usb1="0000FCFF" w:usb2="00000001" w:usb3="00000000" w:csb0="00000000" w:csb1="0000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">
    <w:altName w:val="Verdana"/>
    <w:panose1 w:val="020B0604030504040204"/>
    <w:charset w:val="00"/>
    <w:family w:val="auto"/>
    <w:pitch w:val="default"/>
    <w:sig w:usb0="000002A7" w:usb1="28CF4400" w:usb2="00000016" w:usb3="00000000" w:csb0="00000000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仿宋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Georgia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隶书_GBK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7824D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F5C9B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1F5C9B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EBC692"/>
    <w:rsid w:val="5FBFA978"/>
    <w:rsid w:val="73FF4F31"/>
    <w:rsid w:val="75FB7A64"/>
    <w:rsid w:val="7B6FFE9B"/>
    <w:rsid w:val="7FF61092"/>
    <w:rsid w:val="9A7F873F"/>
    <w:rsid w:val="BB7B446D"/>
    <w:rsid w:val="BBFFDC44"/>
    <w:rsid w:val="BFDD5A34"/>
    <w:rsid w:val="C5FA2ACA"/>
    <w:rsid w:val="D6FF6E4F"/>
    <w:rsid w:val="EAFCEC31"/>
    <w:rsid w:val="EBFF97AE"/>
    <w:rsid w:val="F76F0EED"/>
    <w:rsid w:val="FFAF09EF"/>
    <w:rsid w:val="FFDFD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WWO_wpscloud_20260708170905-59d7d5dabd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2026-07-14T04:23:03Z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2052-12.9.0.27576</vt:lpwstr>
  </property>
  <property fmtid="{D5CDD505-2E9C-101B-9397-08002B2CF9AE}" pid="3" name="ICV">
    <vt:lpwstr>F2FA684B07CDC5F62749556AD65CEEB9_43</vt:lpwstr>
  </property>
</Properties>
</file>