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Task 1 – Understand the Problem and Identify the Data</w:t>
      </w:r>
    </w:p>
    <w:p>
      <w:pPr/>
      <w:r>
        <w:t xml:space="preserve">CSA02 Assignment 1 · Grama Jyothi Rural Electricity Co-operative billing program · Jagan</w:t>
      </w:r>
    </w:p>
    <w:p>
      <w:pPr>
        <w:pStyle w:val="Heading2"/>
      </w:pPr>
      <w:r>
        <w:t xml:space="preserve">1. Inputs and outputs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3"/>
        <w:gridCol w:w="909"/>
        <w:gridCol w:w="2924"/>
        <w:gridCol w:w="3384"/>
      </w:tblGrid>
      <w:tr>
        <w:trPr>
          <w:tblHeader/>
        </w:trPr>
        <w:tc>
          <w:tcPr>
            <w:tcW w:w="2143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2924" w:type="dxa"/>
            <w:shd w:val="clear" w:color="auto" w:fill="F2F2F2"/>
          </w:tcPr>
          <w:p>
            <w:pPr/>
            <w:r>
              <w:t xml:space="preserve">Type idea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Range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Previous reading</w:t>
            </w:r>
          </w:p>
        </w:tc>
        <w:tc>
          <w:tcPr>
            <w:tcW w:w="909" w:type="dxa"/>
          </w:tcPr>
          <w:p>
            <w:pPr/>
            <w:r>
              <w:t xml:space="preserve">Input</w:t>
            </w:r>
          </w:p>
        </w:tc>
        <w:tc>
          <w:tcPr>
            <w:tcW w:w="2924" w:type="dxa"/>
          </w:tcPr>
          <w:p>
            <w:pPr/>
            <w:r>
              <w:t xml:space="preserve">whole number</w:t>
            </w:r>
          </w:p>
        </w:tc>
        <w:tc>
          <w:tcPr>
            <w:tcW w:w="3384" w:type="dxa"/>
          </w:tcPr>
          <w:p>
            <w:pPr/>
            <w:r>
              <w:t xml:space="preserve">0 to 65535 (16-bit register)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Current reading</w:t>
            </w:r>
          </w:p>
        </w:tc>
        <w:tc>
          <w:tcPr>
            <w:tcW w:w="909" w:type="dxa"/>
          </w:tcPr>
          <w:p>
            <w:pPr/>
            <w:r>
              <w:t xml:space="preserve">Input</w:t>
            </w:r>
          </w:p>
        </w:tc>
        <w:tc>
          <w:tcPr>
            <w:tcW w:w="2924" w:type="dxa"/>
          </w:tcPr>
          <w:p>
            <w:pPr/>
            <w:r>
              <w:t xml:space="preserve">whole number</w:t>
            </w:r>
          </w:p>
        </w:tc>
        <w:tc>
          <w:tcPr>
            <w:tcW w:w="3384" w:type="dxa"/>
          </w:tcPr>
          <w:p>
            <w:pPr/>
            <w:r>
              <w:t xml:space="preserve">0 to 65535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Household number</w:t>
            </w:r>
          </w:p>
        </w:tc>
        <w:tc>
          <w:tcPr>
            <w:tcW w:w="909" w:type="dxa"/>
          </w:tcPr>
          <w:p>
            <w:pPr/>
            <w:r>
              <w:t xml:space="preserve">Input</w:t>
            </w:r>
          </w:p>
        </w:tc>
        <w:tc>
          <w:tcPr>
            <w:tcW w:w="2924" w:type="dxa"/>
          </w:tcPr>
          <w:p>
            <w:pPr/>
            <w:r>
              <w:t xml:space="preserve">identifier</w:t>
            </w:r>
          </w:p>
        </w:tc>
        <w:tc>
          <w:tcPr>
            <w:tcW w:w="3384" w:type="dxa"/>
          </w:tcPr>
          <w:p>
            <w:pPr/>
            <w:r>
              <w:t xml:space="preserve">up to 800,000, which is too big for 16 bits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Category</w:t>
            </w:r>
          </w:p>
        </w:tc>
        <w:tc>
          <w:tcPr>
            <w:tcW w:w="909" w:type="dxa"/>
          </w:tcPr>
          <w:p>
            <w:pPr/>
            <w:r>
              <w:t xml:space="preserve">Input</w:t>
            </w:r>
          </w:p>
        </w:tc>
        <w:tc>
          <w:tcPr>
            <w:tcW w:w="2924" w:type="dxa"/>
          </w:tcPr>
          <w:p>
            <w:pPr/>
            <w:r>
              <w:t xml:space="preserve">small code (domestic, commercial, etc.)</w:t>
            </w:r>
          </w:p>
        </w:tc>
        <w:tc>
          <w:tcPr>
            <w:tcW w:w="3384" w:type="dxa"/>
          </w:tcPr>
          <w:p>
            <w:pPr/>
            <w:r>
              <w:t xml:space="preserve">a few values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Units consumed</w:t>
            </w:r>
          </w:p>
        </w:tc>
        <w:tc>
          <w:tcPr>
            <w:tcW w:w="909" w:type="dxa"/>
          </w:tcPr>
          <w:p>
            <w:pPr/>
            <w:r>
              <w:t xml:space="preserve">Output</w:t>
            </w:r>
          </w:p>
        </w:tc>
        <w:tc>
          <w:tcPr>
            <w:tcW w:w="2924" w:type="dxa"/>
          </w:tcPr>
          <w:p>
            <w:pPr/>
            <w:r>
              <w:t xml:space="preserve">whole number</w:t>
            </w:r>
          </w:p>
        </w:tc>
        <w:tc>
          <w:tcPr>
            <w:tcW w:w="3384" w:type="dxa"/>
          </w:tcPr>
          <w:p>
            <w:pPr/>
            <w:r>
              <w:t xml:space="preserve">0 to 65535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Energy charge</w:t>
            </w:r>
          </w:p>
        </w:tc>
        <w:tc>
          <w:tcPr>
            <w:tcW w:w="909" w:type="dxa"/>
          </w:tcPr>
          <w:p>
            <w:pPr/>
            <w:r>
              <w:t xml:space="preserve">Output</w:t>
            </w:r>
          </w:p>
        </w:tc>
        <w:tc>
          <w:tcPr>
            <w:tcW w:w="2924" w:type="dxa"/>
          </w:tcPr>
          <w:p>
            <w:pPr/>
            <w:r>
              <w:t xml:space="preserve">money</w:t>
            </w:r>
          </w:p>
        </w:tc>
        <w:tc>
          <w:tcPr>
            <w:tcW w:w="3384" w:type="dxa"/>
          </w:tcPr>
          <w:p>
            <w:pPr/>
            <w:r>
              <w:t xml:space="preserve">0 up to large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Fixed charge</w:t>
            </w:r>
          </w:p>
        </w:tc>
        <w:tc>
          <w:tcPr>
            <w:tcW w:w="909" w:type="dxa"/>
          </w:tcPr>
          <w:p>
            <w:pPr/>
            <w:r>
              <w:t xml:space="preserve">Output</w:t>
            </w:r>
          </w:p>
        </w:tc>
        <w:tc>
          <w:tcPr>
            <w:tcW w:w="2924" w:type="dxa"/>
          </w:tcPr>
          <w:p>
            <w:pPr/>
            <w:r>
              <w:t xml:space="preserve">money</w:t>
            </w:r>
          </w:p>
        </w:tc>
        <w:tc>
          <w:tcPr>
            <w:tcW w:w="3384" w:type="dxa"/>
          </w:tcPr>
          <w:p>
            <w:pPr/>
            <w:r>
              <w:t xml:space="preserve">constant</w:t>
            </w:r>
          </w:p>
        </w:tc>
      </w:tr>
      <w:tr>
        <w:tc>
          <w:tcPr>
            <w:tcW w:w="2143" w:type="dxa"/>
          </w:tcPr>
          <w:p>
            <w:pPr/>
            <w:r>
              <w:t xml:space="preserve">Total bill</w:t>
            </w:r>
          </w:p>
        </w:tc>
        <w:tc>
          <w:tcPr>
            <w:tcW w:w="909" w:type="dxa"/>
          </w:tcPr>
          <w:p>
            <w:pPr/>
            <w:r>
              <w:t xml:space="preserve">Output</w:t>
            </w:r>
          </w:p>
        </w:tc>
        <w:tc>
          <w:tcPr>
            <w:tcW w:w="2924" w:type="dxa"/>
          </w:tcPr>
          <w:p>
            <w:pPr/>
            <w:r>
              <w:t xml:space="preserve">money</w:t>
            </w:r>
          </w:p>
        </w:tc>
        <w:tc>
          <w:tcPr>
            <w:tcW w:w="3384" w:type="dxa"/>
          </w:tcPr>
          <w:p>
            <w:pPr/>
            <w:r>
              <w:t xml:space="preserve">energy + fixed</w:t>
            </w:r>
          </w:p>
        </w:tc>
      </w:tr>
    </w:tbl>
    <w:p>
      <w:pPr>
        <w:pStyle w:val="Heading2"/>
      </w:pPr>
      <w:r>
        <w:t xml:space="preserve">2. Values that never change during a run (constants)</w:t>
      </w:r>
    </w:p>
    <w:p>
      <w:pPr>
        <w:pStyle w:val="ListParagraph"/>
        <w:numPr>
          <w:ilvl w:val="0"/>
          <w:numId w:val="2"/>
        </w:numPr>
      </w:pPr>
      <w:r>
        <w:t xml:space="preserve">Slab limits: 100 and 200 units</w:t>
      </w:r>
    </w:p>
    <w:p>
      <w:pPr>
        <w:pStyle w:val="ListParagraph"/>
        <w:numPr>
          <w:ilvl w:val="0"/>
          <w:numId w:val="2"/>
        </w:numPr>
      </w:pPr>
      <w:r>
        <w:t xml:space="preserve">Rates: 0, 225 and 450 paise per unit</w:t>
      </w:r>
    </w:p>
    <w:p>
      <w:pPr>
        <w:pStyle w:val="ListParagraph"/>
        <w:numPr>
          <w:ilvl w:val="0"/>
          <w:numId w:val="2"/>
        </w:numPr>
      </w:pPr>
      <w:r>
        <w:t xml:space="preserve">Fixed charge: 5000 paise (Rs 50)</w:t>
      </w:r>
    </w:p>
    <w:p>
      <w:pPr>
        <w:pStyle w:val="ListParagraph"/>
        <w:numPr>
          <w:ilvl w:val="0"/>
          <w:numId w:val="2"/>
        </w:numPr>
      </w:pPr>
      <w:r>
        <w:t xml:space="preserve">Register size: 65536, with a maximum reading of 65535</w:t>
      </w:r>
    </w:p>
    <w:p>
      <w:pPr>
        <w:pStyle w:val="ListParagraph"/>
        <w:numPr>
          <w:ilvl w:val="0"/>
          <w:numId w:val="2"/>
        </w:numPr>
      </w:pPr>
      <w:r>
        <w:t xml:space="preserve">Households per village: 4000</w:t>
      </w:r>
    </w:p>
    <w:p>
      <w:pPr/>
      <w:r>
        <w:t xml:space="preserve">These must be defined once, so that a tariff revision happens in one place only. The partly applied tariff revision in the spreadsheet is exactly what goes wrong when numbers are typed in many places.</w:t>
      </w:r>
    </w:p>
    <w:p>
      <w:pPr>
        <w:pStyle w:val="Heading2"/>
      </w:pPr>
      <w:r>
        <w:t xml:space="preserve">3. Negative, fractional or very large?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Negative:</w:t>
      </w:r>
      <w:r>
        <w:t xml:space="preserve"> </w:t>
      </w:r>
      <w:r>
        <w:rPr>
          <w:rStyle w:val="CodeChar"/>
        </w:rPr>
        <w:t xml:space="preserve">current - previous</w:t>
      </w:r>
      <w:r>
        <w:t xml:space="preserve"> goes negative when the meter rolls over (65535 to 0). The units consumed, the energy charge and the total must never be negative. A negative raw difference is a rollover, not a refund.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Fractional:</w:t>
      </w:r>
      <w:r>
        <w:t xml:space="preserve"> the rate Rs 2.25 is fractional in rupees. Store money as whole </w:t>
      </w:r>
      <w:r>
        <w:rPr>
          <w:b/>
        </w:rPr>
        <w:t xml:space="preserve">paise</w:t>
      </w:r>
      <w:r>
        <w:t xml:space="preserve"> (225), so no fractions exist. Meter readings are whole units, so units are whole numbers.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Very large:</w:t>
      </w:r>
      <w:r>
        <w:t xml:space="preserve"> one bill is small, but totals are not. For a district of 800,000 houses at about Rs 1000 each, the total is about 8×10¹⁰ paise. That overflows a 32-bit integer (max about 2.1×10⁹), so totals need a 64-bit type.</w:t>
      </w:r>
    </w:p>
    <w:p>
      <w:pPr>
        <w:pStyle w:val="Heading2"/>
      </w:pPr>
      <w:r>
        <w:t xml:space="preserve">4. Rules a correct bill must satisfy</w:t>
      </w:r>
    </w:p>
    <w:p>
      <w:pPr>
        <w:pStyle w:val="ListParagraph"/>
        <w:numPr>
          <w:ilvl w:val="0"/>
          <w:numId w:val="4"/>
        </w:numPr>
      </w:pPr>
      <w:r>
        <w:t xml:space="preserve">0 ≤ units ≤ 65535</w:t>
      </w:r>
    </w:p>
    <w:p>
      <w:pPr>
        <w:pStyle w:val="ListParagraph"/>
        <w:numPr>
          <w:ilvl w:val="0"/>
          <w:numId w:val="4"/>
        </w:numPr>
      </w:pPr>
      <w:r>
        <w:t xml:space="preserve">Units = (current − previous) modulo 65536, which handles rollover</w:t>
      </w:r>
    </w:p>
    <w:p>
      <w:pPr>
        <w:pStyle w:val="ListParagraph"/>
        <w:numPr>
          <w:ilvl w:val="0"/>
          <w:numId w:val="4"/>
        </w:numPr>
      </w:pPr>
      <w:r>
        <w:t xml:space="preserve">Energy charge = sum of (units in each slab × that slab's rate)</w:t>
      </w:r>
    </w:p>
    <w:p>
      <w:pPr>
        <w:pStyle w:val="ListParagraph"/>
        <w:numPr>
          <w:ilvl w:val="0"/>
          <w:numId w:val="4"/>
        </w:numPr>
      </w:pPr>
      <w:r>
        <w:t xml:space="preserve">Total = energy charge + fixed charge (the total equals the sum of its parts)</w:t>
      </w:r>
    </w:p>
    <w:p>
      <w:pPr>
        <w:pStyle w:val="ListParagraph"/>
        <w:numPr>
          <w:ilvl w:val="0"/>
          <w:numId w:val="4"/>
        </w:numPr>
      </w:pPr>
      <w:r>
        <w:t xml:space="preserve">Total ≥ fixed charge, so a bill is never negative</w:t>
      </w:r>
    </w:p>
    <w:p>
      <w:pPr>
        <w:pStyle w:val="ListParagraph"/>
        <w:numPr>
          <w:ilvl w:val="0"/>
          <w:numId w:val="4"/>
        </w:numPr>
      </w:pPr>
      <w:r>
        <w:t xml:space="preserve">More units never means a lower bill</w:t>
      </w:r>
    </w:p>
    <w:p>
      <w:pPr>
        <w:pStyle w:val="ListParagraph"/>
        <w:numPr>
          <w:ilvl w:val="0"/>
          <w:numId w:val="4"/>
        </w:numPr>
      </w:pPr>
      <w:r>
        <w:t xml:space="preserve">Every amount is a whole number of paise, correct to the paise</w:t>
      </w:r>
    </w:p>
    <w:p>
      <w:pPr>
        <w:pStyle w:val="ListParagraph"/>
        <w:numPr>
          <w:ilvl w:val="0"/>
          <w:numId w:val="4"/>
        </w:numPr>
      </w:pPr>
      <w:r>
        <w:t xml:space="preserve">Village total = sum of its households' bills, and a taluk total = sum of its villages</w:t>
      </w:r>
    </w:p>
    <w:p>
      <w:pPr/>
      <w:r>
        <w:t xml:space="preserve">Check with 350 units: 100 free + 100 × 225 + 150 × 450 = 90,000 paise, plus 5,000 fixed = 95,000 paise = </w:t>
      </w:r>
      <w:r>
        <w:rPr>
          <w:b/>
        </w:rPr>
        <w:t xml:space="preserve">Rs 950.00</w:t>
      </w:r>
      <w:r>
        <w:t xml:space="preserve">. This matches the expected output in Task 3.</w:t>
      </w:r>
    </w:p>
    <w:p>
      <w:pPr>
        <w:pStyle w:val="Heading2"/>
      </w:pPr>
      <w:r>
        <w:t xml:space="preserve">5. Assumptions</w:t>
      </w:r>
    </w:p>
    <w:p>
      <w:pPr>
        <w:pStyle w:val="ListParagraph"/>
        <w:numPr>
          <w:ilvl w:val="0"/>
          <w:numId w:val="5"/>
        </w:numPr>
      </w:pPr>
      <w:r>
        <w:t xml:space="preserve">Readings are whole numbers, taken once per billing month.</w:t>
      </w:r>
    </w:p>
    <w:p>
      <w:pPr>
        <w:pStyle w:val="ListParagraph"/>
        <w:numPr>
          <w:ilvl w:val="0"/>
          <w:numId w:val="5"/>
        </w:numPr>
      </w:pPr>
      <w:r>
        <w:t xml:space="preserve">The meter rolls over at most once per cycle, so consumption is under 65536.</w:t>
      </w:r>
    </w:p>
    <w:p>
      <w:pPr>
        <w:pStyle w:val="ListParagraph"/>
        <w:numPr>
          <w:ilvl w:val="0"/>
          <w:numId w:val="5"/>
        </w:numPr>
      </w:pPr>
      <w:r>
        <w:t xml:space="preserve">If previous equals current, the consumption is 0, not a full wrap.</w:t>
      </w:r>
    </w:p>
    <w:p>
      <w:pPr>
        <w:pStyle w:val="ListParagraph"/>
        <w:numPr>
          <w:ilvl w:val="0"/>
          <w:numId w:val="5"/>
        </w:numPr>
      </w:pPr>
      <w:r>
        <w:t xml:space="preserve">All households of one category use the same tariff.</w:t>
      </w:r>
    </w:p>
    <w:p>
      <w:pPr>
        <w:pStyle w:val="ListParagraph"/>
        <w:numPr>
          <w:ilvl w:val="0"/>
          <w:numId w:val="5"/>
        </w:numPr>
      </w:pPr>
      <w:r>
        <w:t xml:space="preserve">The fixed charge applies even at 0 units.</w:t>
      </w:r>
    </w:p>
    <w:p>
      <w:pPr>
        <w:pStyle w:val="ListParagraph"/>
        <w:numPr>
          <w:ilvl w:val="0"/>
          <w:numId w:val="5"/>
        </w:numPr>
      </w:pPr>
      <w:r>
        <w:t xml:space="preserve">Household numbers are unique.</w:t>
      </w:r>
    </w:p>
    <w:p>
      <w:pPr>
        <w:pStyle w:val="ListParagraph"/>
        <w:numPr>
          <w:ilvl w:val="0"/>
          <w:numId w:val="5"/>
        </w:numPr>
      </w:pPr>
      <w:r>
        <w:t xml:space="preserve">No taxes or late fees are included.</w:t>
      </w:r>
    </w:p>
    <w:p>
      <w:pPr>
        <w:pStyle w:val="Heading2"/>
      </w:pPr>
      <w:r>
        <w:t xml:space="preserve">6. Alternative analysis: readings stored as text ("01530")</w:t>
      </w:r>
    </w:p>
    <w:p>
      <w:pPr/>
      <w:r>
        <w:t xml:space="preserve">Let d be the number of digits per reading (d = 5 here).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3"/>
        <w:gridCol w:w="2867"/>
        <w:gridCol w:w="3710"/>
      </w:tblGrid>
      <w:tr>
        <w:trPr>
          <w:tblHeader/>
        </w:trPr>
        <w:tc>
          <w:tcPr>
            <w:tcW w:w="2783" w:type="dxa"/>
            <w:shd w:val="clear" w:color="auto" w:fill="F2F2F2"/>
          </w:tcPr>
          <w:p>
            <w:pPr/>
          </w:p>
        </w:tc>
        <w:tc>
          <w:tcPr>
            <w:tcW w:w="2867" w:type="dxa"/>
            <w:shd w:val="clear" w:color="auto" w:fill="F2F2F2"/>
          </w:tcPr>
          <w:p>
            <w:pPr/>
            <w:r>
              <w:t xml:space="preserve">Integer (</w:t>
            </w:r>
            <w:r>
              <w:rPr>
                <w:rStyle w:val="CodeChar"/>
              </w:rPr>
              <w:t xml:space="preserve">unsigned short</w:t>
            </w:r>
            <w:r>
              <w:t xml:space="preserve">)</w:t>
            </w:r>
          </w:p>
        </w:tc>
        <w:tc>
          <w:tcPr>
            <w:tcW w:w="3710" w:type="dxa"/>
            <w:shd w:val="clear" w:color="auto" w:fill="F2F2F2"/>
          </w:tcPr>
          <w:p>
            <w:pPr/>
            <w:r>
              <w:t xml:space="preserve">Text string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Space per reading</w:t>
            </w:r>
          </w:p>
        </w:tc>
        <w:tc>
          <w:tcPr>
            <w:tcW w:w="2867" w:type="dxa"/>
          </w:tcPr>
          <w:p>
            <w:pPr/>
            <w:r>
              <w:t xml:space="preserve">2 bytes</w:t>
            </w:r>
          </w:p>
        </w:tc>
        <w:tc>
          <w:tcPr>
            <w:tcW w:w="3710" w:type="dxa"/>
          </w:tcPr>
          <w:p>
            <w:pPr/>
            <w:r>
              <w:t xml:space="preserve">d + 1 = 6 bytes (with the </w:t>
            </w:r>
            <w:r>
              <w:rPr>
                <w:rStyle w:val="CodeChar"/>
              </w:rPr>
              <w:t xml:space="preserve">'\0'</w:t>
            </w:r>
            <w:r>
              <w:t xml:space="preserve">)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Converting to a number</w:t>
            </w:r>
          </w:p>
        </w:tc>
        <w:tc>
          <w:tcPr>
            <w:tcW w:w="2867" w:type="dxa"/>
          </w:tcPr>
          <w:p>
            <w:pPr/>
            <w:r>
              <w:t xml:space="preserve">none</w:t>
            </w:r>
          </w:p>
        </w:tc>
        <w:tc>
          <w:tcPr>
            <w:tcW w:w="3710" w:type="dxa"/>
          </w:tcPr>
          <w:p>
            <w:pPr/>
            <w:r>
              <w:t xml:space="preserve">O(d), since each digit is read once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Comparing two readings</w:t>
            </w:r>
          </w:p>
        </w:tc>
        <w:tc>
          <w:tcPr>
            <w:tcW w:w="2867" w:type="dxa"/>
          </w:tcPr>
          <w:p>
            <w:pPr/>
            <w:r>
              <w:t xml:space="preserve">O(1)</w:t>
            </w:r>
          </w:p>
        </w:tc>
        <w:tc>
          <w:tcPr>
            <w:tcW w:w="3710" w:type="dxa"/>
          </w:tcPr>
          <w:p>
            <w:pPr/>
            <w:r>
              <w:t xml:space="preserve">O(d)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Subtracting</w:t>
            </w:r>
          </w:p>
        </w:tc>
        <w:tc>
          <w:tcPr>
            <w:tcW w:w="2867" w:type="dxa"/>
          </w:tcPr>
          <w:p>
            <w:pPr/>
            <w:r>
              <w:t xml:space="preserve">O(1)</w:t>
            </w:r>
          </w:p>
        </w:tc>
        <w:tc>
          <w:tcPr>
            <w:tcW w:w="3710" w:type="dxa"/>
          </w:tcPr>
          <w:p>
            <w:pPr/>
            <w:r>
              <w:t xml:space="preserve">O(d) (convert first, or subtract digit by digit with borrow)</w:t>
            </w:r>
          </w:p>
        </w:tc>
      </w:tr>
      <w:tr>
        <w:tc>
          <w:tcPr>
            <w:tcW w:w="2783" w:type="dxa"/>
          </w:tcPr>
          <w:p>
            <w:pPr/>
            <w:r>
              <w:t xml:space="preserve">Checking input</w:t>
            </w:r>
          </w:p>
        </w:tc>
        <w:tc>
          <w:tcPr>
            <w:tcW w:w="2867" w:type="dxa"/>
          </w:tcPr>
          <w:p>
            <w:pPr/>
            <w:r>
              <w:t xml:space="preserve">the type guarantees it</w:t>
            </w:r>
          </w:p>
        </w:tc>
        <w:tc>
          <w:tcPr>
            <w:tcW w:w="3710" w:type="dxa"/>
          </w:tcPr>
          <w:p>
            <w:pPr/>
            <w:r>
              <w:t xml:space="preserve">you must check for non-digit characters</w:t>
            </w:r>
          </w:p>
        </w:tc>
      </w:tr>
    </w:tbl>
    <w:p>
      <w:pPr/>
      <w:r>
        <w:t xml:space="preserve">For n households, the integer version takes O(n) time and the text version O(n·d). Because d is fixed at 5, both are linear in n, but the text version has a bigger constant. Space grows linearly in both. For 800,000 households with 2 readings each, text needs about 9.6 MB and integers about 3.2 MB, so text uses 3× as much space. Rollover is also harder to handle with strings. The conclusion is to store readings as integers.</w:t>
      </w:r>
    </w:p>
    <w:p>
      <w:pPr/>
      <w:r>
        <w:t xml:space="preserve">For own measurements, write a small program that converts and subtracts 1 million readings both ways, time each with </w:t>
      </w:r>
      <w:r>
        <w:rPr>
          <w:rStyle w:val="CodeChar"/>
        </w:rPr>
        <w:t xml:space="preserve">clock()</w:t>
      </w:r>
      <w:r>
        <w:t xml:space="preserve">, and record the numbers here.</w:t>
      </w:r>
    </w:p>
    <w:p>
      <w:pPr>
        <w:pStyle w:val="Heading2"/>
      </w:pPr>
      <w:r>
        <w:t xml:space="preserve">Evidence expected</w:t>
      </w:r>
    </w:p>
    <w:p>
      <w:pPr/>
      <w:r>
        <w:t xml:space="preserve">A clear analysis of the inputs, outputs, constants, rules and assumptions of the billing problem, as set out in the tables and lists above.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Task 1 – Understand the Problem and Identify the Data</dc:title>
  <dc:description>Claude Docs node/51bd2272-818e@1 docx-w7</dc:description>
  <cp:revision>1</cp:revision>
</cp:coreProperties>
</file>