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44A0" w14:textId="45D9E825" w:rsidR="009429A2" w:rsidRDefault="00671A3E" w:rsidP="00CB018C">
      <w:pPr>
        <w:pStyle w:val="Heading1"/>
      </w:pPr>
      <w:r w:rsidRPr="00671A3E">
        <w:t>Let's build some agents! Can you suggest some use-cases for a global pharma company</w:t>
      </w:r>
    </w:p>
    <w:p w14:paraId="429676A8" w14:textId="77777777" w:rsidR="00CB018C" w:rsidRPr="00CB018C" w:rsidRDefault="00CB018C" w:rsidP="00CB018C">
      <w:pPr>
        <w:rPr>
          <w:b/>
          <w:bCs/>
        </w:rPr>
      </w:pPr>
      <w:r w:rsidRPr="00CB018C">
        <w:rPr>
          <w:b/>
          <w:bCs/>
        </w:rPr>
        <w:t>AI Agent Use Cases for Global Pharma</w:t>
      </w:r>
    </w:p>
    <w:p w14:paraId="2152D789" w14:textId="77777777" w:rsidR="00CB018C" w:rsidRPr="00CB018C" w:rsidRDefault="00CB018C" w:rsidP="00CB018C">
      <w:r w:rsidRPr="00CB018C">
        <w:t>AI agents can transform pharmaceutical operations by automating complex, data-heavy workflows across research, commercial, and compliance sectors.</w:t>
      </w:r>
    </w:p>
    <w:p w14:paraId="022367B5" w14:textId="77777777" w:rsidR="00CB018C" w:rsidRPr="00CB018C" w:rsidRDefault="00CB018C" w:rsidP="00CB018C">
      <w:pPr>
        <w:rPr>
          <w:b/>
          <w:bCs/>
        </w:rPr>
      </w:pPr>
      <w:r w:rsidRPr="00CB018C">
        <w:rPr>
          <w:rFonts w:ascii="Segoe UI Emoji" w:hAnsi="Segoe UI Emoji" w:cs="Segoe UI Emoji"/>
          <w:b/>
          <w:bCs/>
        </w:rPr>
        <w:t>🔬</w:t>
      </w:r>
      <w:r w:rsidRPr="00CB018C">
        <w:rPr>
          <w:b/>
          <w:bCs/>
        </w:rPr>
        <w:t xml:space="preserve"> Research &amp; Development</w:t>
      </w:r>
    </w:p>
    <w:p w14:paraId="234E426D" w14:textId="77777777" w:rsidR="00CB018C" w:rsidRPr="00CB018C" w:rsidRDefault="00CB018C" w:rsidP="00CB018C">
      <w:pPr>
        <w:numPr>
          <w:ilvl w:val="0"/>
          <w:numId w:val="1"/>
        </w:numPr>
      </w:pPr>
      <w:r w:rsidRPr="00CB018C">
        <w:rPr>
          <w:b/>
          <w:bCs/>
        </w:rPr>
        <w:t>Literature Discovery Agent</w:t>
      </w:r>
      <w:r w:rsidRPr="00CB018C">
        <w:t>: Scans research papers, patents, and clinical trials daily. It summarizes breakthroughs and alerts scientists to new target molecules.</w:t>
      </w:r>
    </w:p>
    <w:p w14:paraId="0C5727DE" w14:textId="77777777" w:rsidR="00CB018C" w:rsidRPr="00CB018C" w:rsidRDefault="00CB018C" w:rsidP="00CB018C">
      <w:pPr>
        <w:numPr>
          <w:ilvl w:val="0"/>
          <w:numId w:val="1"/>
        </w:numPr>
      </w:pPr>
      <w:r w:rsidRPr="00CB018C">
        <w:rPr>
          <w:b/>
          <w:bCs/>
        </w:rPr>
        <w:t>Protocol Synthesis Agent</w:t>
      </w:r>
      <w:r w:rsidRPr="00CB018C">
        <w:t>: Drafts clinical trial protocols by analyzing past trial designs. It predicts potential patient recruitment bottlenecks.</w:t>
      </w:r>
    </w:p>
    <w:p w14:paraId="06A13915" w14:textId="77777777" w:rsidR="00CB018C" w:rsidRPr="00CB018C" w:rsidRDefault="00CB018C" w:rsidP="00CB018C">
      <w:pPr>
        <w:numPr>
          <w:ilvl w:val="0"/>
          <w:numId w:val="1"/>
        </w:numPr>
      </w:pPr>
      <w:r w:rsidRPr="00CB018C">
        <w:rPr>
          <w:b/>
          <w:bCs/>
        </w:rPr>
        <w:t>Synthetic Control Agent</w:t>
      </w:r>
      <w:r w:rsidRPr="00CB018C">
        <w:t>: Matches historical patient data to create virtual control groups. This reduces the number of physical patients needed for trials.</w:t>
      </w:r>
    </w:p>
    <w:p w14:paraId="72178E67" w14:textId="77777777" w:rsidR="00CB018C" w:rsidRPr="00CB018C" w:rsidRDefault="00CB018C" w:rsidP="00CB018C">
      <w:pPr>
        <w:rPr>
          <w:b/>
          <w:bCs/>
        </w:rPr>
      </w:pPr>
      <w:r w:rsidRPr="00CB018C">
        <w:rPr>
          <w:rFonts w:ascii="Segoe UI Emoji" w:hAnsi="Segoe UI Emoji" w:cs="Segoe UI Emoji"/>
          <w:b/>
          <w:bCs/>
        </w:rPr>
        <w:t>📋</w:t>
      </w:r>
      <w:r w:rsidRPr="00CB018C">
        <w:rPr>
          <w:b/>
          <w:bCs/>
        </w:rPr>
        <w:t xml:space="preserve"> Regulatory, Compliance &amp; Safety</w:t>
      </w:r>
    </w:p>
    <w:p w14:paraId="0CBEF2F7" w14:textId="77777777" w:rsidR="00CB018C" w:rsidRPr="00CB018C" w:rsidRDefault="00CB018C" w:rsidP="00CB018C">
      <w:pPr>
        <w:numPr>
          <w:ilvl w:val="0"/>
          <w:numId w:val="2"/>
        </w:numPr>
      </w:pPr>
      <w:r w:rsidRPr="00CB018C">
        <w:rPr>
          <w:b/>
          <w:bCs/>
        </w:rPr>
        <w:t>Safety Signal Agent</w:t>
      </w:r>
      <w:r w:rsidRPr="00CB018C">
        <w:t>: Monitors global health databases and social media for adverse events. It auto-fills draft safety reports for regulatory bodies.</w:t>
      </w:r>
    </w:p>
    <w:p w14:paraId="147BB6CA" w14:textId="77777777" w:rsidR="00CB018C" w:rsidRPr="00CB018C" w:rsidRDefault="00CB018C" w:rsidP="00CB018C">
      <w:pPr>
        <w:numPr>
          <w:ilvl w:val="0"/>
          <w:numId w:val="2"/>
        </w:numPr>
      </w:pPr>
      <w:r w:rsidRPr="00CB018C">
        <w:rPr>
          <w:b/>
          <w:bCs/>
        </w:rPr>
        <w:t>Submission Readiness Agent</w:t>
      </w:r>
      <w:r w:rsidRPr="00CB018C">
        <w:t>: Audits regulatory filing documents against regional checklists (FDA, EMA). It flags missing data or formatting errors.</w:t>
      </w:r>
    </w:p>
    <w:p w14:paraId="69201AAD" w14:textId="77777777" w:rsidR="00CB018C" w:rsidRPr="00CB018C" w:rsidRDefault="00CB018C" w:rsidP="00CB018C">
      <w:pPr>
        <w:numPr>
          <w:ilvl w:val="0"/>
          <w:numId w:val="2"/>
        </w:numPr>
      </w:pPr>
      <w:r w:rsidRPr="00CB018C">
        <w:rPr>
          <w:b/>
          <w:bCs/>
        </w:rPr>
        <w:t>Labeling Alignment Agent</w:t>
      </w:r>
      <w:r w:rsidRPr="00CB018C">
        <w:t>: Tracks global regulatory updates. It flags required changes for drug packaging inserts across different countries.</w:t>
      </w:r>
    </w:p>
    <w:p w14:paraId="0FAC6100" w14:textId="77777777" w:rsidR="00CB018C" w:rsidRPr="00CB018C" w:rsidRDefault="00CB018C" w:rsidP="00CB018C">
      <w:pPr>
        <w:rPr>
          <w:b/>
          <w:bCs/>
        </w:rPr>
      </w:pPr>
      <w:r w:rsidRPr="00CB018C">
        <w:rPr>
          <w:rFonts w:ascii="Segoe UI Emoji" w:hAnsi="Segoe UI Emoji" w:cs="Segoe UI Emoji"/>
          <w:b/>
          <w:bCs/>
        </w:rPr>
        <w:t>🏭</w:t>
      </w:r>
      <w:r w:rsidRPr="00CB018C">
        <w:rPr>
          <w:b/>
          <w:bCs/>
        </w:rPr>
        <w:t xml:space="preserve"> Supply Chain &amp; Manufacturing</w:t>
      </w:r>
    </w:p>
    <w:p w14:paraId="63120408" w14:textId="77777777" w:rsidR="00CB018C" w:rsidRPr="00CB018C" w:rsidRDefault="00CB018C" w:rsidP="00CB018C">
      <w:pPr>
        <w:numPr>
          <w:ilvl w:val="0"/>
          <w:numId w:val="3"/>
        </w:numPr>
      </w:pPr>
      <w:r w:rsidRPr="00CB018C">
        <w:rPr>
          <w:b/>
          <w:bCs/>
        </w:rPr>
        <w:t>Batch Release Agent</w:t>
      </w:r>
      <w:r w:rsidRPr="00CB018C">
        <w:t>: Reviews manufacturing logs, lab test results, and environmental data. It highlights deviations to speed up batch certification.</w:t>
      </w:r>
    </w:p>
    <w:p w14:paraId="4531883D" w14:textId="77777777" w:rsidR="00CB018C" w:rsidRPr="00CB018C" w:rsidRDefault="00CB018C" w:rsidP="00CB018C">
      <w:pPr>
        <w:numPr>
          <w:ilvl w:val="0"/>
          <w:numId w:val="3"/>
        </w:numPr>
      </w:pPr>
      <w:r w:rsidRPr="00CB018C">
        <w:rPr>
          <w:b/>
          <w:bCs/>
        </w:rPr>
        <w:t>Cold-Chain Sentinel Agent</w:t>
      </w:r>
      <w:r w:rsidRPr="00CB018C">
        <w:t>: Monitors real-time temperature data from IoT sensors during shipping. It reroutes or alerts logistics if a temperature breach is predicted.</w:t>
      </w:r>
    </w:p>
    <w:p w14:paraId="18446421" w14:textId="77777777" w:rsidR="00CB018C" w:rsidRPr="00CB018C" w:rsidRDefault="00CB018C" w:rsidP="00CB018C">
      <w:pPr>
        <w:numPr>
          <w:ilvl w:val="0"/>
          <w:numId w:val="3"/>
        </w:numPr>
      </w:pPr>
      <w:r w:rsidRPr="00CB018C">
        <w:rPr>
          <w:b/>
          <w:bCs/>
        </w:rPr>
        <w:t>Procurement Forecasting Agent</w:t>
      </w:r>
      <w:r w:rsidRPr="00CB018C">
        <w:t>: Predicts global shortages of active pharmaceutical ingredients (APIs). It automatically initiates alternative vendor assessments.</w:t>
      </w:r>
    </w:p>
    <w:p w14:paraId="12C202E8" w14:textId="77777777" w:rsidR="00CB018C" w:rsidRPr="00CB018C" w:rsidRDefault="00CB018C" w:rsidP="00CB018C">
      <w:pPr>
        <w:rPr>
          <w:b/>
          <w:bCs/>
        </w:rPr>
      </w:pPr>
      <w:r w:rsidRPr="00CB018C">
        <w:rPr>
          <w:rFonts w:ascii="Segoe UI Emoji" w:hAnsi="Segoe UI Emoji" w:cs="Segoe UI Emoji"/>
          <w:b/>
          <w:bCs/>
        </w:rPr>
        <w:t>💼</w:t>
      </w:r>
      <w:r w:rsidRPr="00CB018C">
        <w:rPr>
          <w:b/>
          <w:bCs/>
        </w:rPr>
        <w:t xml:space="preserve"> Commercial &amp; Medical Affairs</w:t>
      </w:r>
    </w:p>
    <w:p w14:paraId="37F64B9C" w14:textId="77777777" w:rsidR="00CB018C" w:rsidRPr="00CB018C" w:rsidRDefault="00CB018C" w:rsidP="00CB018C">
      <w:pPr>
        <w:numPr>
          <w:ilvl w:val="0"/>
          <w:numId w:val="4"/>
        </w:numPr>
      </w:pPr>
      <w:r w:rsidRPr="00CB018C">
        <w:rPr>
          <w:b/>
          <w:bCs/>
        </w:rPr>
        <w:lastRenderedPageBreak/>
        <w:t>Medical Inquiry Agent</w:t>
      </w:r>
      <w:r w:rsidRPr="00CB018C">
        <w:t>: Drafts highly technical, compliant responses for medical science liaisons (MSLs) handling physician inquiries.</w:t>
      </w:r>
    </w:p>
    <w:p w14:paraId="7EBF6487" w14:textId="77777777" w:rsidR="00CB018C" w:rsidRPr="00CB018C" w:rsidRDefault="00CB018C" w:rsidP="00CB018C">
      <w:pPr>
        <w:numPr>
          <w:ilvl w:val="0"/>
          <w:numId w:val="4"/>
        </w:numPr>
      </w:pPr>
      <w:r w:rsidRPr="00CB018C">
        <w:rPr>
          <w:b/>
          <w:bCs/>
        </w:rPr>
        <w:t>Market Access Agent</w:t>
      </w:r>
      <w:r w:rsidRPr="00CB018C">
        <w:t>: Analyzes regional health economics data to build pricing and reimbursement dossiers for insurance payers.</w:t>
      </w:r>
    </w:p>
    <w:p w14:paraId="0F808C7A" w14:textId="77777777" w:rsidR="00CB018C" w:rsidRPr="00CB018C" w:rsidRDefault="00CB018C" w:rsidP="00CB018C">
      <w:pPr>
        <w:numPr>
          <w:ilvl w:val="0"/>
          <w:numId w:val="4"/>
        </w:numPr>
      </w:pPr>
      <w:r w:rsidRPr="00CB018C">
        <w:rPr>
          <w:b/>
          <w:bCs/>
        </w:rPr>
        <w:t>Content Compliance Agent</w:t>
      </w:r>
      <w:r w:rsidRPr="00CB018C">
        <w:t>: Pre-screens marketing materials against strict healthcare advertising laws before final human legal review.</w:t>
      </w:r>
    </w:p>
    <w:p w14:paraId="5D30BC95" w14:textId="77777777" w:rsidR="00CB018C" w:rsidRDefault="00CB018C" w:rsidP="00CB018C"/>
    <w:p w14:paraId="6CF70933" w14:textId="346A6FBA" w:rsidR="00A7379C" w:rsidRDefault="0067464C" w:rsidP="00A7379C">
      <w:pPr>
        <w:pStyle w:val="Heading1"/>
      </w:pPr>
      <w:r>
        <w:t xml:space="preserve">Please </w:t>
      </w:r>
      <w:r w:rsidR="00A7379C" w:rsidRPr="00A7379C">
        <w:t>suggest some use cases for RAG solutions at a pharma company</w:t>
      </w:r>
    </w:p>
    <w:p w14:paraId="24A37603" w14:textId="77777777" w:rsidR="0067464C" w:rsidRPr="0067464C" w:rsidRDefault="0067464C" w:rsidP="0067464C">
      <w:r w:rsidRPr="0067464C">
        <w:t xml:space="preserve">Retrieval-Augmented Generation (RAG) is highly valuable in the pharmaceutical industry for connecting large language models (LLMs) with specialized, proprietary, and up-to-date scientific data. Key use cases include expediting </w:t>
      </w:r>
      <w:r w:rsidRPr="0067464C">
        <w:rPr>
          <w:b/>
          <w:bCs/>
        </w:rPr>
        <w:t>drug discovery</w:t>
      </w:r>
      <w:r w:rsidRPr="0067464C">
        <w:t xml:space="preserve">, optimizing </w:t>
      </w:r>
      <w:r w:rsidRPr="0067464C">
        <w:rPr>
          <w:b/>
          <w:bCs/>
        </w:rPr>
        <w:t>clinical trials</w:t>
      </w:r>
      <w:r w:rsidRPr="0067464C">
        <w:t xml:space="preserve">, ensuring </w:t>
      </w:r>
      <w:r w:rsidRPr="0067464C">
        <w:rPr>
          <w:b/>
          <w:bCs/>
        </w:rPr>
        <w:t>regulatory compliance</w:t>
      </w:r>
      <w:r w:rsidRPr="0067464C">
        <w:t xml:space="preserve">, and automating </w:t>
      </w:r>
      <w:r w:rsidRPr="0067464C">
        <w:rPr>
          <w:b/>
          <w:bCs/>
        </w:rPr>
        <w:t>pharmacovigilance</w:t>
      </w:r>
      <w:r w:rsidRPr="0067464C">
        <w:t>. [</w:t>
      </w:r>
      <w:hyperlink r:id="rId5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6" w:history="1">
        <w:r w:rsidRPr="0067464C">
          <w:rPr>
            <w:rStyle w:val="Hyperlink"/>
          </w:rPr>
          <w:t>2</w:t>
        </w:r>
      </w:hyperlink>
      <w:r w:rsidRPr="0067464C">
        <w:t xml:space="preserve">, </w:t>
      </w:r>
      <w:hyperlink r:id="rId7" w:history="1">
        <w:r w:rsidRPr="0067464C">
          <w:rPr>
            <w:rStyle w:val="Hyperlink"/>
          </w:rPr>
          <w:t>3</w:t>
        </w:r>
      </w:hyperlink>
      <w:r w:rsidRPr="0067464C">
        <w:t>]</w:t>
      </w:r>
    </w:p>
    <w:p w14:paraId="2DF314E7" w14:textId="77777777" w:rsidR="0067464C" w:rsidRPr="0067464C" w:rsidRDefault="0067464C" w:rsidP="0067464C">
      <w:r w:rsidRPr="0067464C">
        <w:t>Here is a breakdown of specific, actionable use cases across a pharma company:</w:t>
      </w:r>
    </w:p>
    <w:p w14:paraId="6175A427" w14:textId="77777777" w:rsidR="0067464C" w:rsidRPr="0067464C" w:rsidRDefault="0067464C" w:rsidP="0067464C">
      <w:pPr>
        <w:rPr>
          <w:b/>
          <w:bCs/>
        </w:rPr>
      </w:pPr>
      <w:r w:rsidRPr="0067464C">
        <w:rPr>
          <w:b/>
          <w:bCs/>
        </w:rPr>
        <w:t>1. Research &amp; Discovery</w:t>
      </w:r>
    </w:p>
    <w:p w14:paraId="79275BE2" w14:textId="77777777" w:rsidR="0067464C" w:rsidRPr="0067464C" w:rsidRDefault="0067464C" w:rsidP="0067464C">
      <w:pPr>
        <w:numPr>
          <w:ilvl w:val="0"/>
          <w:numId w:val="5"/>
        </w:numPr>
      </w:pPr>
      <w:r w:rsidRPr="0067464C">
        <w:rPr>
          <w:b/>
          <w:bCs/>
        </w:rPr>
        <w:t>Literature &amp; Knowledge Mining:</w:t>
      </w:r>
      <w:r w:rsidRPr="0067464C">
        <w:t xml:space="preserve"> Researchers can query across millions of internal research documents, patents, and public databases (e.g., PubMed) to identify biological targets or cross-reference past experiments.</w:t>
      </w:r>
    </w:p>
    <w:p w14:paraId="75FCE6A2" w14:textId="77777777" w:rsidR="0067464C" w:rsidRPr="0067464C" w:rsidRDefault="0067464C" w:rsidP="0067464C">
      <w:pPr>
        <w:numPr>
          <w:ilvl w:val="0"/>
          <w:numId w:val="5"/>
        </w:numPr>
      </w:pPr>
      <w:r w:rsidRPr="0067464C">
        <w:rPr>
          <w:b/>
          <w:bCs/>
        </w:rPr>
        <w:t>Connecting ELN &amp; LIMS:</w:t>
      </w:r>
      <w:r w:rsidRPr="0067464C">
        <w:t xml:space="preserve"> RAG can parse unstructured notes in Electronic Lab Notebooks (ELN) and link them to quantitative data in Laboratory Information Management Systems (LIMS), surfacing past assay results and protocol variations. [</w:t>
      </w:r>
      <w:hyperlink r:id="rId8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9" w:history="1">
        <w:r w:rsidRPr="0067464C">
          <w:rPr>
            <w:rStyle w:val="Hyperlink"/>
          </w:rPr>
          <w:t>2</w:t>
        </w:r>
      </w:hyperlink>
      <w:r w:rsidRPr="0067464C">
        <w:t>]</w:t>
      </w:r>
    </w:p>
    <w:p w14:paraId="0228C6AC" w14:textId="77777777" w:rsidR="0067464C" w:rsidRPr="0067464C" w:rsidRDefault="0067464C" w:rsidP="0067464C">
      <w:pPr>
        <w:rPr>
          <w:b/>
          <w:bCs/>
        </w:rPr>
      </w:pPr>
      <w:r w:rsidRPr="0067464C">
        <w:rPr>
          <w:b/>
          <w:bCs/>
        </w:rPr>
        <w:t>2. Clinical Trials</w:t>
      </w:r>
    </w:p>
    <w:p w14:paraId="715A64A9" w14:textId="77777777" w:rsidR="0067464C" w:rsidRPr="0067464C" w:rsidRDefault="0067464C" w:rsidP="0067464C">
      <w:pPr>
        <w:numPr>
          <w:ilvl w:val="0"/>
          <w:numId w:val="6"/>
        </w:numPr>
      </w:pPr>
      <w:r w:rsidRPr="0067464C">
        <w:rPr>
          <w:b/>
          <w:bCs/>
        </w:rPr>
        <w:t>Protocol Design Optimization:</w:t>
      </w:r>
      <w:r w:rsidRPr="0067464C">
        <w:t xml:space="preserve"> AI can retrieve historical trial data, electronic health records (EHRs), and patient registries to help researchers design efficient clinical trials, predict enrollment timelines, and optimize inclusion/exclusion criteria.</w:t>
      </w:r>
    </w:p>
    <w:p w14:paraId="33D49FBC" w14:textId="77777777" w:rsidR="0067464C" w:rsidRPr="0067464C" w:rsidRDefault="0067464C" w:rsidP="0067464C">
      <w:pPr>
        <w:numPr>
          <w:ilvl w:val="0"/>
          <w:numId w:val="6"/>
        </w:numPr>
      </w:pPr>
      <w:r w:rsidRPr="0067464C">
        <w:rPr>
          <w:b/>
          <w:bCs/>
        </w:rPr>
        <w:t>Site Feasibility &amp; Selection:</w:t>
      </w:r>
      <w:r w:rsidRPr="0067464C">
        <w:t xml:space="preserve"> RAG systems can analyze past trial performance metrics to recommend optimal trial site locations based on overlapping patient demographics and site capability. [</w:t>
      </w:r>
      <w:hyperlink r:id="rId10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11" w:history="1">
        <w:r w:rsidRPr="0067464C">
          <w:rPr>
            <w:rStyle w:val="Hyperlink"/>
          </w:rPr>
          <w:t>2</w:t>
        </w:r>
      </w:hyperlink>
      <w:r w:rsidRPr="0067464C">
        <w:t xml:space="preserve">, </w:t>
      </w:r>
      <w:hyperlink r:id="rId12" w:history="1">
        <w:r w:rsidRPr="0067464C">
          <w:rPr>
            <w:rStyle w:val="Hyperlink"/>
          </w:rPr>
          <w:t>3</w:t>
        </w:r>
      </w:hyperlink>
      <w:r w:rsidRPr="0067464C">
        <w:t>]</w:t>
      </w:r>
    </w:p>
    <w:p w14:paraId="7F00AEE8" w14:textId="77777777" w:rsidR="0067464C" w:rsidRPr="0067464C" w:rsidRDefault="0067464C" w:rsidP="0067464C">
      <w:pPr>
        <w:rPr>
          <w:b/>
          <w:bCs/>
        </w:rPr>
      </w:pPr>
      <w:r w:rsidRPr="0067464C">
        <w:rPr>
          <w:b/>
          <w:bCs/>
        </w:rPr>
        <w:t>3. Regulatory Affairs &amp; Compliance</w:t>
      </w:r>
    </w:p>
    <w:p w14:paraId="584302A6" w14:textId="77777777" w:rsidR="0067464C" w:rsidRPr="0067464C" w:rsidRDefault="0067464C" w:rsidP="0067464C">
      <w:pPr>
        <w:numPr>
          <w:ilvl w:val="0"/>
          <w:numId w:val="7"/>
        </w:numPr>
      </w:pPr>
      <w:r w:rsidRPr="0067464C">
        <w:rPr>
          <w:b/>
          <w:bCs/>
        </w:rPr>
        <w:lastRenderedPageBreak/>
        <w:t>Regulatory Document Drafting:</w:t>
      </w:r>
      <w:r w:rsidRPr="0067464C">
        <w:t xml:space="preserve"> Automate the writing of structured documents like Investigator Brochures (IB) and Clinical Study Reports (CSR) by retrieving exact data points from previous trial documentation.</w:t>
      </w:r>
    </w:p>
    <w:p w14:paraId="1DC98AA0" w14:textId="77777777" w:rsidR="0067464C" w:rsidRPr="0067464C" w:rsidRDefault="0067464C" w:rsidP="0067464C">
      <w:pPr>
        <w:numPr>
          <w:ilvl w:val="0"/>
          <w:numId w:val="7"/>
        </w:numPr>
      </w:pPr>
      <w:r w:rsidRPr="0067464C">
        <w:rPr>
          <w:b/>
          <w:bCs/>
        </w:rPr>
        <w:t>Compliance Checking:</w:t>
      </w:r>
      <w:r w:rsidRPr="0067464C">
        <w:t xml:space="preserve"> RAG can evaluate clinical protocols and regulatory submissions against current FDA, EMA, or other health authority guidelines, flagging deficiencies and citing exact requirements. [</w:t>
      </w:r>
      <w:hyperlink r:id="rId13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14" w:history="1">
        <w:r w:rsidRPr="0067464C">
          <w:rPr>
            <w:rStyle w:val="Hyperlink"/>
          </w:rPr>
          <w:t>2</w:t>
        </w:r>
      </w:hyperlink>
      <w:r w:rsidRPr="0067464C">
        <w:t>]</w:t>
      </w:r>
    </w:p>
    <w:p w14:paraId="57D7DA50" w14:textId="77777777" w:rsidR="0067464C" w:rsidRPr="0067464C" w:rsidRDefault="0067464C" w:rsidP="0067464C">
      <w:pPr>
        <w:rPr>
          <w:b/>
          <w:bCs/>
        </w:rPr>
      </w:pPr>
      <w:r w:rsidRPr="0067464C">
        <w:rPr>
          <w:b/>
          <w:bCs/>
        </w:rPr>
        <w:t>4. Pharmacovigilance &amp; Safety</w:t>
      </w:r>
    </w:p>
    <w:p w14:paraId="0EDF2620" w14:textId="77777777" w:rsidR="0067464C" w:rsidRPr="0067464C" w:rsidRDefault="0067464C" w:rsidP="0067464C">
      <w:pPr>
        <w:numPr>
          <w:ilvl w:val="0"/>
          <w:numId w:val="8"/>
        </w:numPr>
      </w:pPr>
      <w:r w:rsidRPr="0067464C">
        <w:rPr>
          <w:b/>
          <w:bCs/>
        </w:rPr>
        <w:t>Safety Signal Detection:</w:t>
      </w:r>
      <w:r w:rsidRPr="0067464C">
        <w:t xml:space="preserve"> RAG can continuously analyze large volumes of unstructured adverse event reports, medical literature, and real-world evidence, surfacing potential safety signals for human review while providing verifiable citations.</w:t>
      </w:r>
    </w:p>
    <w:p w14:paraId="21C66528" w14:textId="77777777" w:rsidR="0067464C" w:rsidRPr="0067464C" w:rsidRDefault="0067464C" w:rsidP="0067464C">
      <w:pPr>
        <w:numPr>
          <w:ilvl w:val="0"/>
          <w:numId w:val="8"/>
        </w:numPr>
      </w:pPr>
      <w:r w:rsidRPr="0067464C">
        <w:rPr>
          <w:b/>
          <w:bCs/>
        </w:rPr>
        <w:t>Aggregate Reporting:</w:t>
      </w:r>
      <w:r w:rsidRPr="0067464C">
        <w:t xml:space="preserve"> Streamline the generation of periodic safety update reports (PSURs) by instantly searching and summarizing global safety databases. [</w:t>
      </w:r>
      <w:hyperlink r:id="rId15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16" w:history="1">
        <w:r w:rsidRPr="0067464C">
          <w:rPr>
            <w:rStyle w:val="Hyperlink"/>
          </w:rPr>
          <w:t>2</w:t>
        </w:r>
      </w:hyperlink>
      <w:r w:rsidRPr="0067464C">
        <w:t xml:space="preserve">, </w:t>
      </w:r>
      <w:hyperlink r:id="rId17" w:history="1">
        <w:r w:rsidRPr="0067464C">
          <w:rPr>
            <w:rStyle w:val="Hyperlink"/>
          </w:rPr>
          <w:t>3</w:t>
        </w:r>
      </w:hyperlink>
      <w:r w:rsidRPr="0067464C">
        <w:t xml:space="preserve">, </w:t>
      </w:r>
      <w:hyperlink r:id="rId18" w:history="1">
        <w:r w:rsidRPr="0067464C">
          <w:rPr>
            <w:rStyle w:val="Hyperlink"/>
          </w:rPr>
          <w:t>4</w:t>
        </w:r>
      </w:hyperlink>
      <w:r w:rsidRPr="0067464C">
        <w:t>]</w:t>
      </w:r>
    </w:p>
    <w:p w14:paraId="5323669A" w14:textId="77777777" w:rsidR="0067464C" w:rsidRPr="0067464C" w:rsidRDefault="0067464C" w:rsidP="0067464C">
      <w:pPr>
        <w:rPr>
          <w:b/>
          <w:bCs/>
        </w:rPr>
      </w:pPr>
      <w:r w:rsidRPr="0067464C">
        <w:rPr>
          <w:b/>
          <w:bCs/>
        </w:rPr>
        <w:t>5. Medical Affairs &amp; Commercial</w:t>
      </w:r>
    </w:p>
    <w:p w14:paraId="10240F32" w14:textId="77777777" w:rsidR="0067464C" w:rsidRPr="0067464C" w:rsidRDefault="0067464C" w:rsidP="0067464C">
      <w:pPr>
        <w:numPr>
          <w:ilvl w:val="0"/>
          <w:numId w:val="9"/>
        </w:numPr>
      </w:pPr>
      <w:r w:rsidRPr="0067464C">
        <w:rPr>
          <w:b/>
          <w:bCs/>
        </w:rPr>
        <w:t>Medical Information Inquiries:</w:t>
      </w:r>
      <w:r w:rsidRPr="0067464C">
        <w:t xml:space="preserve"> Medical Science Liaisons (MSLs) and customer service teams can use RAG-powered chatbots to quickly answer complex questions from healthcare providers regarding dosages, off-label uses, or drug interactions, ensuring all responses are grounded in approved, up-to-date prescribing information.</w:t>
      </w:r>
    </w:p>
    <w:p w14:paraId="52679E32" w14:textId="77777777" w:rsidR="0067464C" w:rsidRPr="0067464C" w:rsidRDefault="0067464C" w:rsidP="0067464C">
      <w:pPr>
        <w:numPr>
          <w:ilvl w:val="0"/>
          <w:numId w:val="9"/>
        </w:numPr>
      </w:pPr>
      <w:r w:rsidRPr="0067464C">
        <w:rPr>
          <w:b/>
          <w:bCs/>
        </w:rPr>
        <w:t>Competitor Intelligence:</w:t>
      </w:r>
      <w:r w:rsidRPr="0067464C">
        <w:t xml:space="preserve"> Aggregate and summarize competitor trial data, press releases, and conference abstracts in real time. [</w:t>
      </w:r>
      <w:hyperlink r:id="rId19" w:history="1">
        <w:r w:rsidRPr="0067464C">
          <w:rPr>
            <w:rStyle w:val="Hyperlink"/>
          </w:rPr>
          <w:t>1</w:t>
        </w:r>
      </w:hyperlink>
      <w:r w:rsidRPr="0067464C">
        <w:t xml:space="preserve">, </w:t>
      </w:r>
      <w:hyperlink r:id="rId20" w:history="1">
        <w:r w:rsidRPr="0067464C">
          <w:rPr>
            <w:rStyle w:val="Hyperlink"/>
          </w:rPr>
          <w:t>2</w:t>
        </w:r>
      </w:hyperlink>
      <w:r w:rsidRPr="0067464C">
        <w:t xml:space="preserve">, </w:t>
      </w:r>
      <w:hyperlink r:id="rId21" w:history="1">
        <w:r w:rsidRPr="0067464C">
          <w:rPr>
            <w:rStyle w:val="Hyperlink"/>
          </w:rPr>
          <w:t>3</w:t>
        </w:r>
      </w:hyperlink>
      <w:r w:rsidRPr="0067464C">
        <w:t xml:space="preserve">, </w:t>
      </w:r>
      <w:hyperlink r:id="rId22" w:history="1">
        <w:r w:rsidRPr="0067464C">
          <w:rPr>
            <w:rStyle w:val="Hyperlink"/>
          </w:rPr>
          <w:t>4</w:t>
        </w:r>
      </w:hyperlink>
      <w:r w:rsidRPr="0067464C">
        <w:t xml:space="preserve">, </w:t>
      </w:r>
      <w:hyperlink r:id="rId23" w:history="1">
        <w:r w:rsidRPr="0067464C">
          <w:rPr>
            <w:rStyle w:val="Hyperlink"/>
          </w:rPr>
          <w:t>5</w:t>
        </w:r>
      </w:hyperlink>
      <w:r w:rsidRPr="0067464C">
        <w:t>]</w:t>
      </w:r>
    </w:p>
    <w:p w14:paraId="6CA6DA16" w14:textId="77777777" w:rsidR="00A7379C" w:rsidRDefault="00A7379C" w:rsidP="00A7379C"/>
    <w:p w14:paraId="7EC81B15" w14:textId="77777777" w:rsidR="00A7379C" w:rsidRPr="00A7379C" w:rsidRDefault="00A7379C" w:rsidP="00A7379C"/>
    <w:sectPr w:rsidR="00A7379C" w:rsidRPr="00A7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0C7"/>
    <w:multiLevelType w:val="multilevel"/>
    <w:tmpl w:val="52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51D8"/>
    <w:multiLevelType w:val="multilevel"/>
    <w:tmpl w:val="2FD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9EB"/>
    <w:multiLevelType w:val="multilevel"/>
    <w:tmpl w:val="521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C1245"/>
    <w:multiLevelType w:val="multilevel"/>
    <w:tmpl w:val="421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5328E"/>
    <w:multiLevelType w:val="multilevel"/>
    <w:tmpl w:val="3A7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20B7"/>
    <w:multiLevelType w:val="multilevel"/>
    <w:tmpl w:val="AD3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82885"/>
    <w:multiLevelType w:val="multilevel"/>
    <w:tmpl w:val="539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5756E"/>
    <w:multiLevelType w:val="multilevel"/>
    <w:tmpl w:val="93A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E2DB0"/>
    <w:multiLevelType w:val="multilevel"/>
    <w:tmpl w:val="C7E4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954">
    <w:abstractNumId w:val="8"/>
  </w:num>
  <w:num w:numId="2" w16cid:durableId="1784642010">
    <w:abstractNumId w:val="7"/>
  </w:num>
  <w:num w:numId="3" w16cid:durableId="628318788">
    <w:abstractNumId w:val="6"/>
  </w:num>
  <w:num w:numId="4" w16cid:durableId="641037202">
    <w:abstractNumId w:val="2"/>
  </w:num>
  <w:num w:numId="5" w16cid:durableId="401609690">
    <w:abstractNumId w:val="4"/>
  </w:num>
  <w:num w:numId="6" w16cid:durableId="1242181158">
    <w:abstractNumId w:val="3"/>
  </w:num>
  <w:num w:numId="7" w16cid:durableId="680938605">
    <w:abstractNumId w:val="1"/>
  </w:num>
  <w:num w:numId="8" w16cid:durableId="1167553787">
    <w:abstractNumId w:val="5"/>
  </w:num>
  <w:num w:numId="9" w16cid:durableId="197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35"/>
    <w:rsid w:val="00097EB0"/>
    <w:rsid w:val="00387972"/>
    <w:rsid w:val="00671A3E"/>
    <w:rsid w:val="0067464C"/>
    <w:rsid w:val="009429A2"/>
    <w:rsid w:val="009E5E7F"/>
    <w:rsid w:val="00A7379C"/>
    <w:rsid w:val="00B15D35"/>
    <w:rsid w:val="00CB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BFAD"/>
  <w15:chartTrackingRefBased/>
  <w15:docId w15:val="{194A50F1-8327-4CDB-BB5B-13B24A1F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pharmatoday.com/it-data-management/leveraging-global-drug-databases-to-accelerate-research-and-development/" TargetMode="External"/><Relationship Id="rId13" Type="http://schemas.openxmlformats.org/officeDocument/2006/relationships/hyperlink" Target="https://pmc.ncbi.nlm.nih.gov/articles/PMC12917324/" TargetMode="External"/><Relationship Id="rId18" Type="http://schemas.openxmlformats.org/officeDocument/2006/relationships/hyperlink" Target="https://www.sinequa.com/resources/blog/generative-ai-a-new-frontier-in-pharmaceutical-drug-development-and-clinical-trial-analysi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onic.ai/guides/rag-chatbot" TargetMode="External"/><Relationship Id="rId7" Type="http://schemas.openxmlformats.org/officeDocument/2006/relationships/hyperlink" Target="https://www.apexon.com/blog/empowering-discovery-the-role-of-rag-architecture-generative-ai-in-healthcare-life-sciences/" TargetMode="External"/><Relationship Id="rId12" Type="http://schemas.openxmlformats.org/officeDocument/2006/relationships/hyperlink" Target="https://www.apexon.com/blog/empowering-discovery-the-role-of-rag-architecture-generative-ai-in-healthcare-life-sciences/" TargetMode="External"/><Relationship Id="rId17" Type="http://schemas.openxmlformats.org/officeDocument/2006/relationships/hyperlink" Target="https://www.researchgate.net/publication/394842701_Pharmacovigilance_PV_Process_-_Easy_Overview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asuuglobal.com/what-is-aggregate-reporting-in-pharma/" TargetMode="External"/><Relationship Id="rId20" Type="http://schemas.openxmlformats.org/officeDocument/2006/relationships/hyperlink" Target="https://www.bis.org/ifc/publ/ifcb67_37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uitionlabs.ai/articles/rag-drug-discovery-eln-lims" TargetMode="External"/><Relationship Id="rId11" Type="http://schemas.openxmlformats.org/officeDocument/2006/relationships/hyperlink" Target="https://talbotwest.com/services/retrieval-augmented-generation/what-is-ra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sinequa.com/resources/blog/generative-ai-a-new-frontier-in-pharmaceutical-drug-development-and-clinical-trial-analysis/" TargetMode="External"/><Relationship Id="rId15" Type="http://schemas.openxmlformats.org/officeDocument/2006/relationships/hyperlink" Target="https://www.ddregpharma.com/what-is-case-processing-in-pharmacovigilance" TargetMode="External"/><Relationship Id="rId23" Type="http://schemas.openxmlformats.org/officeDocument/2006/relationships/hyperlink" Target="https://dev.to/loryne_joy/rag-for-dummies-1bjj" TargetMode="External"/><Relationship Id="rId10" Type="http://schemas.openxmlformats.org/officeDocument/2006/relationships/hyperlink" Target="https://newpage.io/resources/blogs/top-7-genai-use-cases-for-pharma-companies-in-2025/" TargetMode="External"/><Relationship Id="rId19" Type="http://schemas.openxmlformats.org/officeDocument/2006/relationships/hyperlink" Target="https://spsoft.com/tech-insights/key-life-sciences-gen-ai-use-ca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uitionlabs.ai/articles/rag-drug-discovery-eln-lims" TargetMode="External"/><Relationship Id="rId14" Type="http://schemas.openxmlformats.org/officeDocument/2006/relationships/hyperlink" Target="https://newpage.io/resources/blogs/top-7-genai-use-cases-for-pharma-companies-in-2025/" TargetMode="External"/><Relationship Id="rId22" Type="http://schemas.openxmlformats.org/officeDocument/2006/relationships/hyperlink" Target="https://www.consainsights.com/blogs/health/best-llms-pharmaceutical-indus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Jaleel</dc:creator>
  <cp:keywords/>
  <dc:description/>
  <cp:lastModifiedBy>Khalid Jaleel</cp:lastModifiedBy>
  <cp:revision>5</cp:revision>
  <dcterms:created xsi:type="dcterms:W3CDTF">2026-05-31T17:41:00Z</dcterms:created>
  <dcterms:modified xsi:type="dcterms:W3CDTF">2026-05-31T17:43:00Z</dcterms:modified>
</cp:coreProperties>
</file>