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Account Attorney-Count Field Consolidation — Phase 1 Audit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2026-06-19 </w:t>
      </w:r>
      <w:r>
        <w:rPr>
          <w:b/>
          <w:bCs/>
        </w:rPr>
        <w:t xml:space="preserve">Org audited:</w:t>
      </w:r>
      <w:r>
        <w:t xml:space="preserve"> </w:t>
      </w:r>
      <w:r>
        <w:rPr>
          <w:rFonts w:ascii="Consolas" w:cs="Consolas" w:eastAsia="Consolas" w:hAnsi="Consolas"/>
        </w:rPr>
        <w:t xml:space="preserve">KJDEV</w:t>
      </w:r>
      <w:r>
        <w:t xml:space="preserve"> sandbox — </w:t>
      </w:r>
      <w:r>
        <w:rPr>
          <w:rFonts w:ascii="Consolas" w:cs="Consolas" w:eastAsia="Consolas" w:hAnsi="Consolas"/>
        </w:rPr>
        <w:t xml:space="preserve">https://lawbusinessresearch--kjdev.sandbox.my.salesforce.com</w:t>
      </w:r>
      <w:r>
        <w:t xml:space="preserve"> (user </w:t>
      </w:r>
      <w:r>
        <w:rPr>
          <w:rFonts w:ascii="Consolas" w:cs="Consolas" w:eastAsia="Consolas" w:hAnsi="Consolas"/>
        </w:rPr>
        <w:t xml:space="preserve">kamyar.jannati@lbresearch.com.kjdev</w:t>
      </w:r>
      <w:r>
        <w:t xml:space="preserve">) </w:t>
      </w:r>
      <w:r>
        <w:rPr>
          <w:b/>
          <w:bCs/>
        </w:rPr>
        <w:t xml:space="preserve">Confirmed:</w:t>
      </w:r>
      <w:r>
        <w:t xml:space="preserve"> This is a </w:t>
      </w:r>
      <w:r>
        <w:rPr>
          <w:b/>
          <w:bCs/>
        </w:rPr>
        <w:t xml:space="preserve">SANDBOX</w:t>
      </w:r>
      <w:r>
        <w:t xml:space="preserve">, not production (</w:t>
      </w:r>
      <w:r>
        <w:rPr>
          <w:rFonts w:ascii="Consolas" w:cs="Consolas" w:eastAsia="Consolas" w:hAnsi="Consolas"/>
        </w:rPr>
        <w:t xml:space="preserve">.sandbox.my.salesforce.com</w:t>
      </w:r>
      <w:r>
        <w:t xml:space="preserve"> domain + </w:t>
      </w:r>
      <w:r>
        <w:rPr>
          <w:rFonts w:ascii="Consolas" w:cs="Consolas" w:eastAsia="Consolas" w:hAnsi="Consolas"/>
        </w:rPr>
        <w:t xml:space="preserve">.kjdev</w:t>
      </w:r>
      <w:r>
        <w:t xml:space="preserve"> username suffix). No writes were performed in this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SURVIVOR (keep):</w:t>
      </w:r>
      <w:r>
        <w:t xml:space="preserve"> </w:t>
      </w:r>
      <w:r>
        <w:rPr>
          <w:rFonts w:ascii="Consolas" w:cs="Consolas" w:eastAsia="Consolas" w:hAnsi="Consolas"/>
        </w:rPr>
        <w:t xml:space="preserve">Account.Number_of_Attorneys__c</w:t>
      </w:r>
      <w:r>
        <w:t xml:space="preserve"> — "Number of Attorneys", Number(18,0), component Id </w:t>
      </w:r>
      <w:r>
        <w:rPr>
          <w:rFonts w:ascii="Consolas" w:cs="Consolas" w:eastAsia="Consolas" w:hAnsi="Consolas"/>
        </w:rPr>
        <w:t xml:space="preserve">00NTm000002XohdMAC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RETIRE (remove):</w:t>
      </w:r>
      <w:r>
        <w:t xml:space="preserve"> </w:t>
      </w:r>
      <w:r>
        <w:rPr>
          <w:rFonts w:ascii="Consolas" w:cs="Consolas" w:eastAsia="Consolas" w:hAnsi="Consolas"/>
        </w:rPr>
        <w:t xml:space="preserve">Account.of_Attorneys__c</w:t>
      </w:r>
      <w:r>
        <w:t xml:space="preserve"> — "ALM # of Attorneys", Number(18,0), component Id </w:t>
      </w:r>
      <w:r>
        <w:rPr>
          <w:rFonts w:ascii="Consolas" w:cs="Consolas" w:eastAsia="Consolas" w:hAnsi="Consolas"/>
        </w:rPr>
        <w:t xml:space="preserve">00NPx00000ACARFMA5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touch:</w:t>
      </w:r>
      <w:r>
        <w:t xml:space="preserve"> </w:t>
      </w:r>
      <w:r>
        <w:rPr>
          <w:rFonts w:ascii="Consolas" w:cs="Consolas" w:eastAsia="Consolas" w:hAnsi="Consolas"/>
        </w:rPr>
        <w:t xml:space="preserve">Account.Total_US_Attorneys__c</w:t>
      </w:r>
      <w:r>
        <w:t xml:space="preserve"> (</w:t>
      </w:r>
      <w:r>
        <w:rPr>
          <w:rFonts w:ascii="Consolas" w:cs="Consolas" w:eastAsia="Consolas" w:hAnsi="Consolas"/>
        </w:rPr>
        <w:t xml:space="preserve">00NPx00000ACARDMA5</w:t>
      </w:r>
      <w:r>
        <w:t xml:space="preserve">), </w:t>
      </w:r>
      <w:r>
        <w:rPr>
          <w:rFonts w:ascii="Consolas" w:cs="Consolas" w:eastAsia="Consolas" w:hAnsi="Consolas"/>
        </w:rPr>
        <w:t xml:space="preserve">Account.Total_Non_US_Attorneys__c</w:t>
      </w:r>
      <w:r>
        <w:t xml:space="preserve"> (</w:t>
      </w:r>
      <w:r>
        <w:rPr>
          <w:rFonts w:ascii="Consolas" w:cs="Consolas" w:eastAsia="Consolas" w:hAnsi="Consolas"/>
        </w:rPr>
        <w:t xml:space="preserve">00NPx00000ACARCMA5</w:t>
      </w:r>
      <w:r>
        <w:t xml:space="preserve">)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⚠️ Critical context: the field names are reused on other objects</w:t>
      </w:r>
    </w:p>
    <w:p>
      <w:pPr>
        <w:spacing w:after="120"/>
      </w:pPr>
      <w:r>
        <w:t xml:space="preserve">The two API names are </w:t>
      </w:r>
      <w:r>
        <w:rPr>
          <w:b/>
          <w:bCs/>
        </w:rPr>
        <w:t xml:space="preserve">not unique to Account.</w:t>
      </w:r>
      <w:r>
        <w:t xml:space="preserve"> Tooling </w:t>
      </w:r>
      <w:r>
        <w:rPr>
          <w:rFonts w:ascii="Consolas" w:cs="Consolas" w:eastAsia="Consolas" w:hAnsi="Consolas"/>
        </w:rPr>
        <w:t xml:space="preserve">CustomField</w:t>
      </w:r>
      <w:r>
        <w:t xml:space="preserve"> lookup returned: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API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 scope?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Number_of_Attorneys__c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00NTm000002XohdMAC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 survivor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of_Attorneys__c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00NPx00000ACARFMA5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 retire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Number_of_Attorneys__c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SBQQ__Quote__c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00NPx00000AV8I7MAL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❌ different 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Number_of_Attorneys__c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SBQQ__QuoteLine__c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00NTm000002Xow9MAC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❌ different 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of_Attorneys__c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Opportunity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00NPx00000AUINvMAP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❌ different 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ALM_of_Attorneys__c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(separate)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❌ substring match only</w:t>
            </w:r>
          </w:p>
        </w:tc>
      </w:tr>
    </w:tbl>
    <w:p>
      <w:pPr>
        <w:spacing w:after="120"/>
      </w:pPr>
      <w:r>
        <w:t xml:space="preserve">Every reference below was scoped </w:t>
      </w:r>
      <w:r>
        <w:rPr>
          <w:b/>
          <w:bCs/>
        </w:rPr>
        <w:t xml:space="preserve">strictly to the Account fields by component Id</w:t>
      </w:r>
      <w:r>
        <w:t xml:space="preserve">, not by name. Two early grep hits were confirmed false positives: a Lead flexipage referencing </w:t>
      </w:r>
      <w:r>
        <w:rPr>
          <w:rFonts w:ascii="Consolas" w:cs="Consolas" w:eastAsia="Consolas" w:hAnsi="Consolas"/>
        </w:rPr>
        <w:t xml:space="preserve">ALM_of_Attorneys__c</w:t>
      </w:r>
      <w:r>
        <w:t xml:space="preserve"> (substring of </w:t>
      </w:r>
      <w:r>
        <w:rPr>
          <w:rFonts w:ascii="Consolas" w:cs="Consolas" w:eastAsia="Consolas" w:hAnsi="Consolas"/>
        </w:rPr>
        <w:t xml:space="preserve">of_Attorneys__c</w:t>
      </w:r>
      <w:r>
        <w:t xml:space="preserve">) and a report type column </w:t>
      </w:r>
      <w:r>
        <w:rPr>
          <w:rFonts w:ascii="Consolas" w:cs="Consolas" w:eastAsia="Consolas" w:hAnsi="Consolas"/>
        </w:rPr>
        <w:t xml:space="preserve">SBQQ__PrimaryQuote__c.Number_of_Attorneys__c</w:t>
      </w:r>
      <w:r>
        <w:t xml:space="preserve"> (the Quote field).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Account.of_Attorneys__c</w:t>
      </w:r>
      <w:r>
        <w:t xml:space="preserve"> has a </w:t>
      </w:r>
      <w:r>
        <w:rPr>
          <w:b/>
          <w:bCs/>
        </w:rPr>
        <w:t xml:space="preserve">small, clean reference footprint</w:t>
      </w:r>
      <w:r>
        <w:t xml:space="preserve"> that is fully remediable: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formula fields</w:t>
      </w:r>
      <w:r>
        <w:t xml:space="preserve"> read it (need repointing to the survivor).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page layouts</w:t>
      </w:r>
      <w:r>
        <w:t xml:space="preserve"> display it (need the field item swapped to the survivor).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FLS</w:t>
      </w:r>
      <w:r>
        <w:t xml:space="preserve"> is granted across many profiles + permission sets (survivor needs FLS parity before cutover).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</w:t>
      </w:r>
      <w:r>
        <w:t xml:space="preserve"> Apex, triggers, flows, processes, workflow field updates, approval processes, validation rules, LWC, Aura, email templates, custom metadata, field sets, list views, compact layouts, web links, or CPQ rules reference it.</w:t>
      </w:r>
    </w:p>
    <w:p>
      <w:pPr>
        <w:spacing w:after="120"/>
      </w:pPr>
      <w:r>
        <w:rPr>
          <w:b/>
          <w:bCs/>
        </w:rPr>
        <w:t xml:space="preserve">Integration-fed finding:</w:t>
      </w:r>
      <w:r>
        <w:t xml:space="preserve"> </w:t>
      </w:r>
      <w:r>
        <w:rPr>
          <w:b/>
          <w:bCs/>
        </w:rPr>
        <w:t xml:space="preserve">No</w:t>
      </w:r>
      <w:r>
        <w:t xml:space="preserve"> — there is no automated inbound integration, managed package, or named credential writing to </w:t>
      </w:r>
      <w:r>
        <w:rPr>
          <w:rFonts w:ascii="Consolas" w:cs="Consolas" w:eastAsia="Consolas" w:hAnsi="Consolas"/>
        </w:rPr>
        <w:t xml:space="preserve">of_Attorneys__c</w:t>
      </w:r>
      <w:r>
        <w:t xml:space="preserve">. It is a plain field </w:t>
      </w:r>
      <w:r>
        <w:rPr>
          <w:b/>
          <w:bCs/>
        </w:rPr>
        <w:t xml:space="preserve">maintained manually by the ALM/Law.com "data team" (human users)</w:t>
      </w:r>
      <w:r>
        <w:t xml:space="preserve">, likely via UI edits and/or periodic ALM data loads. See the dedicated section below. → Consolidation can proceed; we do </w:t>
      </w:r>
      <w:r>
        <w:rPr>
          <w:b/>
          <w:bCs/>
        </w:rPr>
        <w:t xml:space="preserve">not</w:t>
      </w:r>
      <w:r>
        <w:t xml:space="preserve"> need to flip the survivor or keep both, but the data-stewardship process must be redirected to the survivor (verified in PROD).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Methodology (4 independent sources, cross-checked)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Tooling API dependency graph</w:t>
      </w:r>
      <w:r>
        <w:t xml:space="preserve"> — </w:t>
      </w:r>
      <w:r>
        <w:rPr>
          <w:rFonts w:ascii="Consolas" w:cs="Consolas" w:eastAsia="Consolas" w:hAnsi="Consolas"/>
        </w:rPr>
        <w:t xml:space="preserve">MetadataComponentDependency</w:t>
      </w:r>
      <w:r>
        <w:t xml:space="preserve"> filtered by </w:t>
      </w:r>
      <w:r>
        <w:rPr>
          <w:rFonts w:ascii="Consolas" w:cs="Consolas" w:eastAsia="Consolas" w:hAnsi="Consolas"/>
        </w:rPr>
        <w:t xml:space="preserve">RefMetadataComponentId</w:t>
      </w:r>
      <w:r>
        <w:t xml:space="preserve"> (the </w:t>
      </w:r>
      <w:r>
        <w:rPr>
          <w:rFonts w:ascii="Consolas" w:cs="Consolas" w:eastAsia="Consolas" w:hAnsi="Consolas"/>
        </w:rPr>
        <w:t xml:space="preserve">RefMetadataComponentName</w:t>
      </w:r>
      <w:r>
        <w:t xml:space="preserve"> field is </w:t>
      </w:r>
      <w:r>
        <w:rPr>
          <w:b/>
          <w:bCs/>
        </w:rPr>
        <w:t xml:space="preserve">not filterable</w:t>
      </w:r>
      <w:r>
        <w:t xml:space="preserve">; the Id-based query is the authoritative one).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Full-text grep of retrieved metadata</w:t>
      </w:r>
      <w:r>
        <w:t xml:space="preserve"> — retrieved into temp dirs (outside the working tree to avoid clobbering uncommitted changes) and grepped with word boundaries: </w:t>
      </w:r>
      <w:r>
        <w:rPr>
          <w:rFonts w:ascii="Consolas" w:cs="Consolas" w:eastAsia="Consolas" w:hAnsi="Consolas"/>
        </w:rPr>
        <w:t xml:space="preserve">CustomObject:Account</w:t>
      </w:r>
      <w:r>
        <w:t xml:space="preserve"> (fields, field sets, list views, compact layouts, web links, validation rules), the two flagged layouts, </w:t>
      </w:r>
      <w:r>
        <w:rPr>
          <w:b/>
          <w:bCs/>
        </w:rPr>
        <w:t xml:space="preserve">all</w:t>
      </w:r>
      <w:r>
        <w:t xml:space="preserve"> ApexClass + ApexTrigger, </w:t>
      </w:r>
      <w:r>
        <w:rPr>
          <w:b/>
          <w:bCs/>
        </w:rPr>
        <w:t xml:space="preserve">all</w:t>
      </w:r>
      <w:r>
        <w:t xml:space="preserve"> LWC + Aura bundles, </w:t>
      </w:r>
      <w:r>
        <w:rPr>
          <w:b/>
          <w:bCs/>
        </w:rPr>
        <w:t xml:space="preserve">all</w:t>
      </w:r>
      <w:r>
        <w:t xml:space="preserve"> CustomMetadata, </w:t>
      </w:r>
      <w:r>
        <w:rPr>
          <w:b/>
          <w:bCs/>
        </w:rPr>
        <w:t xml:space="preserve">all</w:t>
      </w:r>
      <w:r>
        <w:t xml:space="preserve"> EmailTemplate.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CPQ rule data records</w:t>
      </w:r>
      <w:r>
        <w:t xml:space="preserve"> — described each rule object to get the real column names, then queried the field-reference columns.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FLS</w:t>
      </w:r>
      <w:r>
        <w:t xml:space="preserve"> — queried </w:t>
      </w:r>
      <w:r>
        <w:rPr>
          <w:rFonts w:ascii="Consolas" w:cs="Consolas" w:eastAsia="Consolas" w:hAnsi="Consolas"/>
        </w:rPr>
        <w:t xml:space="preserve">FieldPermissions</w:t>
      </w:r>
      <w:r>
        <w:t xml:space="preserve"> directly (the dependency graph does </w:t>
      </w:r>
      <w:r>
        <w:rPr>
          <w:b/>
          <w:bCs/>
        </w:rPr>
        <w:t xml:space="preserve">not</w:t>
      </w:r>
      <w:r>
        <w:t xml:space="preserve"> reliably capture FLS).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Findings by component type</w:t>
      </w:r>
    </w:p>
    <w:p>
      <w:pPr>
        <w:pStyle w:val="Heading2"/>
      </w:pPr>
      <w:r>
        <w:t xml:space="preserve">1. Formula fields — REPOINT REQUIRED (2)</w:t>
      </w:r>
    </w:p>
    <w:p>
      <w:pPr>
        <w:spacing w:after="120"/>
      </w:pPr>
      <w:r>
        <w:t xml:space="preserve">Both are Account formula fields that bucket the attorney count. Source of truth: org (Tooling </w:t>
      </w:r>
      <w:r>
        <w:rPr>
          <w:rFonts w:ascii="Consolas" w:cs="Consolas" w:eastAsia="Consolas" w:hAnsi="Consolas"/>
        </w:rPr>
        <w:t xml:space="preserve">CustomField.Metadata</w:t>
      </w:r>
      <w:r>
        <w:t xml:space="preserve">); also visible in </w:t>
      </w:r>
      <w:r>
        <w:rPr>
          <w:rFonts w:ascii="Consolas" w:cs="Consolas" w:eastAsia="Consolas" w:hAnsi="Consolas"/>
        </w:rPr>
        <w:t xml:space="preserve">tmp-attorney-audit/.../objects/Account.object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API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it uses </w:t>
            </w:r>
            <w:r>
              <w:rPr>
                <w:rFonts w:ascii="Consolas" w:cs="Consolas" w:eastAsia="Consolas" w:hAnsi="Consolas"/>
                <w:b/>
                <w:bCs/>
              </w:rPr>
              <w:t xml:space="preserve">of_Attorneys__c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Remediation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ALM Industry Category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Industry_Category__c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00NPx00000ACEcZMAX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Text formula: for Law Firm accounts, buckets </w:t>
            </w:r>
            <w:r>
              <w:rPr>
                <w:rFonts w:ascii="Consolas" w:cs="Consolas" w:eastAsia="Consolas" w:hAnsi="Consolas"/>
              </w:rPr>
              <w:t xml:space="preserve">of_Attorneys__c</w:t>
            </w:r>
            <w:r>
              <w:t xml:space="preserve"> at ≥151 / ≥71 / ≥6 / ≤5 → Large Law / Mid-Market Law / SMB Law / Solo Practitioner Law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Replace all </w:t>
            </w:r>
            <w:r>
              <w:rPr>
                <w:rFonts w:ascii="Consolas" w:cs="Consolas" w:eastAsia="Consolas" w:hAnsi="Consolas"/>
              </w:rPr>
              <w:t xml:space="preserve">of_Attorneys__c</w:t>
            </w:r>
            <w:r>
              <w:t xml:space="preserve"> tokens with </w:t>
            </w:r>
            <w:r>
              <w:rPr>
                <w:rFonts w:ascii="Consolas" w:cs="Consolas" w:eastAsia="Consolas" w:hAnsi="Consolas"/>
              </w:rPr>
              <w:t xml:space="preserve">Number_of_Attorneys__c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ALM Industry Category 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ALM_Industry_Category_Code__c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00NPx00000CadqMMAR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Text formula: for Law Firm accounts, buckets </w:t>
            </w:r>
            <w:r>
              <w:rPr>
                <w:rFonts w:ascii="Consolas" w:cs="Consolas" w:eastAsia="Consolas" w:hAnsi="Consolas"/>
              </w:rPr>
              <w:t xml:space="preserve">of_Attorneys__c</w:t>
            </w:r>
            <w:r>
              <w:t xml:space="preserve"> at ≥151 / ≥71 / ≥6 → L / M / S / 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Replace all </w:t>
            </w:r>
            <w:r>
              <w:rPr>
                <w:rFonts w:ascii="Consolas" w:cs="Consolas" w:eastAsia="Consolas" w:hAnsi="Consolas"/>
              </w:rPr>
              <w:t xml:space="preserve">of_Attorneys__c</w:t>
            </w:r>
            <w:r>
              <w:t xml:space="preserve"> tokens with </w:t>
            </w:r>
            <w:r>
              <w:rPr>
                <w:rFonts w:ascii="Consolas" w:cs="Consolas" w:eastAsia="Consolas" w:hAnsi="Consolas"/>
              </w:rPr>
              <w:t xml:space="preserve">Number_of_Attorneys__c</w:t>
            </w:r>
          </w:p>
        </w:tc>
      </w:tr>
    </w:tbl>
    <w:p>
      <w:pPr>
        <w:spacing w:after="120"/>
      </w:pPr>
      <w:r>
        <w:rPr>
          <w:b/>
          <w:bCs/>
        </w:rPr>
        <w:t xml:space="preserve">Consistency note (not a blocker):</w:t>
      </w:r>
      <w:r>
        <w:t xml:space="preserve"> the </w:t>
      </w:r>
      <w:r>
        <w:rPr>
          <w:rFonts w:ascii="Consolas" w:cs="Consolas" w:eastAsia="Consolas" w:hAnsi="Consolas"/>
        </w:rPr>
        <w:t xml:space="preserve">Account Update Industry Category</w:t>
      </w:r>
      <w:r>
        <w:t xml:space="preserve"> </w:t>
      </w:r>
      <w:r>
        <w:rPr>
          <w:b/>
          <w:bCs/>
        </w:rPr>
        <w:t xml:space="preserve">flow</w:t>
      </w:r>
      <w:r>
        <w:t xml:space="preserve"> already computes the same buckets from the </w:t>
      </w:r>
      <w:r>
        <w:rPr>
          <w:b/>
          <w:bCs/>
        </w:rPr>
        <w:t xml:space="preserve">survivor</w:t>
      </w:r>
      <w:r>
        <w:t xml:space="preserve">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 and writes the result to </w:t>
      </w:r>
      <w:r>
        <w:rPr>
          <w:rFonts w:ascii="Consolas" w:cs="Consolas" w:eastAsia="Consolas" w:hAnsi="Consolas"/>
        </w:rPr>
        <w:t xml:space="preserve">Industry_Category_txt__c</w:t>
      </w:r>
      <w:r>
        <w:t xml:space="preserve">. So the org currently has the formula fields reading the *retire* field while the flow reads the *survivor*. Repointing the two formulas </w:t>
      </w:r>
      <w:r>
        <w:rPr>
          <w:b/>
          <w:bCs/>
        </w:rPr>
        <w:t xml:space="preserve">removes</w:t>
      </w:r>
      <w:r>
        <w:t xml:space="preserve"> this latent inconsistency. (Separately: the flow only fires when </w:t>
      </w:r>
      <w:r>
        <w:rPr>
          <w:rFonts w:ascii="Consolas" w:cs="Consolas" w:eastAsia="Consolas" w:hAnsi="Consolas"/>
        </w:rPr>
        <w:t xml:space="preserve">Industry_Data_Provider__c</w:t>
      </w:r>
      <w:r>
        <w:t xml:space="preserve">, </w:t>
      </w:r>
      <w:r>
        <w:rPr>
          <w:rFonts w:ascii="Consolas" w:cs="Consolas" w:eastAsia="Consolas" w:hAnsi="Consolas"/>
        </w:rPr>
        <w:t xml:space="preserve">Industry_Category_Override__c</w:t>
      </w:r>
      <w:r>
        <w:t xml:space="preserve">, or </w:t>
      </w:r>
      <w:r>
        <w:rPr>
          <w:rFonts w:ascii="Consolas" w:cs="Consolas" w:eastAsia="Consolas" w:hAnsi="Consolas"/>
        </w:rPr>
        <w:t xml:space="preserve">Industry_ALM__c</w:t>
      </w:r>
      <w:r>
        <w:t xml:space="preserve"> changes — not when attorney count changes — so </w:t>
      </w:r>
      <w:r>
        <w:rPr>
          <w:rFonts w:ascii="Consolas" w:cs="Consolas" w:eastAsia="Consolas" w:hAnsi="Consolas"/>
        </w:rPr>
        <w:t xml:space="preserve">Industry_Category_txt__c</w:t>
      </w:r>
      <w:r>
        <w:t xml:space="preserve"> can already be stale. Out of scope here; flagging for awareness.)</w:t>
      </w:r>
    </w:p>
    <w:p>
      <w:pPr>
        <w:pStyle w:val="Heading2"/>
      </w:pPr>
      <w:r>
        <w:t xml:space="preserve">2. Page layouts — SWAP FIELD ITEM (2)</w:t>
      </w:r>
    </w:p>
    <w:p>
      <w:pPr>
        <w:spacing w:after="120"/>
      </w:pPr>
      <w:r>
        <w:t xml:space="preserve">Both place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as an editable item, and </w:t>
      </w:r>
      <w:r>
        <w:rPr>
          <w:b/>
          <w:bCs/>
        </w:rPr>
        <w:t xml:space="preserve">neither currently shows the survivor</w:t>
      </w:r>
      <w:r>
        <w:t xml:space="preserve"> — so the field must be *swapped*, not merely deleted, or users lose the attorney count from the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Layout (fullName)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Component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Local file (retrieved)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Remediation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Account-Firm Layout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00h6g0000086fYTAAY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tmp-attorney-layouts/.../layouts/Account-Firm Layout.layout</w:t>
            </w:r>
            <w:r>
              <w:t xml:space="preserve"> (line ~385)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Change </w:t>
            </w:r>
            <w:r>
              <w:rPr>
                <w:rFonts w:ascii="Consolas" w:cs="Consolas" w:eastAsia="Consolas" w:hAnsi="Consolas"/>
              </w:rPr>
              <w:t xml:space="preserve">&lt;field&gt;of_Attorneys__c&lt;/field&gt;</w:t>
            </w:r>
            <w:r>
              <w:t xml:space="preserve"> → </w:t>
            </w:r>
            <w:r>
              <w:rPr>
                <w:rFonts w:ascii="Consolas" w:cs="Consolas" w:eastAsia="Consolas" w:hAnsi="Consolas"/>
              </w:rPr>
              <w:t xml:space="preserve">&lt;field&gt;Number_of_Attorneys__c&lt;/field&gt;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Account-Office Layout - Data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00h4L000003YiVcQAK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tmp-attorney-layouts/.../layouts/Account-Office Layout - Data Team.layout</w:t>
            </w:r>
            <w:r>
              <w:t xml:space="preserve"> (line ~386)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Same swap</w:t>
            </w:r>
          </w:p>
        </w:tc>
      </w:tr>
    </w:tbl>
    <w:p>
      <w:pPr>
        <w:pStyle w:val="Heading2"/>
      </w:pPr>
      <w:r>
        <w:t xml:space="preserve">3. Field-Level Security — PARITY REQUIRED before cutover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of_Attorneys__c</w:t>
      </w:r>
      <w:r>
        <w:t xml:space="preserve"> has FLS in </w:t>
      </w:r>
      <w:r>
        <w:rPr>
          <w:b/>
          <w:bCs/>
        </w:rPr>
        <w:t xml:space="preserve">many profiles</w:t>
      </w:r>
      <w:r>
        <w:t xml:space="preserve"> (profile-owned permission sets) plus these named permission sets; the survivor must have </w:t>
      </w:r>
      <w:r>
        <w:rPr>
          <w:b/>
          <w:bCs/>
        </w:rPr>
        <w:t xml:space="preserve">≥</w:t>
      </w:r>
      <w:r>
        <w:t xml:space="preserve"> the retire field's access so no one loses the ability to read/edit attorney count after cutover.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Permission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of_Attorneys__c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Number_of_Attorneys__c</w:t>
            </w:r>
            <w:r>
              <w:rPr>
                <w:b/>
                <w:bCs/>
              </w:rPr>
              <w:t xml:space="preserve"> (survivor)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Gap to 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ALM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ALM fields - Data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R/W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grant survivor </w:t>
            </w:r>
            <w:r>
              <w:rPr>
                <w:b/>
                <w:bCs/>
              </w:rPr>
              <w:t xml:space="preserve">Edit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Additional Account Permission for ALM CS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R/W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(not present)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add survivor </w:t>
            </w:r>
            <w:r>
              <w:rPr>
                <w:b/>
                <w:bCs/>
              </w:rPr>
              <w:t xml:space="preserve">R/W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 Cloud Salesforce Connector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none (consumer — see integration section)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Law.com Account Change Permission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Sergio permissions migrate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R/W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R/W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(many profile-owned perm sets)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R/W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R/W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spot-check parity in PROD</w:t>
            </w:r>
          </w:p>
        </w:tc>
      </w:tr>
    </w:tbl>
    <w:p>
      <w:pPr>
        <w:pBdr>
          <w:left w:val="single" w:color="8EAADB" w:sz="18" w:space="8"/>
        </w:pBdr>
        <w:spacing w:after="120" w:before="80"/>
        <w:ind w:left="360"/>
      </w:pPr>
      <w:r>
        <w:rPr>
          <w:i/>
          <w:iCs/>
        </w:rPr>
        <w:t xml:space="preserve">The full per-profile FLS list differs slightly between sandbox and PROD; in Phase 3 we generate the survivor-FLS delta from the </w:t>
      </w:r>
      <w:r>
        <w:rPr>
          <w:b/>
          <w:bCs/>
          <w:i/>
          <w:iCs/>
        </w:rPr>
        <w:t xml:space="preserve">PROD</w:t>
      </w:r>
      <w:r>
        <w:rPr>
          <w:i/>
          <w:iCs/>
        </w:rPr>
        <w:t xml:space="preserve"> </w:t>
      </w:r>
      <w:r>
        <w:rPr>
          <w:rFonts w:ascii="Consolas" w:cs="Consolas" w:eastAsia="Consolas" w:hAnsi="Consolas"/>
          <w:i/>
          <w:iCs/>
        </w:rPr>
        <w:t xml:space="preserve">FieldPermissions</w:t>
      </w:r>
      <w:r>
        <w:rPr>
          <w:i/>
          <w:iCs/>
        </w:rPr>
        <w:t xml:space="preserve"> snapshot.</w:t>
      </w:r>
    </w:p>
    <w:p>
      <w:pPr>
        <w:pStyle w:val="Heading2"/>
      </w:pPr>
      <w:r>
        <w:t xml:space="preserve">4. References that already use the SURVIVOR — NO ACTION</w:t>
      </w:r>
    </w:p>
    <w:p>
      <w:pPr>
        <w:spacing w:after="120"/>
      </w:pPr>
      <w:r>
        <w:t xml:space="preserve">From the dependency graph on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 (</w:t>
      </w:r>
      <w:r>
        <w:rPr>
          <w:rFonts w:ascii="Consolas" w:cs="Consolas" w:eastAsia="Consolas" w:hAnsi="Consolas"/>
        </w:rPr>
        <w:t xml:space="preserve">00NTm000002XohdMAC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Flow</w:t>
      </w:r>
      <w:r>
        <w:t xml:space="preserve"> </w:t>
      </w:r>
      <w:r>
        <w:rPr>
          <w:rFonts w:ascii="Consolas" w:cs="Consolas" w:eastAsia="Consolas" w:hAnsi="Consolas"/>
        </w:rPr>
        <w:t xml:space="preserve">Account Update Industry Category</w:t>
      </w:r>
      <w:r>
        <w:t xml:space="preserve"> (3 versions: </w:t>
      </w:r>
      <w:r>
        <w:rPr>
          <w:rFonts w:ascii="Consolas" w:cs="Consolas" w:eastAsia="Consolas" w:hAnsi="Consolas"/>
        </w:rPr>
        <w:t xml:space="preserve">301Px00000WgfagIAB</w:t>
      </w:r>
      <w:r>
        <w:t xml:space="preserve">, </w:t>
      </w:r>
      <w:r>
        <w:rPr>
          <w:rFonts w:ascii="Consolas" w:cs="Consolas" w:eastAsia="Consolas" w:hAnsi="Consolas"/>
        </w:rPr>
        <w:t xml:space="preserve">301Px00000X1zd1IAB</w:t>
      </w:r>
      <w:r>
        <w:t xml:space="preserve">, </w:t>
      </w:r>
      <w:r>
        <w:rPr>
          <w:rFonts w:ascii="Consolas" w:cs="Consolas" w:eastAsia="Consolas" w:hAnsi="Consolas"/>
        </w:rPr>
        <w:t xml:space="preserve">301Px00000XKL75IAH</w:t>
      </w:r>
      <w:r>
        <w:t xml:space="preserve">) — reads survivor.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SBQQ__Quote__c.Number_of_Attorneys__c</w:t>
      </w:r>
      <w:r>
        <w:t xml:space="preserve"> (</w:t>
      </w:r>
      <w:r>
        <w:rPr>
          <w:rFonts w:ascii="Consolas" w:cs="Consolas" w:eastAsia="Consolas" w:hAnsi="Consolas"/>
        </w:rPr>
        <w:t xml:space="preserve">00NPx00000AV8I7MAL</w:t>
      </w:r>
      <w:r>
        <w:t xml:space="preserve">) and </w:t>
      </w:r>
      <w:r>
        <w:rPr>
          <w:rFonts w:ascii="Consolas" w:cs="Consolas" w:eastAsia="Consolas" w:hAnsi="Consolas"/>
        </w:rPr>
        <w:t xml:space="preserve">SBQQ__QuoteLine__c.Number_of_Attorneys__c</w:t>
      </w:r>
      <w:r>
        <w:t xml:space="preserve"> (</w:t>
      </w:r>
      <w:r>
        <w:rPr>
          <w:rFonts w:ascii="Consolas" w:cs="Consolas" w:eastAsia="Consolas" w:hAnsi="Consolas"/>
        </w:rPr>
        <w:t xml:space="preserve">00NTm000002Xow9MAC</w:t>
      </w:r>
      <w:r>
        <w:t xml:space="preserve">) — these Quote/QuoteLine fields reference the Account survivor (CPQ field-default/cross-object). ✅ Leave as-is.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Number_of_Attorneys_in_Firm</w:t>
      </w:r>
      <w:r>
        <w:t xml:space="preserve"> (</w:t>
      </w:r>
      <w:r>
        <w:rPr>
          <w:rFonts w:ascii="Consolas" w:cs="Consolas" w:eastAsia="Consolas" w:hAnsi="Consolas"/>
        </w:rPr>
        <w:t xml:space="preserve">00NTm000002kEmnMAE</w:t>
      </w:r>
      <w:r>
        <w:t xml:space="preserve">) — references survivor. 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list view on Account includes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 as a column. ✅</w:t>
      </w:r>
    </w:p>
    <w:p>
      <w:pPr>
        <w:pStyle w:val="Heading2"/>
      </w:pPr>
      <w:r>
        <w:t xml:space="preserve">5. Areas checked and CLEAN (zero references to either Account field)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Apex classes + triggers (all)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retrieved all, grep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  <w:r>
              <w:t xml:space="preserve"> (no compiled or dynamic-string refs)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LWC + Aura bundles (all)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retrieved all, grep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Email templates (all)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retrieved all, grep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Custom metadata (all types)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retrieved all, grep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Validation rules, field sets, list-view *filters*, compact layouts, web links/custom 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 </w:t>
            </w:r>
            <w:r>
              <w:rPr>
                <w:rFonts w:ascii="Consolas" w:cs="Consolas" w:eastAsia="Consolas" w:hAnsi="Consolas"/>
              </w:rPr>
              <w:t xml:space="preserve">Account.object</w:t>
            </w:r>
            <w:r>
              <w:t xml:space="preserve">, grep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  <w:r>
              <w:t xml:space="preserve"> referencing the retire field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Workflow rules / field updates, approval processes, processes (PB)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dependency 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CPQ price/product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 query (see below)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  <w:r>
              <w:t xml:space="preserve"> (but org is empty — see caveat)</w:t>
            </w:r>
          </w:p>
        </w:tc>
      </w:tr>
    </w:tbl>
    <w:p>
      <w:pPr>
        <w:pStyle w:val="Heading2"/>
      </w:pPr>
      <w:r>
        <w:t xml:space="preserve">6. CPQ — VERIFIED CLEAN in production ✅</w:t>
      </w:r>
    </w:p>
    <w:p>
      <w:pPr>
        <w:spacing w:after="120"/>
      </w:pPr>
      <w:r>
        <w:t xml:space="preserve">The dependency graph and "Where is this used?" cannot see CPQ, because CPQ stores field references as </w:t>
      </w:r>
      <w:r>
        <w:rPr>
          <w:b/>
          <w:bCs/>
        </w:rPr>
        <w:t xml:space="preserve">text on data records</w:t>
      </w:r>
      <w:r>
        <w:t xml:space="preserve">. I described each rule object to get the real column names (this CPQ build is variable/formula-based), then queried for any attorney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KJDEV sandbox has 0 CPQ rule records</w:t>
      </w:r>
      <w:r>
        <w:t xml:space="preserve"> — so the sandbox check was clean only by virtue of being empty. The real check was run against </w:t>
      </w:r>
      <w:r>
        <w:rPr>
          <w:b/>
          <w:bCs/>
        </w:rPr>
        <w:t xml:space="preserve">production (`LBR_PROD`, `lawbusinessresearch.my.salesforce.com`)</w:t>
      </w:r>
      <w:r>
        <w:t xml:space="preserve"> — read-only.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 result (scanned 2026-06-19):</w:t>
      </w:r>
      <w:r>
        <w:t xml:space="preserve"> </w:t>
      </w:r>
      <w:r>
        <w:rPr>
          <w:b/>
          <w:bCs/>
        </w:rPr>
        <w:t xml:space="preserve">No attorney-field references in any price or product rule.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CPQ object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PROD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Attorney field refs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SBQQ__PriceCondition__c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8,865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(filterable cols + </w:t>
            </w:r>
            <w:r>
              <w:rPr>
                <w:rFonts w:ascii="Consolas" w:cs="Consolas" w:eastAsia="Consolas" w:hAnsi="Consolas"/>
              </w:rPr>
              <w:t xml:space="preserve">SBQQ__TestedFormula__c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SBQQ__FilterFormula__c</w:t>
            </w:r>
            <w:r>
              <w:t xml:space="preserve"> long-text grepped client-side)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SBQQ__PriceAction__c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3,975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(filterable cols + </w:t>
            </w:r>
            <w:r>
              <w:rPr>
                <w:rFonts w:ascii="Consolas" w:cs="Consolas" w:eastAsia="Consolas" w:hAnsi="Consolas"/>
              </w:rPr>
              <w:t xml:space="preserve">SBQQ__Formula__c</w:t>
            </w:r>
            <w:r>
              <w:t xml:space="preserve"> long-text grepped client-side)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SBQQ__PriceRule__c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1,996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(no field columns; logic lives in conditions/actions)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SBQQ__ErrorCondition__c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real (see false positive)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SBQQ__ProductRule__c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SBQQ__SummaryVariable__c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(covers variable-based references)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SBQQ__LookupQuery__c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>
        <w:spacing w:after="120"/>
      </w:pPr>
      <w:r>
        <w:t xml:space="preserve">Columns checked: picklists </w:t>
      </w:r>
      <w:r>
        <w:rPr>
          <w:rFonts w:ascii="Consolas" w:cs="Consolas" w:eastAsia="Consolas" w:hAnsi="Consolas"/>
        </w:rPr>
        <w:t xml:space="preserve">SBQQ__Field__c</w:t>
      </w:r>
      <w:r>
        <w:t xml:space="preserve">, </w:t>
      </w:r>
      <w:r>
        <w:rPr>
          <w:rFonts w:ascii="Consolas" w:cs="Consolas" w:eastAsia="Consolas" w:hAnsi="Consolas"/>
        </w:rPr>
        <w:t xml:space="preserve">SBQQ__TestedField__c</w:t>
      </w:r>
      <w:r>
        <w:t xml:space="preserve">, </w:t>
      </w:r>
      <w:r>
        <w:rPr>
          <w:rFonts w:ascii="Consolas" w:cs="Consolas" w:eastAsia="Consolas" w:hAnsi="Consolas"/>
        </w:rPr>
        <w:t xml:space="preserve">SBQQ__LookupField__c</w:t>
      </w:r>
      <w:r>
        <w:t xml:space="preserve">, </w:t>
      </w:r>
      <w:r>
        <w:rPr>
          <w:rFonts w:ascii="Consolas" w:cs="Consolas" w:eastAsia="Consolas" w:hAnsi="Consolas"/>
        </w:rPr>
        <w:t xml:space="preserve">SBQQ__AggregateField__c</w:t>
      </w:r>
      <w:r>
        <w:t xml:space="preserve">, </w:t>
      </w:r>
      <w:r>
        <w:rPr>
          <w:rFonts w:ascii="Consolas" w:cs="Consolas" w:eastAsia="Consolas" w:hAnsi="Consolas"/>
        </w:rPr>
        <w:t xml:space="preserve">SBQQ__ConstraintField__c</w:t>
      </w:r>
      <w:r>
        <w:t xml:space="preserve">, </w:t>
      </w:r>
      <w:r>
        <w:rPr>
          <w:rFonts w:ascii="Consolas" w:cs="Consolas" w:eastAsia="Consolas" w:hAnsi="Consolas"/>
        </w:rPr>
        <w:t xml:space="preserve">SBQQ__FilterField__c</w:t>
      </w:r>
      <w:r>
        <w:t xml:space="preserve">, </w:t>
      </w:r>
      <w:r>
        <w:rPr>
          <w:rFonts w:ascii="Consolas" w:cs="Consolas" w:eastAsia="Consolas" w:hAnsi="Consolas"/>
        </w:rPr>
        <w:t xml:space="preserve">SBQQ__SourceLookupField__c</w:t>
      </w:r>
      <w:r>
        <w:t xml:space="preserve">, </w:t>
      </w:r>
      <w:r>
        <w:rPr>
          <w:rFonts w:ascii="Consolas" w:cs="Consolas" w:eastAsia="Consolas" w:hAnsi="Consolas"/>
        </w:rPr>
        <w:t xml:space="preserve">SBQQ__Lookup*Field__c</w:t>
      </w:r>
      <w:r>
        <w:t xml:space="preserve">; strings </w:t>
      </w:r>
      <w:r>
        <w:rPr>
          <w:rFonts w:ascii="Consolas" w:cs="Consolas" w:eastAsia="Consolas" w:hAnsi="Consolas"/>
        </w:rPr>
        <w:t xml:space="preserve">SBQQ__ValueField__c</w:t>
      </w:r>
      <w:r>
        <w:t xml:space="preserve">, </w:t>
      </w:r>
      <w:r>
        <w:rPr>
          <w:rFonts w:ascii="Consolas" w:cs="Consolas" w:eastAsia="Consolas" w:hAnsi="Consolas"/>
        </w:rPr>
        <w:t xml:space="preserve">SBQQ__Value__c</w:t>
      </w:r>
      <w:r>
        <w:t xml:space="preserve">, </w:t>
      </w:r>
      <w:r>
        <w:rPr>
          <w:rFonts w:ascii="Consolas" w:cs="Consolas" w:eastAsia="Consolas" w:hAnsi="Consolas"/>
        </w:rPr>
        <w:t xml:space="preserve">SBQQ__*Object__c</w:t>
      </w:r>
      <w:r>
        <w:t xml:space="preserve">, </w:t>
      </w:r>
      <w:r>
        <w:rPr>
          <w:rFonts w:ascii="Consolas" w:cs="Consolas" w:eastAsia="Consolas" w:hAnsi="Consolas"/>
        </w:rPr>
        <w:t xml:space="preserve">SBQQ__*Value__c</w:t>
      </w:r>
      <w:r>
        <w:t xml:space="preserve">; and the non-filterable long-text formula columns </w:t>
      </w:r>
      <w:r>
        <w:rPr>
          <w:rFonts w:ascii="Consolas" w:cs="Consolas" w:eastAsia="Consolas" w:hAnsi="Consolas"/>
        </w:rPr>
        <w:t xml:space="preserve">SBQQ__TestedFormula__c</w:t>
      </w:r>
      <w:r>
        <w:t xml:space="preserve">, </w:t>
      </w:r>
      <w:r>
        <w:rPr>
          <w:rFonts w:ascii="Consolas" w:cs="Consolas" w:eastAsia="Consolas" w:hAnsi="Consolas"/>
        </w:rPr>
        <w:t xml:space="preserve">SBQQ__FilterFormula__c</w:t>
      </w:r>
      <w:r>
        <w:t xml:space="preserve">, </w:t>
      </w:r>
      <w:r>
        <w:rPr>
          <w:rFonts w:ascii="Consolas" w:cs="Consolas" w:eastAsia="Consolas" w:hAnsi="Consolas"/>
        </w:rPr>
        <w:t xml:space="preserve">SBQQ__Formula__c</w:t>
      </w:r>
      <w:r>
        <w:t xml:space="preserve"> (selected and grepped client-side across all rows).</w:t>
      </w:r>
    </w:p>
    <w:p>
      <w:pPr>
        <w:spacing w:after="120"/>
      </w:pPr>
      <w:r>
        <w:rPr>
          <w:b/>
          <w:bCs/>
        </w:rPr>
        <w:t xml:space="preserve">Only "Attorney" hit (false positive):</w:t>
      </w:r>
      <w:r>
        <w:t xml:space="preserve"> ErrorCondition </w:t>
      </w:r>
      <w:r>
        <w:rPr>
          <w:rFonts w:ascii="Consolas" w:cs="Consolas" w:eastAsia="Consolas" w:hAnsi="Consolas"/>
        </w:rPr>
        <w:t xml:space="preserve">a0IPx000006kYrFMAU</w:t>
      </w:r>
      <w:r>
        <w:t xml:space="preserve"> (#000410, rule "Compass Included with Law.com") filters </w:t>
      </w:r>
      <w:r>
        <w:rPr>
          <w:rFonts w:ascii="Consolas" w:cs="Consolas" w:eastAsia="Consolas" w:hAnsi="Consolas"/>
        </w:rPr>
        <w:t xml:space="preserve">ALM_Account_Segment__c = "Courts and District Attorney Offices"</w:t>
      </w:r>
      <w:r>
        <w:t xml:space="preserve"> — a segment *value*, not an attorney field.</w:t>
      </w:r>
    </w:p>
    <w:p>
      <w:pPr>
        <w:spacing w:after="120"/>
      </w:pPr>
      <w:r>
        <w:rPr>
          <w:b/>
          <w:bCs/>
        </w:rPr>
        <w:t xml:space="preserve">Conclusion:</w:t>
      </w:r>
      <w:r>
        <w:t xml:space="preserve"> retiring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will not break any CPQ price or product rule.</w:t>
      </w:r>
    </w:p>
    <w:p>
      <w:pPr>
        <w:pStyle w:val="Heading2"/>
      </w:pPr>
      <w:r>
        <w:t xml:space="preserve">6b. CPQ Quote Templates — VERIFIED CLEAN in production ✅</w:t>
      </w:r>
    </w:p>
    <w:p>
      <w:pPr>
        <w:spacing w:after="120"/>
      </w:pPr>
      <w:r>
        <w:t xml:space="preserve">Quote templates are the same blind spot as rules (field references stored as text on template records — line-column field names, HTML content blocks, terms text/conditions — invisible to the dependency graph and "Where is this used?"). Described each template object for its real columns, then scanned production (</w:t>
      </w:r>
      <w:r>
        <w:rPr>
          <w:rFonts w:ascii="Consolas" w:cs="Consolas" w:eastAsia="Consolas" w:hAnsi="Consolas"/>
        </w:rPr>
        <w:t xml:space="preserve">LBR_PROD</w:t>
      </w:r>
      <w:r>
        <w:t xml:space="preserve">) read-only.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Template object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PROD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Attorney </w:t>
            </w:r>
            <w:r>
              <w:rPr>
                <w:b/>
                <w:bCs/>
              </w:rPr>
              <w:t xml:space="preserve">field</w:t>
            </w:r>
            <w:r>
              <w:rPr>
                <w:b/>
                <w:bCs/>
              </w:rPr>
              <w:t xml:space="preserve"> 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SBQQ__LineColumn__c</w:t>
            </w:r>
            <w:r>
              <w:t xml:space="preserve"> (line-item table columns)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4,519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(</w:t>
            </w:r>
            <w:r>
              <w:rPr>
                <w:rFonts w:ascii="Consolas" w:cs="Consolas" w:eastAsia="Consolas" w:hAnsi="Consolas"/>
              </w:rPr>
              <w:t xml:space="preserve">SBQQ__FieldName__c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SBQQ__ColumnHeadingField__c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SBQQ__ConditionalPrintField__c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SBQQ__TemplateContent__c</w:t>
            </w:r>
            <w:r>
              <w:t xml:space="preserve"> (HTML content)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 block</w:t>
            </w:r>
            <w:r>
              <w:t xml:space="preserve"> — </w:t>
            </w:r>
            <w:r>
              <w:rPr>
                <w:rFonts w:ascii="Consolas" w:cs="Consolas" w:eastAsia="Consolas" w:hAnsi="Consolas"/>
              </w:rPr>
              <w:t xml:space="preserve">{!quote.Number_of_Attorneys__c}</w:t>
            </w:r>
            <w:r>
              <w:t xml:space="preserve"> (see below)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SBQQ__QuoteTemplate__c</w:t>
            </w:r>
            <w:r>
              <w:t xml:space="preserve"> (group/sort/subtotal/total/discount fields + </w:t>
            </w:r>
            <w:r>
              <w:rPr>
                <w:rFonts w:ascii="Consolas" w:cs="Consolas" w:eastAsia="Consolas" w:hAnsi="Consolas"/>
              </w:rPr>
              <w:t xml:space="preserve">SBQQ__TermsConditions__c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SBQQ__TemplateSection__c</w:t>
            </w:r>
            <w:r>
              <w:t xml:space="preserve"> (conditional-print/filter/group/rollup fields + filter value)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3,902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SBQQ__QuoteTerm__c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SBQQ__Body__c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SBQQ__AdvancedCondition__c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(15 "attorneys' fees" *prose* hits in Body; AdvancedCondition = 0)</w:t>
            </w:r>
          </w:p>
        </w:tc>
      </w:tr>
    </w:tbl>
    <w:p>
      <w:pPr>
        <w:spacing w:after="120"/>
      </w:pPr>
      <w:r>
        <w:t xml:space="preserve">Long-text columns (</w:t>
      </w:r>
      <w:r>
        <w:rPr>
          <w:rFonts w:ascii="Consolas" w:cs="Consolas" w:eastAsia="Consolas" w:hAnsi="Consolas"/>
        </w:rPr>
        <w:t xml:space="preserve">SBQQ__Markup__c</w:t>
      </w:r>
      <w:r>
        <w:t xml:space="preserve">, </w:t>
      </w:r>
      <w:r>
        <w:rPr>
          <w:rFonts w:ascii="Consolas" w:cs="Consolas" w:eastAsia="Consolas" w:hAnsi="Consolas"/>
        </w:rPr>
        <w:t xml:space="preserve">SBQQ__RawMarkup__c</w:t>
      </w:r>
      <w:r>
        <w:t xml:space="preserve">, </w:t>
      </w:r>
      <w:r>
        <w:rPr>
          <w:rFonts w:ascii="Consolas" w:cs="Consolas" w:eastAsia="Consolas" w:hAnsi="Consolas"/>
        </w:rPr>
        <w:t xml:space="preserve">SBQQ__Body__c</w:t>
      </w:r>
      <w:r>
        <w:t xml:space="preserve">, </w:t>
      </w:r>
      <w:r>
        <w:rPr>
          <w:rFonts w:ascii="Consolas" w:cs="Consolas" w:eastAsia="Consolas" w:hAnsi="Consolas"/>
        </w:rPr>
        <w:t xml:space="preserve">SBQQ__AdvancedCondition__c</w:t>
      </w:r>
      <w:r>
        <w:t xml:space="preserve">, </w:t>
      </w:r>
      <w:r>
        <w:rPr>
          <w:rFonts w:ascii="Consolas" w:cs="Consolas" w:eastAsia="Consolas" w:hAnsi="Consolas"/>
        </w:rPr>
        <w:t xml:space="preserve">SBQQ__TermsConditions__c</w:t>
      </w:r>
      <w:r>
        <w:t xml:space="preserve">) were selected and grepped client-side across all rows.</w:t>
      </w:r>
    </w:p>
    <w:p>
      <w:pPr>
        <w:spacing w:after="120"/>
      </w:pPr>
      <w:r>
        <w:rPr>
          <w:b/>
          <w:bCs/>
        </w:rPr>
        <w:t xml:space="preserve">The only attorney *field* reference:</w:t>
      </w:r>
      <w:r>
        <w:t xml:space="preserve"> template content </w:t>
      </w:r>
      <w:r>
        <w:rPr>
          <w:rFonts w:ascii="Consolas" w:cs="Consolas" w:eastAsia="Consolas" w:hAnsi="Consolas"/>
        </w:rPr>
        <w:t xml:space="preserve">a1XPx000003uBjqMAE</w:t>
      </w:r>
      <w:r>
        <w:t xml:space="preserve"> ("2. Authorized Users for Digital Products - Law Firm") merges </w:t>
      </w:r>
      <w:r>
        <w:rPr>
          <w:b/>
          <w:bCs/>
        </w:rPr>
        <w:t xml:space="preserve">`{!quote.Number_of_Attorneys__c}`</w:t>
      </w:r>
      <w:r>
        <w:t xml:space="preserve">. This is the </w:t>
      </w:r>
      <w:r>
        <w:rPr>
          <w:b/>
          <w:bCs/>
        </w:rPr>
        <w:t xml:space="preserve">Quote</w:t>
      </w:r>
      <w:r>
        <w:t xml:space="preserve"> field </w:t>
      </w:r>
      <w:r>
        <w:rPr>
          <w:rFonts w:ascii="Consolas" w:cs="Consolas" w:eastAsia="Consolas" w:hAnsi="Consolas"/>
        </w:rPr>
        <w:t xml:space="preserve">SBQQ__Quote__c.Number_of_Attorneys__c</w:t>
      </w:r>
      <w:r>
        <w:t xml:space="preserve">, a Text </w:t>
      </w:r>
      <w:r>
        <w:rPr>
          <w:b/>
          <w:bCs/>
        </w:rPr>
        <w:t xml:space="preserve">formula</w:t>
      </w:r>
      <w:r>
        <w:t xml:space="preserve">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if(SBQQ__Account__r.Ultimate_Account__r.Number_of_Attorneys__c = 0, "",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text(SBQQ__Account__r.Ultimate_Account__r.Number_of_Attorneys__c))</w:t>
      </w:r>
    </w:p>
    <w:p>
      <w:pPr>
        <w:spacing w:after="120"/>
      </w:pPr>
      <w:r>
        <w:t xml:space="preserve">→ it resolves to the </w:t>
      </w:r>
      <w:r>
        <w:rPr>
          <w:b/>
          <w:bCs/>
        </w:rPr>
        <w:t xml:space="preserve">survivor</w:t>
      </w:r>
      <w:r>
        <w:t xml:space="preserve">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 on the Account's </w:t>
      </w:r>
      <w:r>
        <w:rPr>
          <w:b/>
          <w:bCs/>
        </w:rPr>
        <w:t xml:space="preserve">Ultimate Account (Firm)</w:t>
      </w:r>
      <w:r>
        <w:t xml:space="preserve"> — </w:t>
      </w:r>
      <w:r>
        <w:rPr>
          <w:b/>
          <w:bCs/>
        </w:rPr>
        <w:t xml:space="preserve">not</w:t>
      </w:r>
      <w:r>
        <w:t xml:space="preserve"> </w:t>
      </w:r>
      <w:r>
        <w:rPr>
          <w:rFonts w:ascii="Consolas" w:cs="Consolas" w:eastAsia="Consolas" w:hAnsi="Consolas"/>
        </w:rPr>
        <w:t xml:space="preserve">of_Attorneys__c</w:t>
      </w:r>
      <w:r>
        <w:t xml:space="preserve">. So no template touches the retire field.</w:t>
      </w:r>
    </w:p>
    <w:p>
      <w:pPr>
        <w:pBdr>
          <w:left w:val="single" w:color="8EAADB" w:sz="18" w:space="8"/>
        </w:pBdr>
        <w:spacing w:after="120" w:before="80"/>
        <w:ind w:left="360"/>
      </w:pPr>
      <w:r>
        <w:rPr>
          <w:b/>
          <w:bCs/>
          <w:i/>
          <w:iCs/>
        </w:rPr>
        <w:t xml:space="preserve">Data-migration implication (Phase 2/PROD):</w:t>
      </w:r>
      <w:r>
        <w:rPr>
          <w:i/>
          <w:iCs/>
        </w:rPr>
        <w:t xml:space="preserve"> generated quotes already read the </w:t>
      </w:r>
      <w:r>
        <w:rPr>
          <w:b/>
          <w:bCs/>
          <w:i/>
          <w:iCs/>
        </w:rPr>
        <w:t xml:space="preserve">survivor</w:t>
      </w:r>
      <w:r>
        <w:rPr>
          <w:i/>
          <w:iCs/>
        </w:rPr>
        <w:t xml:space="preserve"> (at the Firm/Ultimate-Account grain). If firms today have </w:t>
      </w:r>
      <w:r>
        <w:rPr>
          <w:rFonts w:ascii="Consolas" w:cs="Consolas" w:eastAsia="Consolas" w:hAnsi="Consolas"/>
          <w:i/>
          <w:iCs/>
        </w:rPr>
        <w:t xml:space="preserve">of_Attorneys__c</w:t>
      </w:r>
      <w:r>
        <w:rPr>
          <w:i/>
          <w:iCs/>
        </w:rPr>
        <w:t xml:space="preserve"> populated but </w:t>
      </w:r>
      <w:r>
        <w:rPr>
          <w:rFonts w:ascii="Consolas" w:cs="Consolas" w:eastAsia="Consolas" w:hAnsi="Consolas"/>
          <w:i/>
          <w:iCs/>
        </w:rPr>
        <w:t xml:space="preserve">Number_of_Attorneys__c</w:t>
      </w:r>
      <w:r>
        <w:rPr>
          <w:i/>
          <w:iCs/>
        </w:rPr>
        <w:t xml:space="preserve"> blank, those quotes already render blank — the </w:t>
      </w:r>
      <w:r>
        <w:rPr>
          <w:rFonts w:ascii="Consolas" w:cs="Consolas" w:eastAsia="Consolas" w:hAnsi="Consolas"/>
          <w:i/>
          <w:iCs/>
        </w:rPr>
        <w:t xml:space="preserve">of_Attorneys__c → Number_of_Attorneys__c</w:t>
      </w:r>
      <w:r>
        <w:rPr>
          <w:i/>
          <w:iCs/>
        </w:rPr>
        <w:t xml:space="preserve"> migration must therefore populate the survivor </w:t>
      </w:r>
      <w:r>
        <w:rPr>
          <w:b/>
          <w:bCs/>
          <w:i/>
          <w:iCs/>
        </w:rPr>
        <w:t xml:space="preserve">on Ultimate Account (Firm) records</w:t>
      </w:r>
      <w:r>
        <w:rPr>
          <w:i/>
          <w:iCs/>
        </w:rPr>
        <w:t xml:space="preserve">, not only office-level Accounts.</w:t>
      </w:r>
    </w:p>
    <w:p>
      <w:pPr>
        <w:pStyle w:val="Heading2"/>
      </w:pPr>
      <w:r>
        <w:t xml:space="preserve">7. Reports &amp; Dashboards — dependency-graph clean; full grep impractical</w:t>
      </w:r>
    </w:p>
    <w:p>
      <w:pPr>
        <w:spacing w:after="120"/>
      </w:pPr>
      <w:r>
        <w:t xml:space="preserve">The dependency graph shows </w:t>
      </w:r>
      <w:r>
        <w:rPr>
          <w:b/>
          <w:bCs/>
        </w:rPr>
        <w:t xml:space="preserve">no</w:t>
      </w:r>
      <w:r>
        <w:t xml:space="preserve"> report/dashboard reference to either Account field. However the org has </w:t>
      </w:r>
      <w:r>
        <w:rPr>
          <w:b/>
          <w:bCs/>
        </w:rPr>
        <w:t xml:space="preserve">6,424 reports / 360 dashboards</w:t>
      </w:r>
      <w:r>
        <w:t xml:space="preserve"> — too many to retrieve and full-text grep, and report field-filter usage is the dependency graph's least reliable area. </w:t>
      </w:r>
      <w:r>
        <w:rPr>
          <w:b/>
          <w:bCs/>
        </w:rPr>
        <w:t xml:space="preserve">PROD action:</w:t>
      </w:r>
      <w:r>
        <w:t xml:space="preserve"> confirm via the field's Setup </w:t>
      </w:r>
      <w:r>
        <w:rPr>
          <w:b/>
          <w:bCs/>
        </w:rPr>
        <w:t xml:space="preserve">"Where is this used?"</w:t>
      </w:r>
      <w:r>
        <w:t xml:space="preserve"> (which *does* cover reports), or retrieve only reports in ALM/Firm/Office/segmentation folders and grep. Risk rated </w:t>
      </w:r>
      <w:r>
        <w:rPr>
          <w:b/>
          <w:bCs/>
        </w:rPr>
        <w:t xml:space="preserve">LOW</w:t>
      </w:r>
      <w:r>
        <w:t xml:space="preserve"> (plain field; equivalent survivor logic already exists).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Integration-fed determination: is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written by an integration?</w:t>
      </w:r>
    </w:p>
    <w:p>
      <w:pPr>
        <w:spacing w:after="120"/>
      </w:pPr>
      <w:r>
        <w:rPr>
          <w:b/>
          <w:bCs/>
        </w:rPr>
        <w:t xml:space="preserve">Finding: No automated integration / managed package / named credential writes it. It is human-maintained by the ALM/Law.com data team.</w:t>
      </w:r>
    </w:p>
    <w:p>
      <w:pPr>
        <w:spacing w:after="120"/>
      </w:pPr>
      <w:r>
        <w:t xml:space="preserve">Evidence: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Field shape</w:t>
      </w:r>
      <w:r>
        <w:t xml:space="preserve"> — plain </w:t>
      </w:r>
      <w:r>
        <w:rPr>
          <w:rFonts w:ascii="Consolas" w:cs="Consolas" w:eastAsia="Consolas" w:hAnsi="Consolas"/>
        </w:rPr>
        <w:t xml:space="preserve">Number(18,0)</w:t>
      </w:r>
      <w:r>
        <w:t xml:space="preserve">: </w:t>
      </w:r>
      <w:r>
        <w:rPr>
          <w:rFonts w:ascii="Consolas" w:cs="Consolas" w:eastAsia="Consolas" w:hAnsi="Consolas"/>
        </w:rPr>
        <w:t xml:space="preserve">formula = null</w:t>
      </w:r>
      <w:r>
        <w:t xml:space="preserve">, no roll-up (</w:t>
      </w:r>
      <w:r>
        <w:rPr>
          <w:rFonts w:ascii="Consolas" w:cs="Consolas" w:eastAsia="Consolas" w:hAnsi="Consolas"/>
        </w:rPr>
        <w:t xml:space="preserve">summaryOperation = null</w:t>
      </w:r>
      <w:r>
        <w:t xml:space="preserve">), no default, </w:t>
      </w:r>
      <w:r>
        <w:rPr>
          <w:rFonts w:ascii="Consolas" w:cs="Consolas" w:eastAsia="Consolas" w:hAnsi="Consolas"/>
        </w:rPr>
        <w:t xml:space="preserve">externalId = false</w:t>
      </w:r>
      <w:r>
        <w:t xml:space="preserve">, no help text. It does not self-calculate, so values come from outside metadata (manual entry or data load).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 automation writes it</w:t>
      </w:r>
      <w:r>
        <w:t xml:space="preserve"> — dependency graph shows </w:t>
      </w:r>
      <w:r>
        <w:rPr>
          <w:b/>
          <w:bCs/>
        </w:rPr>
        <w:t xml:space="preserve">no</w:t>
      </w:r>
      <w:r>
        <w:t xml:space="preserve"> flow, process, workflow field update, or Apex referencing it; the all-Apex grep (compiled </w:t>
      </w:r>
      <w:r>
        <w:rPr>
          <w:b/>
          <w:bCs/>
        </w:rPr>
        <w:t xml:space="preserve">and</w:t>
      </w:r>
      <w:r>
        <w:t xml:space="preserve"> dynamic string literals) is also clean. No custom convert code (</w:t>
      </w:r>
      <w:r>
        <w:rPr>
          <w:rFonts w:ascii="Consolas" w:cs="Consolas" w:eastAsia="Consolas" w:hAnsi="Consolas"/>
        </w:rPr>
        <w:t xml:space="preserve">LeadConvertInvocable</w:t>
      </w:r>
      <w:r>
        <w:t xml:space="preserve">, </w:t>
      </w:r>
      <w:r>
        <w:rPr>
          <w:rFonts w:ascii="Consolas" w:cs="Consolas" w:eastAsia="Consolas" w:hAnsi="Consolas"/>
        </w:rPr>
        <w:t xml:space="preserve">SmartConvertController</w:t>
      </w:r>
      <w:r>
        <w:t xml:space="preserve">) touches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 managed package</w:t>
      </w:r>
      <w:r>
        <w:t xml:space="preserve"> — every dependency record has a </w:t>
      </w:r>
      <w:r>
        <w:rPr>
          <w:rFonts w:ascii="Consolas" w:cs="Consolas" w:eastAsia="Consolas" w:hAnsi="Consolas"/>
        </w:rPr>
        <w:t xml:space="preserve">null</w:t>
      </w:r>
      <w:r>
        <w:t xml:space="preserve"> namespace; no packaged component references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Who can write it = humans, not a system user.</w:t>
      </w:r>
      <w:r>
        <w:t xml:space="preserve"> Edit FLS is concentrated in </w:t>
      </w:r>
      <w:r>
        <w:rPr>
          <w:rFonts w:ascii="Consolas" w:cs="Consolas" w:eastAsia="Consolas" w:hAnsi="Consolas"/>
        </w:rPr>
        <w:t xml:space="preserve">ALM fields - Data team</w:t>
      </w:r>
      <w:r>
        <w:t xml:space="preserve"> (R/W), </w:t>
      </w:r>
      <w:r>
        <w:rPr>
          <w:rFonts w:ascii="Consolas" w:cs="Consolas" w:eastAsia="Consolas" w:hAnsi="Consolas"/>
        </w:rPr>
        <w:t xml:space="preserve">Additional Account Permission for ALM CS team</w:t>
      </w:r>
      <w:r>
        <w:t xml:space="preserve"> (R/W), and </w:t>
      </w:r>
      <w:r>
        <w:rPr>
          <w:rFonts w:ascii="Consolas" w:cs="Consolas" w:eastAsia="Consolas" w:hAnsi="Consolas"/>
        </w:rPr>
        <w:t xml:space="preserve">Sergio permissions migrate</w:t>
      </w:r>
      <w:r>
        <w:t xml:space="preserve"> (R/W). The ALM/Law.com permission sets are assigned to </w:t>
      </w:r>
      <w:r>
        <w:rPr>
          <w:b/>
          <w:bCs/>
        </w:rPr>
        <w:t xml:space="preserve">7 active Standard (human) users</w:t>
      </w:r>
      <w:r>
        <w:t xml:space="preserve"> — ALM/Law.com staff (</w:t>
      </w:r>
      <w:r>
        <w:rPr>
          <w:rFonts w:ascii="Consolas" w:cs="Consolas" w:eastAsia="Consolas" w:hAnsi="Consolas"/>
        </w:rPr>
        <w:t xml:space="preserve">@alm.com</w:t>
      </w:r>
      <w:r>
        <w:t xml:space="preserve">, </w:t>
      </w:r>
      <w:r>
        <w:rPr>
          <w:rFonts w:ascii="Consolas" w:cs="Consolas" w:eastAsia="Consolas" w:hAnsi="Consolas"/>
        </w:rPr>
        <w:t xml:space="preserve">@lbresearch.com</w:t>
      </w:r>
      <w:r>
        <w:t xml:space="preserve">), e.g. Cindy Leung, Kieran Hansen, Ashton Thompson, Cayla Vichot, Jessica Silveira, Khris Fenton, Shawn Harlan. </w:t>
      </w:r>
      <w:r>
        <w:rPr>
          <w:b/>
          <w:bCs/>
        </w:rPr>
        <w:t xml:space="preserve">No integration/automated-process user</w:t>
      </w:r>
      <w:r>
        <w:t xml:space="preserve"> is assigned.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`Data Cloud Salesforce Connector`</w:t>
      </w:r>
      <w:r>
        <w:t xml:space="preserve"> perm set has </w:t>
      </w:r>
      <w:r>
        <w:rPr>
          <w:b/>
          <w:bCs/>
        </w:rPr>
        <w:t xml:space="preserve">Read only</w:t>
      </w:r>
      <w:r>
        <w:t xml:space="preserve"> on both fields → Salesforce Data Cloud is a </w:t>
      </w:r>
      <w:r>
        <w:rPr>
          <w:b/>
          <w:bCs/>
        </w:rPr>
        <w:t xml:space="preserve">downstream consumer</w:t>
      </w:r>
      <w:r>
        <w:t xml:space="preserve"> (ingests the field), not a writer.</w:t>
      </w:r>
    </w:p>
    <w:p>
      <w:pPr>
        <w:spacing w:after="120"/>
      </w:pPr>
      <w:r>
        <w:rPr>
          <w:b/>
          <w:bCs/>
        </w:rPr>
        <w:t xml:space="preserve">Implications for retirement: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 from a "live integration will break" standpoint — no automation/package/named credential to flip or preserve.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manual/data-load stewardship</w:t>
      </w:r>
      <w:r>
        <w:t xml:space="preserve"> that currently targets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must be </w:t>
      </w:r>
      <w:r>
        <w:rPr>
          <w:b/>
          <w:bCs/>
        </w:rPr>
        <w:t xml:space="preserve">redirected to `Number_of_Attorneys__c`</w:t>
      </w:r>
      <w:r>
        <w:t xml:space="preserve"> going forward.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 in PROD before deleting:</w:t>
      </w:r>
      <w:r>
        <w:t xml:space="preserve"> (a) field history / </w:t>
      </w:r>
      <w:r>
        <w:rPr>
          <w:rFonts w:ascii="Consolas" w:cs="Consolas" w:eastAsia="Consolas" w:hAnsi="Consolas"/>
        </w:rPr>
        <w:t xml:space="preserve">LastModifiedBy</w:t>
      </w:r>
      <w:r>
        <w:t xml:space="preserve"> on populated Accounts to confirm who/what actually writes it; (b) ask the ALM data team whether any Data Loader/ETL job maps an ALM file column to </w:t>
      </w:r>
      <w:r>
        <w:rPr>
          <w:rFonts w:ascii="Consolas" w:cs="Consolas" w:eastAsia="Consolas" w:hAnsi="Consolas"/>
        </w:rPr>
        <w:t xml:space="preserve">of_Attorneys__c</w:t>
      </w:r>
      <w:r>
        <w:t xml:space="preserve">; (c) whether Data Cloud ingests </w:t>
      </w:r>
      <w:r>
        <w:rPr>
          <w:rFonts w:ascii="Consolas" w:cs="Consolas" w:eastAsia="Consolas" w:hAnsi="Consolas"/>
        </w:rPr>
        <w:t xml:space="preserve">of_Attorneys__c</w:t>
      </w:r>
      <w:r>
        <w:t xml:space="preserve"> (remap the data stream to the survivor).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Residual items requiring PROD verification or a manual step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PROD data migration</w:t>
      </w:r>
      <w:r>
        <w:t xml:space="preserve"> (not applicable in sandbox — Account has 0 records here). </w:t>
      </w:r>
      <w:r>
        <w:rPr>
          <w:b/>
          <w:bCs/>
        </w:rPr>
        <w:t xml:space="preserve">Production data profile (read-only, 2026-06-19):</w:t>
      </w:r>
      <w:r>
        <w:t xml:space="preserve"> of 738,825 Accounts, RETIRE is populated on 29,684 and SURVIVOR on 29,779. Where </w:t>
      </w:r>
      <w:r>
        <w:rPr>
          <w:b/>
          <w:bCs/>
        </w:rPr>
        <w:t xml:space="preserve">both</w:t>
      </w:r>
      <w:r>
        <w:t xml:space="preserve"> are populated (29,575), </w:t>
      </w:r>
      <w:r>
        <w:rPr>
          <w:b/>
          <w:bCs/>
        </w:rPr>
        <w:t xml:space="preserve">28,953 match (97.9%)</w:t>
      </w:r>
      <w:r>
        <w:t xml:space="preserve"> and </w:t>
      </w:r>
      <w:r>
        <w:rPr>
          <w:b/>
          <w:bCs/>
        </w:rPr>
        <w:t xml:space="preserve">622 differ</w:t>
      </w:r>
      <w:r>
        <w:t xml:space="preserve">. </w:t>
      </w:r>
      <w:r>
        <w:rPr>
          <w:b/>
          <w:bCs/>
        </w:rPr>
        <w:t xml:space="preserve">109</w:t>
      </w:r>
      <w:r>
        <w:t xml:space="preserve"> have RETIRE-only (survivor blank → must copy before deprecation); 204 have SURVIVOR-only. The two fields are ~98% redundant duplicates.</w:t>
      </w:r>
    </w:p>
    <w:p>
      <w:pPr>
        <w:pStyle w:val="ListParagraph"/>
        <w:numPr>
          <w:ilvl w:val="1"/>
          <w:numId w:val="5"/>
        </w:numPr>
        <w:spacing w:after="60"/>
      </w:pPr>
      <w:r>
        <w:rPr>
          <w:b/>
          <w:bCs/>
        </w:rPr>
        <w:t xml:space="preserve">Migration rule (needs data-owner sign-off):</w:t>
      </w:r>
      <w:r>
        <w:t xml:space="preserve"> set </w:t>
      </w:r>
      <w:r>
        <w:rPr>
          <w:rFonts w:ascii="Consolas" w:cs="Consolas" w:eastAsia="Consolas" w:hAnsi="Consolas"/>
        </w:rPr>
        <w:t xml:space="preserve">Number_of_Attorneys__c := of_Attorneys__c</w:t>
      </w:r>
      <w:r>
        <w:t xml:space="preserve"> for the </w:t>
      </w:r>
      <w:r>
        <w:rPr>
          <w:b/>
          <w:bCs/>
        </w:rPr>
        <w:t xml:space="preserve">109</w:t>
      </w:r>
      <w:r>
        <w:t xml:space="preserve"> survivor-blank records, and — recommended — for the </w:t>
      </w:r>
      <w:r>
        <w:rPr>
          <w:b/>
          <w:bCs/>
        </w:rPr>
        <w:t xml:space="preserve">622</w:t>
      </w:r>
      <w:r>
        <w:t xml:space="preserve"> conflicts (RETIRE is the ALM-maintained source, and this keeps the </w:t>
      </w:r>
      <w:r>
        <w:rPr>
          <w:rFonts w:ascii="Consolas" w:cs="Consolas" w:eastAsia="Consolas" w:hAnsi="Consolas"/>
        </w:rPr>
        <w:t xml:space="preserve">Industry_Category__c</w:t>
      </w:r>
      <w:r>
        <w:t xml:space="preserve"> / </w:t>
      </w:r>
      <w:r>
        <w:rPr>
          <w:rFonts w:ascii="Consolas" w:cs="Consolas" w:eastAsia="Consolas" w:hAnsi="Consolas"/>
        </w:rPr>
        <w:t xml:space="preserve">ALM_Industry_Category_Code__c</w:t>
      </w:r>
      <w:r>
        <w:t xml:space="preserve"> repoint behavior-neutral, since those formulas read the retire value today). Conflicts often repeat across offices of the same firm → migrate at the </w:t>
      </w:r>
      <w:r>
        <w:rPr>
          <w:b/>
          <w:bCs/>
        </w:rPr>
        <w:t xml:space="preserve">Ultimate Account (Firm)</w:t>
      </w:r>
      <w:r>
        <w:t xml:space="preserve"> grain (see §6b). Alternative: fill only the 109 blanks and accept that industry categorisation shifts for the 622 after repointing.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~~</w:t>
      </w:r>
      <w:r>
        <w:rPr>
          <w:b/>
          <w:bCs/>
        </w:rPr>
        <w:t xml:space="preserve">CPQ rules in PROD</w:t>
      </w:r>
      <w:r>
        <w:t xml:space="preserve"> — re-run the scan~~ ✅ </w:t>
      </w:r>
      <w:r>
        <w:rPr>
          <w:b/>
          <w:bCs/>
        </w:rPr>
        <w:t xml:space="preserve">Done 2026-06-19</w:t>
      </w:r>
      <w:r>
        <w:t xml:space="preserve"> — verified clean in </w:t>
      </w:r>
      <w:r>
        <w:rPr>
          <w:rFonts w:ascii="Consolas" w:cs="Consolas" w:eastAsia="Consolas" w:hAnsi="Consolas"/>
        </w:rPr>
        <w:t xml:space="preserve">LBR_PROD</w:t>
      </w:r>
      <w:r>
        <w:t xml:space="preserve"> (section 6).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Reports/dashboards in PROD</w:t>
      </w:r>
      <w:r>
        <w:t xml:space="preserve"> — confirm via "Where is this used?" / targeted grep (section 7).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Lead conversion mapping</w:t>
      </w:r>
      <w:r>
        <w:t xml:space="preserve"> — the Lead field </w:t>
      </w:r>
      <w:r>
        <w:rPr>
          <w:rFonts w:ascii="Consolas" w:cs="Consolas" w:eastAsia="Consolas" w:hAnsi="Consolas"/>
        </w:rPr>
        <w:t xml:space="preserve">ALM_of_Attorneys__c</w:t>
      </w:r>
      <w:r>
        <w:t xml:space="preserve"> exists; native lead-conversion field mappings are </w:t>
      </w:r>
      <w:r>
        <w:rPr>
          <w:b/>
          <w:bCs/>
        </w:rPr>
        <w:t xml:space="preserve">not</w:t>
      </w:r>
      <w:r>
        <w:t xml:space="preserve"> visible to the dependency graph or to grep. Manually confirm in </w:t>
      </w:r>
      <w:r>
        <w:rPr>
          <w:b/>
          <w:bCs/>
        </w:rPr>
        <w:t xml:space="preserve">Setup → Object Manager → Lead → Map Lead Fields</w:t>
      </w:r>
      <w:r>
        <w:t xml:space="preserve"> whether </w:t>
      </w:r>
      <w:r>
        <w:rPr>
          <w:rFonts w:ascii="Consolas" w:cs="Consolas" w:eastAsia="Consolas" w:hAnsi="Consolas"/>
        </w:rPr>
        <w:t xml:space="preserve">ALM_of_Attorneys__c</w:t>
      </w:r>
      <w:r>
        <w:t xml:space="preserve"> maps to </w:t>
      </w:r>
      <w:r>
        <w:rPr>
          <w:rFonts w:ascii="Consolas" w:cs="Consolas" w:eastAsia="Consolas" w:hAnsi="Consolas"/>
        </w:rPr>
        <w:t xml:space="preserve">Account.of_Attorneys__c</w:t>
      </w:r>
      <w:r>
        <w:t xml:space="preserve">; if so, remap to </w:t>
      </w:r>
      <w:r>
        <w:rPr>
          <w:rFonts w:ascii="Consolas" w:cs="Consolas" w:eastAsia="Consolas" w:hAnsi="Consolas"/>
        </w:rPr>
        <w:t xml:space="preserve">Number_of_Attorneys__c</w:t>
      </w:r>
      <w:r>
        <w:t xml:space="preserve">. (No Apex/flow performs this copy, so the native map is the only possible vector.)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Redirect ALM data-team stewardship / Data Cloud stream</w:t>
      </w:r>
      <w:r>
        <w:t xml:space="preserve"> to the survivor (see integration section).</w:t>
      </w:r>
    </w:p>
    <w:p>
      <w:pPr>
        <w:pBdr>
          <w:bottom w:val="single" w:color="BBBBBB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Next step</w:t>
      </w:r>
    </w:p>
    <w:p>
      <w:pPr>
        <w:spacing w:after="120"/>
      </w:pPr>
      <w:r>
        <w:t xml:space="preserve">Phase 1 is complete and stops here for your </w:t>
      </w:r>
      <w:r>
        <w:rPr>
          <w:b/>
          <w:bCs/>
        </w:rPr>
        <w:t xml:space="preserve">sign-off</w:t>
      </w:r>
      <w:r>
        <w:t xml:space="preserve">. On approval I will produce the </w:t>
      </w:r>
      <w:r>
        <w:rPr>
          <w:b/>
          <w:bCs/>
        </w:rPr>
        <w:t xml:space="preserve">Phase 2 ordered remediation + rollback plan</w:t>
      </w:r>
      <w:r>
        <w:t xml:space="preserve"> (still no writes), covering: FLS parity → formula repoints → layout swaps → PROD data migration → deprecate → (separately confirmed) delete.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E4D8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4D8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Attorney-Count Field Consolidation - Phase 1 Audit</dc:title>
  <dc:creator>Claude</dc:creator>
  <cp:lastModifiedBy>Un-named</cp:lastModifiedBy>
  <cp:revision>1</cp:revision>
  <dcterms:created xsi:type="dcterms:W3CDTF">2026-06-19T13:45:03.664Z</dcterms:created>
  <dcterms:modified xsi:type="dcterms:W3CDTF">2026-06-19T13:45:03.666Z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