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Performance Assessment — Emlyn James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Sales Team Lead · Lexology Pro New Business · Centellic (Law Business Research UK Ltd)</w:t>
      </w:r>
    </w:p>
    <w:p>
      <w:pPr>
        <w:pBdr>
          <w:bottom w:val="single" w:color="1F3864" w:sz="8" w:space="4"/>
        </w:pBdr>
        <w:spacing w:after="160"/>
      </w:pPr>
      <w:r>
        <w:rPr>
          <w:color w:val="595959"/>
          <w:sz w:val="18"/>
          <w:szCs w:val="18"/>
        </w:rPr>
        <w:t xml:space="preserve">Prepared by the Global Head of Revenue Operations for the CRO  ·  Source: Production 00D6g0000081IOg (read-only)  ·  24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facts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Emlyn James  ·  User.Id 0054L0000048GrLQAU  ·  emlyn.james@lbresearch.com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PI – Lexology Pro – New Business Development Team Leader 2.1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Tenure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 2023-01-05  ·  ~3.47 yrs  ·  ~13.9 tenure-quarters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Florence Perkins (now inactive)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Motion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99.8% New Business (567 of 568 opps; one lost Renewal) — assessed as a new-logo carrier; retention immaterial and not scored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GBP-normalised: ACV = Annual_Contract_Value_converted__c; TCV = Amount_GBP__c. Deleted__c excluded; no trial opps in closed book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Baseline check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Won 97 / £908K · Lost 445 / £3.31M · Open 26 / £247K — reconciles to brief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40" w:before="260"/>
      </w:pPr>
      <w:r>
        <w:t xml:space="preserve">1. Executive verdict — Strong / Exceeds Expectations (top of cohort)</w:t>
      </w:r>
    </w:p>
    <w:p>
      <w:pPr>
        <w:spacing w:after="120" w:before="0"/>
      </w:pPr>
      <w:r>
        <w:t xml:space="preserve">Emlyn is the </w:t>
      </w:r>
      <w:r>
        <w:rPr>
          <w:b/>
          <w:bCs/>
        </w:rPr>
        <w:t xml:space="preserve">strongest New-Business carrier in the UK Lexology Pro cohort</w:t>
      </w:r>
      <w:r>
        <w:t xml:space="preserve"> on the metrics that matter most for a new-logo motion — and he does it while carrying the </w:t>
      </w:r>
      <w:r>
        <w:rPr>
          <w:b/>
          <w:bCs/>
        </w:rPr>
        <w:t xml:space="preserve">heaviest active leadership load</w:t>
      </w:r>
      <w:r>
        <w:t xml:space="preserve"> on the team. Tenure-normalised he books the most ACV per quarter (£61K, tied with peer Sam Tucker and ~2× the next rep), wins at the </w:t>
      </w:r>
      <w:r>
        <w:rPr>
          <w:b/>
          <w:bCs/>
        </w:rPr>
        <w:t xml:space="preserve">highest rate in the cohort</w:t>
      </w:r>
      <w:r>
        <w:t xml:space="preserve"> (17.9% by count / </w:t>
      </w:r>
      <w:r>
        <w:rPr>
          <w:b/>
          <w:bCs/>
        </w:rPr>
        <w:t xml:space="preserve">22.0% by value</w:t>
      </w:r>
      <w:r>
        <w:t xml:space="preserve">; ~34% decision-adjusted), at the highest ASP among high-volume reps (£9.4K, ~6 seats), with ~70% of revenue self-sourced — and he has beaten his loaded quota every measurable year (≈110–155%). He also leads two active, at-or-above-median reps, whereas his like-for-like peer Team Lead currently leads none. Two real watch-items keep this from “outstanding”: his sales cycle is the slowest in the cohort (and slowing), and his </w:t>
      </w:r>
      <w:r>
        <w:rPr>
          <w:b/>
          <w:bCs/>
        </w:rPr>
        <w:t xml:space="preserve">personal open pipeline is the thinnest of the senior reps</w:t>
      </w:r>
      <w:r>
        <w:t xml:space="preserve"> (£206K) as FY26 win-rate softens — a forward-coverage risk, not an output problem.</w:t>
      </w:r>
    </w:p>
    <w:p>
      <w:pPr>
        <w:pStyle w:val="Heading1"/>
        <w:spacing w:after="140" w:before="260"/>
      </w:pPr>
      <w:r>
        <w:t xml:space="preserve">2. Scorecard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Emlyn (IC) vs comparable-carrier cohort (Sam Tucker, George Stone-Sobol, Jake Murray-Price, Jacob Johnston), tenure-normalised where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320"/>
        <w:gridCol w:w="1320"/>
        <w:gridCol w:w="1320"/>
        <w:gridCol w:w="1340"/>
        <w:gridCol w:w="19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Emlyn (IC)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Cohort median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 / pct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ACV booked, T12M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£358K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£203K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#1 / ~100th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Flat-to-soft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Top of cohort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ACV per tenure-quarter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£61.3K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£39.1K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#1 (≈Sam £60.8K)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Top, tied w/ peer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Win rate (count, all-time)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#1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FY26 H1 ~15% (down)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 in cohort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Win rate (value, all-time)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~18%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#1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Wins bigger deals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Win rate, decision-adjusted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~34.0%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~16–18%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#1 (≈Sam 33.7%)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Robust to loss-coding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Quota attainment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154% '24 · 151% '25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 target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steady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Consistently over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ASP (won, GBP)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£9,357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£9,357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of volume reps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Quality of revenue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Seats / deal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top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Larger buyers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Self-sourced share (won)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67% ct / 71% ACV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computed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leading-indicator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Sales cycle (avg days)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slowest (5/5)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worse in T12M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Watch: efficiency drag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Open pipeline (ACV)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£206K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£396K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lowest of seniors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thin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Watch: coverage risk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Forecast discipline (pushes)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sandbag/slip flag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Pipeline hygiene (DQ score)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92.3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~92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Contact-role complete (open)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73%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improving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Adequate, 7 gaps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Cohort = New-Business carriers passing a ≥10-closed-in-T12M min-book filter. Decision-adjusted treats uncoded losses (57% of closed-lost carry no primary reason) as non-decision/administrative — see §7.</w:t>
      </w:r>
    </w:p>
    <w:p>
      <w:pPr>
        <w:pStyle w:val="Heading1"/>
        <w:spacing w:after="140" w:before="260"/>
      </w:pPr>
      <w:r>
        <w:t xml:space="preserve">3. Strengths (evidence-linked, ranked by materiality)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Best win rate in the cohort — raw and decision-adjusted.</w:t>
      </w:r>
      <w:r>
        <w:t xml:space="preserve"> 17.9% by count / 22.0% by value all-time; 19.5% T12M (cohort median 13.2%). Decision-adjusted ~34.0%, narrowly ahead of Sam Tucker (33.7%) and ~2× George/Jake. Value-rate &gt; count-rate means he wins above-average-size deals.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#1 ACV booked, absolute and tenure-normalised.</w:t>
      </w:r>
      <w:r>
        <w:t xml:space="preserve"> T12M £358K (cohort median £203K); £61.3K ACV per tenure-quarter, tied with Sam and ~2× Jake/George. Sustained, not a one-quarter spike.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Quality of revenue.</w:t>
      </w:r>
      <w:r>
        <w:t xml:space="preserve"> Highest ASP among the high-volume carriers (£9,357 vs Sam £7,940, Jake £8,626) and most seats per deal (6.0 vs ~4.4). He lands bigger, multi-seat buyers, not just cheap quick wins.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High self-sourcing.</w:t>
      </w:r>
      <w:r>
        <w:t xml:space="preserve"> 65 of 97 won deals self-sourced (67% by count, 71% by ACV). For a Team Lead, a strong leading indicator of pipeline independence.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Consistently above quota.</w:t>
      </w:r>
      <w:r>
        <w:t xml:space="preserve"> ≈143% (FY23 ramp), 154% (FY24), 151% (FY25) of the loaded ForecastingQuota — even on the conservative annualised reading, ≥110%.</w:t>
      </w:r>
    </w:p>
    <w:p>
      <w:pPr>
        <w:pStyle w:val="Heading1"/>
        <w:spacing w:after="140" w:before="260"/>
      </w:pPr>
      <w:r>
        <w:t xml:space="preserve">4. Concerns / risks (evidence-linked, ranked by materiality)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Thin personal open pipeline → forward-coverage risk.</w:t>
      </w:r>
      <w:r>
        <w:t xml:space="preserve"> £206K open ACV (26 opps) is the lowest of all senior carriers (Sam £396K, Jake £340K; his own reports carry far more). Probability-weighted = £70K. Against a ~£200K personal annual run-rate that is light coverage for H2 FY26.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Slow — and slowing — sales cycle.</w:t>
      </w:r>
      <w:r>
        <w:t xml:space="preserve"> 78.7-day lifetime average is the longest in the cohort, deteriorating to 127.8 days in T12M; the pattern is pod-wide (report George ~125.6 days). Decomposed by deal size (§10), the slack is concentrated in small deals — not deal complexity. Fairness caveat: ~1/3 of Sam's deals are logged within ≤2 days of close, deflating his measured cycle, so the raw 2–3× gap overstates it; the genuine issue is Emlyn's absolute small-deal velocity (~3 months) and a long tail of 250–693-day sloggers. Still the clearest single coaching target.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Softening FY26 trajectory.</w:t>
      </w:r>
      <w:r>
        <w:t xml:space="preserve"> Win rate has slipped to ≈15% in FY26 H1 (vs ~20% in FY24–25) and won-count per quarter has eased to 5–6 (from 7–11). H1 ACV is actually up YoY (£114K vs £85K — winning fewer but bigger), and Q4 is historically his strongest, so this is a watch-item, not a decline — but it compounds risk #1.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Loss-reason hygiene.</w:t>
      </w:r>
      <w:r>
        <w:t xml:space="preserve"> 57% of his closed-lost opps carry no primary loss reason (and Loss_Reason__c is 100% null org-wide). Limits coaching diagnostics and decision-adjusted precision. As a Team Lead he is partly accountable for the discipline.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Top report's pipeline hygiene.</w:t>
      </w:r>
      <w:r>
        <w:t xml:space="preserve"> George Stone-Sobol's open pipeline has the cohort's worst data-quality score (84.7) and stalest average age (130 days) — a leadership-accountability item that sits with Emlyn.</w:t>
      </w:r>
    </w:p>
    <w:p>
      <w:pPr>
        <w:pStyle w:val="Heading1"/>
        <w:spacing w:after="140" w:before="260"/>
      </w:pPr>
      <w:r>
        <w:t xml:space="preserve">5. Team-lead contribution (separate from IC — do not conflate)</w:t>
      </w:r>
    </w:p>
    <w:p>
      <w:pPr>
        <w:spacing w:after="120" w:before="0"/>
      </w:pPr>
      <w:r>
        <w:t xml:space="preserve">Emlyn leads </w:t>
      </w:r>
      <w:r>
        <w:rPr>
          <w:b/>
          <w:bCs/>
        </w:rPr>
        <w:t xml:space="preserve">2 active direct reports</w:t>
      </w:r>
      <w:r>
        <w:t xml:space="preserve"> (resolved via ManagerId):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160"/>
        <w:gridCol w:w="15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T12M won / ACV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T12M win-rate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pipeline (ACV)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George Stone-Sobol (Sr BDM)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~2.5 yr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 / £203K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 opps / £810K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Jacob Johnston (BDM)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~1.2 yr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£103K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 opps / £497K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Team total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 / £306K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 / £1.31M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Both reports perform </w:t>
      </w:r>
      <w:r>
        <w:rPr>
          <w:b/>
          <w:bCs/>
        </w:rPr>
        <w:t xml:space="preserve">at or above the cohort win-rate median (13.2%)</w:t>
      </w:r>
      <w:r>
        <w:t xml:space="preserve">; Jacob is tracking well for ~1.2-yr tenure.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The pod (Emlyn + 2 reports) booked </w:t>
      </w:r>
      <w:r>
        <w:rPr>
          <w:b/>
          <w:bCs/>
        </w:rPr>
        <w:t xml:space="preserve">57 won deals / £664K ACV in T12M and holds £1.51M open ACV</w:t>
      </w:r>
      <w:r>
        <w:t xml:space="preserve"> — the reports carry the bulk of forward pipeline, consistent with a Team Lead pushing volume to the bench while keeping a high-quality personal book.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Leverage vs like-for-like:</w:t>
      </w:r>
      <w:r>
        <w:t xml:space="preserve"> peer Team Lead Sam Tucker currently has only one report, inactive — effectively a solo carrier with the title. Emlyn carries materially more leadership load.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Caveat:</w:t>
      </w:r>
      <w:r>
        <w:t xml:space="preserve"> with n=2 reports and no pre/post baseline, the team's at-median performance is consistent with — but does not prove — coaching leverage. Attribute as “carries a productive team,” not “demonstrably lifts it.”</w:t>
      </w:r>
    </w:p>
    <w:p>
      <w:pPr>
        <w:pStyle w:val="Heading1"/>
        <w:spacing w:after="140" w:before="260"/>
      </w:pPr>
      <w:r>
        <w:t xml:space="preserve">6. Coaching / action plan (3 highest-leverage moves)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Rebuild personal top-of-funnel now.</w:t>
      </w:r>
      <w:r>
        <w:t xml:space="preserve"> Gap: open pipeline £206K (lowest of seniors) + softening H1 win rate. Action: set a personal new-pipeline target for Q3–Q4 (≥3× remaining quota in created ACV) leveraging his proven self-sourcing engine. Outcome: restore ≥£350K weighted coverage and protect the H2/Q4 surge he historically delivers.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Attack small-deal velocity and the long tail.</w:t>
      </w:r>
      <w:r>
        <w:t xml:space="preserve"> Gap (§10): sub-£10K deals take ~77–84 median days (Sam ~1–16) and a tail runs 250–693 days. Action: SLA small/transactional deals to a ≤30-day close path, and run a standing review on any deal open &gt;120 days — advance or kill. Outcome: free capacity and lift closes per quarter at his already-high win-rate, without touching the legitimately-complex £20K+ deals.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Fix loss + pipeline hygiene (his and the pod's), and run the built-in coaching match.</w:t>
      </w:r>
      <w:r>
        <w:t xml:space="preserve"> Gap: 57% uncoded losses; George's DQ 84.7 / 130-day stale pipeline and weak qualified→won conversion (§11). Action: mandate primary loss reason at close, a weekly pod hygiene cadence, and have Emlyn transfer his standout closing/qualification discipline to George (his exact strength = George's exact deficit). Outcome: trustworthy loss analytics, a cleaner forecast, and a lift in George's conversion.</w:t>
      </w:r>
    </w:p>
    <w:p>
      <w:pPr>
        <w:pStyle w:val="Heading1"/>
        <w:spacing w:after="140" w:before="260"/>
      </w:pPr>
      <w:r>
        <w:t xml:space="preserve">7. What the data can't tell us (caveats &amp; follow-ups)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Quota interpretation.</w:t>
      </w:r>
      <w:r>
        <w:t xml:space="preserve"> ForecastingQuota exists for 2023–25 (triplicated across 3 forecast types — deduplicated here; no FY26 quota loaded). Whether it is a personal-IC vs team-inclusive target is unconfirmed — attainment is reported against the loaded number. Follow-up: confirm quota basis and load FY26 targets.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Activity (Block G) unusable.</w:t>
      </w:r>
      <w:r>
        <w:t xml:space="preserve"> REVGRD__* meeting/email/effort fields are null and Gong__Gong_Count__c is a constant 1 across all reps — Opportunity-level activity capture isn't populated. No effort/efficiency verdict possible. Follow-up: check Task/Event capture before any activity-based judgement.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Sales-cycle average is outlier-sensitive</w:t>
      </w:r>
      <w:r>
        <w:t xml:space="preserve"> (e.g., one 522-day deal). Directional read holds, but median by deal-size band (§10) refines it.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Decision-adjusted win rate</w:t>
      </w:r>
      <w:r>
        <w:t xml:space="preserve"> assumes uncoded losses are administrative; coding discipline varies by rep (Jacob 100% coded vs Emlyn 42%), so cross-rep comparison is indicative, not exact.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Territory/account quality not observable.</w:t>
      </w:r>
      <w:r>
        <w:t xml:space="preserve"> Manager-assigned vs self-generated territory, inbound lead quality, and account difficulty are not in the data — they could explain part of the cycle and pipeline-volume gaps.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Leadership causality</w:t>
      </w:r>
      <w:r>
        <w:t xml:space="preserve"> unproven (n=2 reports, no pre/post baseline).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A </w:t>
      </w:r>
      <w:r>
        <w:rPr>
          <w:b/>
          <w:bCs/>
        </w:rPr>
        <w:t xml:space="preserve">−£15,000 “won” correction record</w:t>
      </w:r>
      <w:r>
        <w:t xml:space="preserve"> (Mews Systems) depresses TCV but not ACV — the reason ACV is the cleaner bookings measure here.</w:t>
      </w:r>
    </w:p>
    <w:p>
      <w:pPr>
        <w:pStyle w:val="Heading1"/>
        <w:spacing w:after="140" w:before="260"/>
      </w:pPr>
      <w:r>
        <w:t xml:space="preserve">8. Funnel leakage (OpportunityHistory) — reframes the win-rate story favourably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Distinct New-Business opps that ever reached each stage. Clean spine is Identify -&gt; Qualify -&gt; Won (legacy stage renames noted).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 / conversion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Emlyn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Sam Tucker (like-for-like)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Identify (opps reached)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Qualify (opps reached)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Closed Won (opps reached)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Identify -&gt; Qualify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56.8%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64.9%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Qualify -&gt; Won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Identify -&gt; Won (overall)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Read:</w:t>
      </w:r>
      <w:r>
        <w:t xml:space="preserve"> Emlyn and Sam land at the same ~17% overall, but get there differently. Emlyn </w:t>
      </w:r>
      <w:r>
        <w:rPr>
          <w:b/>
          <w:bCs/>
        </w:rPr>
        <w:t xml:space="preserve">disqualifies more aggressively at the top</w:t>
      </w:r>
      <w:r>
        <w:t xml:space="preserve"> (only 57% of Identify advance vs Sam's 65%), then </w:t>
      </w:r>
      <w:r>
        <w:rPr>
          <w:b/>
          <w:bCs/>
        </w:rPr>
        <w:t xml:space="preserve">converts qualified deals to won at the highest rate</w:t>
      </w:r>
      <w:r>
        <w:t xml:space="preserve"> (30.6% vs 26.6%). His modest raw win rate is a wide-funnel effect, not late-stage fumbling — once a deal is genuinely qualified, he closes it better than his peer. The coaching lever is therefore early-stage triage speed (which also attacks the cycle problem), not deal execution.</w:t>
      </w:r>
    </w:p>
    <w:p>
      <w:pPr>
        <w:pStyle w:val="Heading1"/>
        <w:spacing w:after="140" w:before="260"/>
      </w:pPr>
      <w:r>
        <w:t xml:space="preserve">9. US Lex Pro — directional cross-check (different geography/currency/segment)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The US cohort is effectively two people: Matt Oginsky (NB Sales Manager, carries a bag and manages) and Giancarlo Cortes (NB Sales Person, reports to Matt). T12M New Business, GBP-normalised.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1700"/>
        <w:gridCol w:w="1500"/>
        <w:gridCol w:w="180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Won #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Won ACV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T12M cycle (days)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Emlyn James (UK)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£358K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127.8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Matt Oginsky (US, IC + mgr)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£146K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45.2</w:t>
            </w:r>
          </w:p>
        </w:tc>
      </w:tr>
      <w:t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Giancarlo Cortes (US)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£133K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59.4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Read:</w:t>
      </w:r>
      <w:r>
        <w:t xml:space="preserve"> win rates are comparable across geographies (same motion). Emlyn carries a heavier personal book than the US player-manager (30 vs 14 wins; £358K vs £146K) while leading more reps — reinforcing the dual-role strength. But his cycle is dramatically slower even than the US reps (128 vs 45–59 days), confirming velocity as a cross-geography outlier, not a market artefact. US deal sizes/segment differ — treat as directional only.</w:t>
      </w:r>
    </w:p>
    <w:p>
      <w:pPr>
        <w:pStyle w:val="Heading1"/>
        <w:spacing w:after="140" w:before="260"/>
      </w:pPr>
      <w:r>
        <w:t xml:space="preserve">10. Cycle decomposition by deal size (complexity vs slack)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Median Days_to_Closed_Won__c by ACV band, T12M won (Emlyn excl. 2 negative correction records).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1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ACV band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Emlyn median (n)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Sam median (n)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&lt; £8K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 (7)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 (9)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deals sit ~3 months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£8–10K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 (9)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(9)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Should be transactional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£10–20K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 (5)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 (12)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£20K+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 (6)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(2)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Legitimately complex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Conclusion: the cycle problem is not deal complexity</w:t>
      </w:r>
      <w:r>
        <w:t xml:space="preserve"> — Emlyn's small deals are nearly as slow as his big ones, while Sam's small deals close in days. His longest deals (£21K/522d, £43K/693d) are genuine enterprise slogs and are fine. </w:t>
      </w:r>
      <w:r>
        <w:rPr>
          <w:b/>
          <w:bCs/>
        </w:rPr>
        <w:t xml:space="preserve">Caveat:</w:t>
      </w:r>
      <w:r>
        <w:t xml:space="preserve"> Sam's sub-£10K medians of 1–16 days reflect opps logged at/near close (a data-capture habit), so the raw gap is overstated; the real signal is Emlyn's absolute small-deal cycle. Lever: a fast-track path for transactional deals plus a &gt;120-day stuck-deal sweep.</w:t>
      </w:r>
    </w:p>
    <w:p>
      <w:pPr>
        <w:pStyle w:val="Heading1"/>
        <w:spacing w:after="140" w:before="260"/>
      </w:pPr>
      <w:r>
        <w:t xml:space="preserve">11. Pod funnel — a built-in coaching match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Identify -&gt; Qualify -&gt; Won for Emlyn's two reports (OpportunityHistory, distinct NB opps).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700"/>
        <w:gridCol w:w="1500"/>
        <w:gridCol w:w="1180"/>
        <w:gridCol w:w="2900"/>
      </w:tblGrid>
      <w:tr>
        <w:trPr>
          <w:tblHeader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Identify -&gt; Qualify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Qualify -&gt; Won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Emlyn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56.8%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Tight qualifier, strong closer</w:t>
            </w:r>
          </w:p>
        </w:tc>
      </w:tr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Sam Tucker (peer)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64.9%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George Stone-Sobol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Loose qualifier, weak closer, slow pipe</w:t>
            </w:r>
          </w:p>
        </w:tc>
      </w:tr>
      <w:t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Jacob Johnston (ramping)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40.3%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Building qualification (1.2yr)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The pod's shared weakness is </w:t>
      </w:r>
      <w:r>
        <w:rPr>
          <w:b/>
          <w:bCs/>
        </w:rPr>
        <w:t xml:space="preserve">velocity</w:t>
      </w:r>
      <w:r>
        <w:t xml:space="preserve"> — Emlyn and George both run ~125-day T12M cycles.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George's specific gap is late-stage conversion</w:t>
      </w:r>
      <w:r>
        <w:t xml:space="preserve"> (16.6% qualified→won, ~half Emlyn's) on a large but slow/low-DQ pipeline — he advances plenty but closes too few.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A natural coaching match:</w:t>
      </w:r>
      <w:r>
        <w:t xml:space="preserve"> Emlyn's standout strength (best-in-cohort qualified→won conversion) is exactly George's deficit. The highest-leverage leadership action is Emlyn transferring his closing/qualification discipline to George, while giving Jacob structured qualification reps as he ramps.</w:t>
      </w:r>
    </w:p>
    <w:p>
      <w:pPr>
        <w:pBdr>
          <w:top w:val="single" w:color="BFBFBF" w:sz="6" w:space="4"/>
        </w:pBdr>
        <w:spacing w:before="220"/>
      </w:pPr>
      <w:r>
        <w:rPr>
          <w:i/>
          <w:iCs/>
          <w:color w:val="595959"/>
          <w:sz w:val="18"/>
          <w:szCs w:val="18"/>
        </w:rPr>
        <w:t xml:space="preserve">Read-only assessment. No records were created, modified, or deleted. Underlying pulls available in the companion workbook (13 tabs, one per metric block).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Emlyn James — Performance Assessment · Confidential · 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2026-06-26T06:01:01.081Z</dcterms:created>
  <dcterms:modified xsi:type="dcterms:W3CDTF">2026-06-26T06:01:01.084Z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