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Payment Term Extension Process</w:t>
      </w:r>
    </w:p>
    <w:p>
      <w:pPr>
        <w:spacing w:after="60"/>
      </w:pPr>
      <w:r>
        <w:rPr>
          <w:color w:val="555555"/>
          <w:sz w:val="24"/>
          <w:szCs w:val="24"/>
        </w:rPr>
        <w:t xml:space="preserve">How the system applies the policy — playback for Finance</w:t>
      </w:r>
    </w:p>
    <w:p>
      <w:pPr>
        <w:spacing w:after="240"/>
      </w:pPr>
      <w:r>
        <w:rPr>
          <w:i/>
          <w:iCs/>
          <w:color w:val="555555"/>
          <w:sz w:val="19"/>
          <w:szCs w:val="19"/>
        </w:rPr>
        <w:t xml:space="preserve">Prepared by Kamyar Jannati, CRM  |  29 August 2026  |  For Lina Patel</w:t>
      </w:r>
    </w:p>
    <w:p>
      <w:pPr>
        <w:spacing w:after="100"/>
      </w:pPr>
      <w:r>
        <w:rPr>
          <w:sz w:val="21"/>
          <w:szCs w:val="21"/>
        </w:rPr>
        <w:t xml:space="preserve">The build described in the CRM design document is now complete and fully tested in the development environment (fourteen test scenarios, all passing). This note plays the decision logic back in policy language so Finance can confirm the system does exactly what the process document intends, before we switch it on in production.</w:t>
      </w:r>
    </w:p>
    <w:p>
      <w:pPr>
        <w:pStyle w:val="Heading1"/>
        <w:spacing w:after="120" w:before="280"/>
      </w:pPr>
      <w:r>
        <w:rPr>
          <w:color w:val="1F4E5F"/>
        </w:rPr>
        <w:t xml:space="preserve">1. What happens when a rep sets payment terms</w:t>
      </w:r>
    </w:p>
    <w:p>
      <w:pPr>
        <w:spacing w:after="100"/>
      </w:pPr>
      <w:r>
        <w:rPr>
          <w:sz w:val="21"/>
          <w:szCs w:val="21"/>
        </w:rPr>
        <w:t xml:space="preserve">Every quote follows the same decision path the moment payment terms are chosen. The system evaluates the quote’s annualised value in GBP (see section 2) and applies the policy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shd w:fill="1F4E5F" w:val="clear"/>
            <w:tcMar>
              <w:top w:type="dxa" w:w="80"/>
              <w:left w:type="dxa" w:w="120"/>
              <w:bottom w:type="dxa" w:w="80"/>
              <w:right w:type="dxa" w:w="120"/>
            </w:tcMar>
          </w:tcPr>
          <w:p>
            <w:r>
              <w:rPr>
                <w:b/>
                <w:bCs/>
                <w:color w:val="FFFFFF"/>
                <w:sz w:val="20"/>
                <w:szCs w:val="20"/>
              </w:rPr>
              <w:t xml:space="preserve">Rep selects</w:t>
            </w:r>
          </w:p>
        </w:tc>
        <w:tc>
          <w:tcPr>
            <w:tcW w:type="dxa" w:w="3500"/>
            <w:shd w:fill="1F4E5F" w:val="clear"/>
            <w:tcMar>
              <w:top w:type="dxa" w:w="80"/>
              <w:left w:type="dxa" w:w="120"/>
              <w:bottom w:type="dxa" w:w="80"/>
              <w:right w:type="dxa" w:w="120"/>
            </w:tcMar>
          </w:tcPr>
          <w:p>
            <w:r>
              <w:rPr>
                <w:b/>
                <w:bCs/>
                <w:color w:val="FFFFFF"/>
                <w:sz w:val="20"/>
                <w:szCs w:val="20"/>
              </w:rPr>
              <w:t xml:space="preserve">System behaviour</w:t>
            </w:r>
          </w:p>
        </w:tc>
        <w:tc>
          <w:tcPr>
            <w:tcW w:type="dxa" w:w="3260"/>
            <w:shd w:fill="1F4E5F" w:val="clear"/>
            <w:tcMar>
              <w:top w:type="dxa" w:w="80"/>
              <w:left w:type="dxa" w:w="120"/>
              <w:bottom w:type="dxa" w:w="80"/>
              <w:right w:type="dxa" w:w="120"/>
            </w:tcMar>
          </w:tcPr>
          <w:p>
            <w:r>
              <w:rPr>
                <w:b/>
                <w:bCs/>
                <w:color w:val="FFFFFF"/>
                <w:sz w:val="20"/>
                <w:szCs w:val="20"/>
              </w:rPr>
              <w:t xml:space="preserve">Policy rule enforced</w:t>
            </w:r>
          </w:p>
        </w:tc>
      </w:tr>
      <w:tr>
        <w:tc>
          <w:tcPr>
            <w:tcW w:type="dxa" w:w="2600"/>
            <w:tcMar>
              <w:top w:type="dxa" w:w="80"/>
              <w:left w:type="dxa" w:w="120"/>
              <w:bottom w:type="dxa" w:w="80"/>
              <w:right w:type="dxa" w:w="120"/>
            </w:tcMar>
          </w:tcPr>
          <w:p>
            <w:r>
              <w:rPr>
                <w:b w:val="false"/>
                <w:bCs w:val="false"/>
                <w:sz w:val="20"/>
                <w:szCs w:val="20"/>
              </w:rPr>
              <w:t xml:space="preserve">Immediate / Net 15 / Net 30</w:t>
            </w:r>
          </w:p>
        </w:tc>
        <w:tc>
          <w:tcPr>
            <w:tcW w:type="dxa" w:w="3500"/>
            <w:tcMar>
              <w:top w:type="dxa" w:w="80"/>
              <w:left w:type="dxa" w:w="120"/>
              <w:bottom w:type="dxa" w:w="80"/>
              <w:right w:type="dxa" w:w="120"/>
            </w:tcMar>
          </w:tcPr>
          <w:p>
            <w:r>
              <w:rPr>
                <w:b w:val="false"/>
                <w:bCs w:val="false"/>
                <w:sz w:val="20"/>
                <w:szCs w:val="20"/>
              </w:rPr>
              <w:t xml:space="preserve">Quote saves normally. No Finance involvement for payment terms.</w:t>
            </w:r>
          </w:p>
        </w:tc>
        <w:tc>
          <w:tcPr>
            <w:tcW w:type="dxa" w:w="3260"/>
            <w:tcMar>
              <w:top w:type="dxa" w:w="80"/>
              <w:left w:type="dxa" w:w="120"/>
              <w:bottom w:type="dxa" w:w="80"/>
              <w:right w:type="dxa" w:w="120"/>
            </w:tcMar>
          </w:tcPr>
          <w:p>
            <w:r>
              <w:rPr>
                <w:b w:val="false"/>
                <w:bCs w:val="false"/>
                <w:sz w:val="20"/>
                <w:szCs w:val="20"/>
              </w:rPr>
              <w:t xml:space="preserve">Sales may self-serve up to 30 days.</w:t>
            </w:r>
          </w:p>
        </w:tc>
      </w:tr>
      <w:tr>
        <w:tc>
          <w:tcPr>
            <w:tcW w:type="dxa" w:w="2600"/>
            <w:shd w:fill="EAF1F4" w:val="clear"/>
            <w:tcMar>
              <w:top w:type="dxa" w:w="80"/>
              <w:left w:type="dxa" w:w="120"/>
              <w:bottom w:type="dxa" w:w="80"/>
              <w:right w:type="dxa" w:w="120"/>
            </w:tcMar>
          </w:tcPr>
          <w:p>
            <w:r>
              <w:rPr>
                <w:b w:val="false"/>
                <w:bCs w:val="false"/>
                <w:sz w:val="20"/>
                <w:szCs w:val="20"/>
              </w:rPr>
              <w:t xml:space="preserve">Net 45 or Net 60, quote under GBP 7,500 annualised</w:t>
            </w:r>
          </w:p>
        </w:tc>
        <w:tc>
          <w:tcPr>
            <w:tcW w:type="dxa" w:w="3500"/>
            <w:shd w:fill="EAF1F4" w:val="clear"/>
            <w:tcMar>
              <w:top w:type="dxa" w:w="80"/>
              <w:left w:type="dxa" w:w="120"/>
              <w:bottom w:type="dxa" w:w="80"/>
              <w:right w:type="dxa" w:w="120"/>
            </w:tcMar>
          </w:tcPr>
          <w:p>
            <w:r>
              <w:rPr>
                <w:b w:val="false"/>
                <w:bCs w:val="false"/>
                <w:sz w:val="20"/>
                <w:szCs w:val="20"/>
              </w:rPr>
              <w:t xml:space="preserve">Save is blocked with a message quoting the policy. There is no override and no approval route.</w:t>
            </w:r>
          </w:p>
        </w:tc>
        <w:tc>
          <w:tcPr>
            <w:tcW w:type="dxa" w:w="3260"/>
            <w:shd w:fill="EAF1F4" w:val="clear"/>
            <w:tcMar>
              <w:top w:type="dxa" w:w="80"/>
              <w:left w:type="dxa" w:w="120"/>
              <w:bottom w:type="dxa" w:w="80"/>
              <w:right w:type="dxa" w:w="120"/>
            </w:tcMar>
          </w:tcPr>
          <w:p>
            <w:r>
              <w:rPr>
                <w:b w:val="false"/>
                <w:bCs w:val="false"/>
                <w:sz w:val="20"/>
                <w:szCs w:val="20"/>
              </w:rPr>
              <w:t xml:space="preserve">Under $10,000 ACV: maximum 30 days, no exceptions.</w:t>
            </w:r>
          </w:p>
        </w:tc>
      </w:tr>
      <w:tr>
        <w:tc>
          <w:tcPr>
            <w:tcW w:type="dxa" w:w="2600"/>
            <w:tcMar>
              <w:top w:type="dxa" w:w="80"/>
              <w:left w:type="dxa" w:w="120"/>
              <w:bottom w:type="dxa" w:w="80"/>
              <w:right w:type="dxa" w:w="120"/>
            </w:tcMar>
          </w:tcPr>
          <w:p>
            <w:r>
              <w:rPr>
                <w:b w:val="false"/>
                <w:bCs w:val="false"/>
                <w:sz w:val="20"/>
                <w:szCs w:val="20"/>
              </w:rPr>
              <w:t xml:space="preserve">Net 45 or Net 60, quote at or above GBP 7,500 annualised</w:t>
            </w:r>
          </w:p>
        </w:tc>
        <w:tc>
          <w:tcPr>
            <w:tcW w:type="dxa" w:w="3500"/>
            <w:tcMar>
              <w:top w:type="dxa" w:w="80"/>
              <w:left w:type="dxa" w:w="120"/>
              <w:bottom w:type="dxa" w:w="80"/>
              <w:right w:type="dxa" w:w="120"/>
            </w:tcMar>
          </w:tcPr>
          <w:p>
            <w:r>
              <w:rPr>
                <w:b w:val="false"/>
                <w:bCs w:val="false"/>
                <w:sz w:val="20"/>
                <w:szCs w:val="20"/>
              </w:rPr>
              <w:t xml:space="preserve">Save requires a written justification (deal size, contract length, company size, credit context). On submission the quote routes automatically to the Finance approval chain.</w:t>
            </w:r>
          </w:p>
        </w:tc>
        <w:tc>
          <w:tcPr>
            <w:tcW w:type="dxa" w:w="3260"/>
            <w:tcMar>
              <w:top w:type="dxa" w:w="80"/>
              <w:left w:type="dxa" w:w="120"/>
              <w:bottom w:type="dxa" w:w="80"/>
              <w:right w:type="dxa" w:w="120"/>
            </w:tcMar>
          </w:tcPr>
          <w:p>
            <w:r>
              <w:rPr>
                <w:b w:val="false"/>
                <w:bCs w:val="false"/>
                <w:sz w:val="20"/>
                <w:szCs w:val="20"/>
              </w:rPr>
              <w:t xml:space="preserve">Over $10,000 ACV: extended terms may be considered with Finance approval.</w:t>
            </w:r>
          </w:p>
        </w:tc>
      </w:tr>
      <w:tr>
        <w:tc>
          <w:tcPr>
            <w:tcW w:type="dxa" w:w="2600"/>
            <w:shd w:fill="EAF1F4" w:val="clear"/>
            <w:tcMar>
              <w:top w:type="dxa" w:w="80"/>
              <w:left w:type="dxa" w:w="120"/>
              <w:bottom w:type="dxa" w:w="80"/>
              <w:right w:type="dxa" w:w="120"/>
            </w:tcMar>
          </w:tcPr>
          <w:p>
            <w:r>
              <w:rPr>
                <w:b w:val="false"/>
                <w:bCs w:val="false"/>
                <w:sz w:val="20"/>
                <w:szCs w:val="20"/>
              </w:rPr>
              <w:t xml:space="preserve">Net 75 / Net 90 / Net 120</w:t>
            </w:r>
          </w:p>
        </w:tc>
        <w:tc>
          <w:tcPr>
            <w:tcW w:type="dxa" w:w="3500"/>
            <w:shd w:fill="EAF1F4" w:val="clear"/>
            <w:tcMar>
              <w:top w:type="dxa" w:w="80"/>
              <w:left w:type="dxa" w:w="120"/>
              <w:bottom w:type="dxa" w:w="80"/>
              <w:right w:type="dxa" w:w="120"/>
            </w:tcMar>
          </w:tcPr>
          <w:p>
            <w:r>
              <w:rPr>
                <w:b w:val="false"/>
                <w:bCs w:val="false"/>
                <w:sz w:val="20"/>
                <w:szCs w:val="20"/>
              </w:rPr>
              <w:t xml:space="preserve">Kept available for the extremely rare cases the process document allows (unused for at least two years). Policed by exactly the same rules and two-step chain as Net 45/60.</w:t>
            </w:r>
          </w:p>
        </w:tc>
        <w:tc>
          <w:tcPr>
            <w:tcW w:type="dxa" w:w="3260"/>
            <w:shd w:fill="EAF1F4" w:val="clear"/>
            <w:tcMar>
              <w:top w:type="dxa" w:w="80"/>
              <w:left w:type="dxa" w:w="120"/>
              <w:bottom w:type="dxa" w:w="80"/>
              <w:right w:type="dxa" w:w="120"/>
            </w:tcMar>
          </w:tcPr>
          <w:p>
            <w:r>
              <w:rPr>
                <w:b w:val="false"/>
                <w:bCs w:val="false"/>
                <w:sz w:val="20"/>
                <w:szCs w:val="20"/>
              </w:rPr>
              <w:t xml:space="preserve">Above 60 days only in extremely rare circumstances, with Finance approval.</w:t>
            </w:r>
          </w:p>
        </w:tc>
      </w:tr>
    </w:tbl>
    <w:p>
      <w:pPr>
        <w:spacing w:after="100"/>
      </w:pPr>
      <w:r>
        <w:rPr>
          <w:sz w:val="21"/>
          <w:szCs w:val="21"/>
        </w:rPr>
        <w:t xml:space="preserve"/>
      </w:r>
    </w:p>
    <w:p>
      <w:pPr>
        <w:spacing w:after="100"/>
      </w:pPr>
      <w:r>
        <w:rPr>
          <w:b/>
          <w:bCs/>
          <w:sz w:val="21"/>
          <w:szCs w:val="21"/>
        </w:rPr>
        <w:t xml:space="preserve">The two-step approval: </w:t>
      </w:r>
      <w:r>
        <w:rPr>
          <w:sz w:val="21"/>
          <w:szCs w:val="21"/>
        </w:rPr>
        <w:t xml:space="preserve">Step 1 goes to the Credit Control team (Samantha Law’s group), who review against the agreed criteria. Only if they approve does Step 2 go to the Director of Financial Control for the final decision. Both steps route to groups, so holiday cover is a membership change, not a system change. A rejection at either step ends the request; the approver’s comments are recorded and visible to the rep on the quote, so the reason is always fed back. If the rep amends the quote and resubmits, the process starts again from Step 1 with a full audit trail retained.</w:t>
      </w:r>
    </w:p>
    <w:p>
      <w:pPr>
        <w:pStyle w:val="Heading1"/>
        <w:spacing w:after="120" w:before="280"/>
      </w:pPr>
      <w:r>
        <w:rPr>
          <w:color w:val="1F4E5F"/>
        </w:rPr>
        <w:t xml:space="preserve">2. How the value threshold is calculated</w:t>
      </w:r>
    </w:p>
    <w:p>
      <w:pPr>
        <w:pStyle w:val="ListParagraph"/>
        <w:numPr>
          <w:ilvl w:val="0"/>
          <w:numId w:val="2"/>
        </w:numPr>
        <w:spacing w:after="80"/>
      </w:pPr>
      <w:r>
        <w:rPr>
          <w:b/>
          <w:bCs/>
          <w:sz w:val="21"/>
          <w:szCs w:val="21"/>
        </w:rPr>
        <w:t xml:space="preserve">One threshold — </w:t>
      </w:r>
      <w:r>
        <w:rPr>
          <w:sz w:val="21"/>
          <w:szCs w:val="21"/>
        </w:rPr>
        <w:t xml:space="preserve">The $10,000 ACV policy line is applied as GBP 7,500, one consistent threshold for every currency.</w:t>
      </w:r>
    </w:p>
    <w:p>
      <w:pPr>
        <w:pStyle w:val="ListParagraph"/>
        <w:numPr>
          <w:ilvl w:val="0"/>
          <w:numId w:val="2"/>
        </w:numPr>
        <w:spacing w:after="80"/>
      </w:pPr>
      <w:r>
        <w:rPr>
          <w:b/>
          <w:bCs/>
          <w:sz w:val="21"/>
          <w:szCs w:val="21"/>
        </w:rPr>
        <w:t xml:space="preserve">Multi-currency — </w:t>
      </w:r>
      <w:r>
        <w:rPr>
          <w:sz w:val="21"/>
          <w:szCs w:val="21"/>
        </w:rPr>
        <w:t xml:space="preserve">Quotes in EUR or USD are converted to GBP using the company’s standard rates before the threshold is applied. Example from testing: a USD 10,000 quote converts to roughly GBP 7,880 and is therefore eligible for consideration.</w:t>
      </w:r>
    </w:p>
    <w:p>
      <w:pPr>
        <w:pStyle w:val="ListParagraph"/>
        <w:numPr>
          <w:ilvl w:val="0"/>
          <w:numId w:val="2"/>
        </w:numPr>
        <w:spacing w:after="80"/>
      </w:pPr>
      <w:r>
        <w:rPr>
          <w:b/>
          <w:bCs/>
          <w:sz w:val="21"/>
          <w:szCs w:val="21"/>
        </w:rPr>
        <w:t xml:space="preserve">Multi-year — </w:t>
      </w:r>
      <w:r>
        <w:rPr>
          <w:sz w:val="21"/>
          <w:szCs w:val="21"/>
        </w:rPr>
        <w:t xml:space="preserve">Multi-year deals are annualised, so a 24-month GBP 20,000 contract counts as GBP 10,000 per year — above the threshold — rather than being inflated by its total value.</w:t>
      </w:r>
    </w:p>
    <w:p>
      <w:pPr>
        <w:pStyle w:val="ListParagraph"/>
        <w:numPr>
          <w:ilvl w:val="0"/>
          <w:numId w:val="2"/>
        </w:numPr>
        <w:spacing w:after="80"/>
      </w:pPr>
      <w:r>
        <w:rPr>
          <w:b/>
          <w:bCs/>
          <w:sz w:val="21"/>
          <w:szCs w:val="21"/>
        </w:rPr>
        <w:t xml:space="preserve">FX note — </w:t>
      </w:r>
      <w:r>
        <w:rPr>
          <w:sz w:val="21"/>
          <w:szCs w:val="21"/>
        </w:rPr>
        <w:t xml:space="preserve">The GBP 7,500 constant should be revisited if exchange rates move materially; at today’s USD rate it admits quotes from about USD 9,500.</w:t>
      </w:r>
    </w:p>
    <w:p>
      <w:pPr>
        <w:pStyle w:val="Heading1"/>
        <w:spacing w:after="120" w:before="280"/>
      </w:pPr>
      <w:r>
        <w:rPr>
          <w:color w:val="1F4E5F"/>
        </w:rPr>
        <w:t xml:space="preserve">3. One chain, no duplicates — including ALM</w:t>
      </w:r>
    </w:p>
    <w:p>
      <w:pPr>
        <w:spacing w:after="100"/>
      </w:pPr>
      <w:r>
        <w:rPr>
          <w:sz w:val="21"/>
          <w:szCs w:val="21"/>
        </w:rPr>
        <w:t xml:space="preserve">Extended payment terms previously triggered two different approval mechanisms depending on brand: a generic Finance Terms check for most of the business, and a separate ALM-only rule to Credit Control. From go-live:</w:t>
      </w:r>
    </w:p>
    <w:p>
      <w:pPr>
        <w:pStyle w:val="ListParagraph"/>
        <w:numPr>
          <w:ilvl w:val="0"/>
          <w:numId w:val="2"/>
        </w:numPr>
        <w:spacing w:after="80"/>
      </w:pPr>
      <w:r>
        <w:rPr>
          <w:b/>
          <w:bCs/>
          <w:sz w:val="21"/>
          <w:szCs w:val="21"/>
        </w:rPr>
        <w:t xml:space="preserve">Unified — </w:t>
      </w:r>
      <w:r>
        <w:rPr>
          <w:sz w:val="21"/>
          <w:szCs w:val="21"/>
        </w:rPr>
        <w:t xml:space="preserve">All brands, ALM included, route through the single new two-step chain. The ALM-only rule is retired.</w:t>
      </w:r>
    </w:p>
    <w:p>
      <w:pPr>
        <w:pStyle w:val="ListParagraph"/>
        <w:numPr>
          <w:ilvl w:val="0"/>
          <w:numId w:val="2"/>
        </w:numPr>
        <w:spacing w:after="80"/>
      </w:pPr>
      <w:r>
        <w:rPr>
          <w:b/>
          <w:bCs/>
          <w:sz w:val="21"/>
          <w:szCs w:val="21"/>
        </w:rPr>
        <w:t xml:space="preserve">De-duplicated — </w:t>
      </w:r>
      <w:r>
        <w:rPr>
          <w:sz w:val="21"/>
          <w:szCs w:val="21"/>
        </w:rPr>
        <w:t xml:space="preserve">The generic Finance Terms check no longer fires for terms above 30 days — that trigger now belongs solely to the new chain, so Finance sees one request per quote, not two. Every other check it performs (special billing instructions, low-value credit-card prepayment, non-annual billing frequency) continues exactly as before, as do the problem-debtor rules.</w:t>
      </w:r>
    </w:p>
    <w:p>
      <w:pPr>
        <w:pStyle w:val="ListParagraph"/>
        <w:numPr>
          <w:ilvl w:val="0"/>
          <w:numId w:val="2"/>
        </w:numPr>
        <w:spacing w:after="80"/>
      </w:pPr>
      <w:r>
        <w:rPr>
          <w:b/>
          <w:bCs/>
          <w:sz w:val="21"/>
          <w:szCs w:val="21"/>
        </w:rPr>
        <w:t xml:space="preserve">Question for you — </w:t>
      </w:r>
      <w:r>
        <w:rPr>
          <w:sz w:val="21"/>
          <w:szCs w:val="21"/>
        </w:rPr>
        <w:t xml:space="preserve">For teams outside Docket Navigator, the old generic check currently also routes Net 15 and Net 30 quotes to Finance. We have deliberately left that untouched — it is existing behaviour, not part of this change. If the policy intent is that 30 days or less never needs Finance approval, that is a separate, easy follow-up: please confirm.</w:t>
      </w:r>
    </w:p>
    <w:p>
      <w:pPr>
        <w:pStyle w:val="Heading1"/>
        <w:spacing w:after="120" w:before="280"/>
      </w:pPr>
      <w:r>
        <w:rPr>
          <w:color w:val="1F4E5F"/>
        </w:rPr>
        <w:t xml:space="preserve">4. What happens to existing and in-flight approvals</w:t>
      </w:r>
    </w:p>
    <w:p>
      <w:pPr>
        <w:pStyle w:val="ListParagraph"/>
        <w:numPr>
          <w:ilvl w:val="0"/>
          <w:numId w:val="2"/>
        </w:numPr>
        <w:spacing w:after="80"/>
      </w:pPr>
      <w:r>
        <w:rPr>
          <w:b/>
          <w:bCs/>
          <w:sz w:val="21"/>
          <w:szCs w:val="21"/>
        </w:rPr>
        <w:t xml:space="preserve">History preserved — </w:t>
      </w:r>
      <w:r>
        <w:rPr>
          <w:sz w:val="21"/>
          <w:szCs w:val="21"/>
        </w:rPr>
        <w:t xml:space="preserve">Nothing changes retrospectively. Quotes already approved keep their approved status and their full approval history; nothing is re-opened or re-evaluated.</w:t>
      </w:r>
    </w:p>
    <w:p>
      <w:pPr>
        <w:pStyle w:val="ListParagraph"/>
        <w:numPr>
          <w:ilvl w:val="0"/>
          <w:numId w:val="2"/>
        </w:numPr>
        <w:spacing w:after="80"/>
      </w:pPr>
      <w:r>
        <w:rPr>
          <w:b/>
          <w:bCs/>
          <w:sz w:val="21"/>
          <w:szCs w:val="21"/>
        </w:rPr>
        <w:t xml:space="preserve">In-flight requests — </w:t>
      </w:r>
      <w:r>
        <w:rPr>
          <w:sz w:val="21"/>
          <w:szCs w:val="21"/>
        </w:rPr>
        <w:t xml:space="preserve">Approval requests sitting with an approver at the moment of go-live simply complete under the rules they were submitted with — approve or reject as normal.</w:t>
      </w:r>
    </w:p>
    <w:p>
      <w:pPr>
        <w:pStyle w:val="ListParagraph"/>
        <w:numPr>
          <w:ilvl w:val="0"/>
          <w:numId w:val="2"/>
        </w:numPr>
        <w:spacing w:after="80"/>
      </w:pPr>
      <w:r>
        <w:rPr>
          <w:b/>
          <w:bCs/>
          <w:sz w:val="21"/>
          <w:szCs w:val="21"/>
        </w:rPr>
        <w:t xml:space="preserve">From go-live — </w:t>
      </w:r>
      <w:r>
        <w:rPr>
          <w:sz w:val="21"/>
          <w:szCs w:val="21"/>
        </w:rPr>
        <w:t xml:space="preserve">The system only applies the new chain when a quote is submitted (or resubmitted) after go-live. Retiring the ALM rule stops it firing on future submissions; it does not touch anything already in progress.</w:t>
      </w:r>
    </w:p>
    <w:p>
      <w:pPr>
        <w:pStyle w:val="ListParagraph"/>
        <w:numPr>
          <w:ilvl w:val="0"/>
          <w:numId w:val="2"/>
        </w:numPr>
        <w:spacing w:after="80"/>
      </w:pPr>
      <w:r>
        <w:rPr>
          <w:b/>
          <w:bCs/>
          <w:sz w:val="21"/>
          <w:szCs w:val="21"/>
        </w:rPr>
        <w:t xml:space="preserve">Legacy renewals — </w:t>
      </w:r>
      <w:r>
        <w:rPr>
          <w:sz w:val="21"/>
          <w:szCs w:val="21"/>
        </w:rPr>
        <w:t xml:space="preserve">Renewal quotes created automatically with legacy terms (for example Net 45 carried over from an old contract) are not blocked at creation — the rules engage only when someone changes terms or submits the quote for approval, so renewal processing is never interrupted.</w:t>
      </w:r>
    </w:p>
    <w:p>
      <w:pPr>
        <w:pStyle w:val="Heading1"/>
        <w:spacing w:after="120" w:before="280"/>
      </w:pPr>
      <w:r>
        <w:rPr>
          <w:color w:val="1F4E5F"/>
        </w:rPr>
        <w:t xml:space="preserve">5. Points for confirmation before production</w:t>
      </w:r>
    </w:p>
    <w:p>
      <w:pPr>
        <w:pStyle w:val="ListParagraph"/>
        <w:numPr>
          <w:ilvl w:val="0"/>
          <w:numId w:val="2"/>
        </w:numPr>
        <w:spacing w:after="80"/>
      </w:pPr>
      <w:r>
        <w:rPr>
          <w:b/>
          <w:bCs/>
          <w:sz w:val="21"/>
          <w:szCs w:val="21"/>
        </w:rPr>
        <w:t xml:space="preserve">60 vs 120 days — decided — </w:t>
      </w:r>
      <w:r>
        <w:rPr>
          <w:sz w:val="21"/>
          <w:szCs w:val="21"/>
        </w:rPr>
        <w:t xml:space="preserve">Decided: Net 75, Net 90 and Net 120 remain available for the extremely rare cases the process document’s approvals table allows (none has been used in at least two years), policed by the same rules and two-step chain as Net 45/60. One correction for the document before cascade: soften the “60 days is the absolute maximum” guardrail line to match the approvals table — above 60 days is possible in extremely rare circumstances, with Finance approval.</w:t>
      </w:r>
    </w:p>
    <w:p>
      <w:pPr>
        <w:pStyle w:val="ListParagraph"/>
        <w:numPr>
          <w:ilvl w:val="0"/>
          <w:numId w:val="2"/>
        </w:numPr>
        <w:spacing w:after="80"/>
      </w:pPr>
      <w:r>
        <w:rPr>
          <w:b/>
          <w:bCs/>
          <w:sz w:val="21"/>
          <w:szCs w:val="21"/>
        </w:rPr>
        <w:t xml:space="preserve">Scope — </w:t>
      </w:r>
      <w:r>
        <w:rPr>
          <w:sz w:val="21"/>
          <w:szCs w:val="21"/>
        </w:rPr>
        <w:t xml:space="preserve">Scope is all contracts including ALM (Ken’s recommendation); production activation follows Nick F’s confirmation.</w:t>
      </w:r>
    </w:p>
    <w:p>
      <w:pPr>
        <w:pStyle w:val="ListParagraph"/>
        <w:numPr>
          <w:ilvl w:val="0"/>
          <w:numId w:val="2"/>
        </w:numPr>
        <w:spacing w:after="80"/>
      </w:pPr>
      <w:r>
        <w:rPr>
          <w:b/>
          <w:bCs/>
          <w:sz w:val="21"/>
          <w:szCs w:val="21"/>
        </w:rPr>
        <w:t xml:space="preserve">24-hour SLA — </w:t>
      </w:r>
      <w:r>
        <w:rPr>
          <w:sz w:val="21"/>
          <w:szCs w:val="21"/>
        </w:rPr>
        <w:t xml:space="preserve">The 24-hour turnaround remains procedural for Finance in this phase; an automatic reminder can be added later if wanted.</w:t>
      </w:r>
    </w:p>
    <w:p>
      <w:pPr>
        <w:pStyle w:val="ListParagraph"/>
        <w:numPr>
          <w:ilvl w:val="0"/>
          <w:numId w:val="2"/>
        </w:numPr>
        <w:spacing w:after="80"/>
      </w:pPr>
      <w:r>
        <w:rPr>
          <w:b/>
          <w:bCs/>
          <w:sz w:val="21"/>
          <w:szCs w:val="21"/>
        </w:rPr>
        <w:t xml:space="preserve">Net 30 routing — </w:t>
      </w:r>
      <w:r>
        <w:rPr>
          <w:sz w:val="21"/>
          <w:szCs w:val="21"/>
        </w:rPr>
        <w:t xml:space="preserve">Whether Net 15/Net 30 quotes from non-Docket-Navigator teams should continue routing to the generic Finance check (section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2026-08-29T16:24:31.147Z</dcterms:created>
  <dcterms:modified xsi:type="dcterms:W3CDTF">2026-08-29T16:24:31.149Z</dcterms:modified>
</cp:coreProperties>
</file>

<file path=docProps/custom.xml><?xml version="1.0" encoding="utf-8"?>
<Properties xmlns="http://schemas.openxmlformats.org/officeDocument/2006/custom-properties" xmlns:vt="http://schemas.openxmlformats.org/officeDocument/2006/docPropsVTypes"/>
</file>