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60"/>
      </w:pPr>
      <w:r>
        <w:t xml:space="preserve"/>
      </w:r>
    </w:p>
    <w:p>
      <w:pPr>
        <w:spacing w:after="80" w:before="0"/>
        <w:jc w:val="center"/>
      </w:pPr>
      <w:r>
        <w:rPr>
          <w:rFonts w:ascii="Arial" w:cs="Arial" w:eastAsia="Arial" w:hAnsi="Arial"/>
          <w:b/>
          <w:bCs/>
          <w:color w:val="1B3A6B"/>
          <w:sz w:val="56"/>
          <w:szCs w:val="56"/>
        </w:rPr>
        <w:t xml:space="preserve">INVENTION DISCLOSURE</w:t>
      </w:r>
    </w:p>
    <w:p>
      <w:pPr>
        <w:spacing w:after="60" w:before="0"/>
        <w:jc w:val="center"/>
      </w:pPr>
      <w:r>
        <w:rPr>
          <w:rFonts w:ascii="Arial" w:cs="Arial" w:eastAsia="Arial" w:hAnsi="Arial"/>
          <w:i/>
          <w:iCs/>
          <w:color w:val="2563A8"/>
          <w:sz w:val="24"/>
          <w:szCs w:val="24"/>
        </w:rPr>
        <w:t xml:space="preserve">Prepared for submission to patent counsel</w:t>
      </w:r>
    </w:p>
    <w:p>
      <w:pPr>
        <w:spacing w:after="400" w:before="0"/>
        <w:jc w:val="center"/>
      </w:pPr>
      <w:r>
        <w:rPr>
          <w:rFonts w:ascii="Arial" w:cs="Arial" w:eastAsia="Arial" w:hAnsi="Arial"/>
          <w:color w:val="4A5568"/>
          <w:sz w:val="20"/>
          <w:szCs w:val="20"/>
        </w:rPr>
        <w:t xml:space="preserve">§101 Recentive/Rensselaer-resistant claim drafts included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A8" w:sz="12"/>
              <w:left w:val="single" w:color="FFFFFF" w:sz="1"/>
              <w:bottom w:val="single" w:color="2563A8" w:sz="12"/>
              <w:right w:val="single" w:color="FFFFFF" w:sz="1"/>
            </w:tcBorders>
            <w:shd w:fill="E8F0FD" w:val="clear"/>
            <w:tcMar>
              <w:top w:type="dxa" w:w="240"/>
              <w:left w:type="dxa" w:w="360"/>
              <w:bottom w:type="dxa" w:w="240"/>
              <w:right w:type="dxa" w:w="360"/>
            </w:tcMar>
          </w:tcPr>
          <w:p>
            <w:pPr>
              <w:spacing w:after="60"/>
            </w:pPr>
            <w:r>
              <w:rPr>
                <w:rFonts w:ascii="Arial" w:cs="Arial" w:eastAsia="Arial" w:hAnsi="Arial"/>
                <w:b/>
                <w:bCs/>
                <w:color w:val="1B3A6B"/>
                <w:sz w:val="22"/>
                <w:szCs w:val="22"/>
              </w:rPr>
              <w:t xml:space="preserve">Title:  AI Patentability — Real-Time Patent Contribution Tracking and Claim Viability System</w:t>
            </w:r>
          </w:p>
          <w:p>
            <w:pPr>
              <w:spacing w:after="60"/>
            </w:pPr>
            <w:r>
              <w:rPr>
                <w:rFonts w:ascii="Arial" w:cs="Arial" w:eastAsia="Arial" w:hAnsi="Arial"/>
                <w:color w:val="333333"/>
                <w:sz w:val="22"/>
                <w:szCs w:val="22"/>
              </w:rPr>
              <w:t xml:space="preserve">Disclosure ID:  IDF-2026-0042</w:t>
            </w:r>
          </w:p>
          <w:p>
            <w:pPr>
              <w:spacing w:after="60"/>
            </w:pPr>
            <w:r>
              <w:rPr>
                <w:rFonts w:ascii="Arial" w:cs="Arial" w:eastAsia="Arial" w:hAnsi="Arial"/>
                <w:color w:val="333333"/>
                <w:sz w:val="22"/>
                <w:szCs w:val="22"/>
              </w:rPr>
              <w:t xml:space="preserve">Application type:  Non-provisional utility patent (recommended)</w:t>
            </w:r>
          </w:p>
          <w:p>
            <w:pPr>
              <w:spacing w:after="60"/>
            </w:pPr>
            <w:r>
              <w:rPr>
                <w:rFonts w:ascii="Arial" w:cs="Arial" w:eastAsia="Arial" w:hAnsi="Arial"/>
                <w:color w:val="333333"/>
                <w:sz w:val="22"/>
                <w:szCs w:val="22"/>
              </w:rPr>
              <w:t xml:space="preserve">Filing jurisdiction:  United States (USPTO); international filing recommended via PCT</w:t>
            </w:r>
          </w:p>
          <w:p>
            <w:pPr>
              <w:spacing w:after="60"/>
            </w:pPr>
            <w:r>
              <w:rPr>
                <w:rFonts w:ascii="Arial" w:cs="Arial" w:eastAsia="Arial" w:hAnsi="Arial"/>
                <w:color w:val="333333"/>
                <w:sz w:val="22"/>
                <w:szCs w:val="22"/>
              </w:rPr>
              <w:t xml:space="preserve">Date:  April 11, 2026</w:t>
            </w:r>
          </w:p>
          <w:p>
            <w:pPr>
              <w:spacing w:after="60"/>
            </w:pPr>
            <w:r>
              <w:rPr>
                <w:rFonts w:ascii="Arial" w:cs="Arial" w:eastAsia="Arial" w:hAnsi="Arial"/>
                <w:color w:val="333333"/>
                <w:sz w:val="22"/>
                <w:szCs w:val="22"/>
              </w:rPr>
              <w:t xml:space="preserve">AI tools used:  Claude (Anthropic) — used as drafting and code-generation tool only. All inventive concepts human-conceived.</w:t>
            </w:r>
          </w:p>
          <w:p>
            <w:pPr>
              <w:spacing w:after="0"/>
            </w:pPr>
            <w:r>
              <w:rPr>
                <w:rFonts w:ascii="Arial" w:cs="Arial" w:eastAsia="Arial" w:hAnsi="Arial"/>
                <w:b/>
                <w:bCs/>
                <w:color w:val="C0392B"/>
                <w:sz w:val="22"/>
                <w:szCs w:val="22"/>
              </w:rPr>
              <w:t xml:space="preserve">Classification:  CONFIDENTIAL — Attorney-Client Privileged Work Product</w:t>
            </w:r>
          </w:p>
        </w:tc>
      </w:tr>
    </w:tbl>
    <w:p>
      <w:pPr>
        <w:spacing w:after="0" w:befor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590A" w:sz="1"/>
              <w:left w:val="single" w:color="B7590A" w:sz="8"/>
              <w:bottom w:val="single" w:color="B7590A" w:sz="1"/>
              <w:right w:val="single" w:color="B7590A" w:sz="1"/>
            </w:tcBorders>
            <w:shd w:fill="FEF3E2" w:val="clear"/>
            <w:tcMar>
              <w:top w:type="dxa" w:w="120"/>
              <w:left w:type="dxa" w:w="200"/>
              <w:bottom w:type="dxa" w:w="120"/>
              <w:right w:type="dxa" w:w="200"/>
            </w:tcMar>
          </w:tcPr>
          <w:p>
            <w:pPr>
              <w:spacing w:after="40"/>
            </w:pPr>
            <w:r>
              <w:rPr>
                <w:rFonts w:ascii="Arial" w:cs="Arial" w:eastAsia="Arial" w:hAnsi="Arial"/>
                <w:b/>
                <w:bCs/>
                <w:color w:val="B7590A"/>
                <w:sz w:val="18"/>
                <w:szCs w:val="18"/>
              </w:rPr>
              <w:t xml:space="preserve">IMPORTANT — READ BEFORE USING THIS DOCUMENT</w:t>
            </w:r>
          </w:p>
          <w:p>
            <w:pPr>
              <w:spacing w:after="0" w:before="0"/>
            </w:pPr>
            <w:r>
              <w:rPr>
                <w:rFonts w:ascii="Arial" w:cs="Arial" w:eastAsia="Arial" w:hAnsi="Arial"/>
                <w:color w:val="222222"/>
                <w:sz w:val="22"/>
                <w:szCs w:val="22"/>
              </w:rPr>
              <w:t xml:space="preserve">This disclosure is a tool-generated draft prepared by AI Patentability software to assist patent counsel. It does not constitute legal advice and does not guarantee patentability of any claim. All claim language is a starting point for counsel review. A licensed patent attorney must evaluate, refine, and file. Laws and guidance evolve — this document reflects the state of U.S. law as of April 11, 2026 (including Rensselaer Polytechnic Institute v. Amazon.com, Inc., Fed. Cir. Feb. 24, 2026).</w:t>
            </w:r>
          </w:p>
        </w:tc>
      </w:tr>
    </w:tbl>
    <w:p>
      <w:pPr>
        <w:pageBreakBefore/>
      </w:pPr>
      <w:r>
        <w:t xml:space="preserve"/>
      </w:r>
    </w:p>
    <w:p>
      <w:pPr>
        <w:pStyle w:val="Heading1"/>
        <w:pBdr>
          <w:bottom w:val="single" w:color="2563A8" w:sz="8" w:space="4"/>
        </w:pBdr>
        <w:spacing w:after="120" w:before="360"/>
      </w:pPr>
      <w:r>
        <w:rPr>
          <w:rFonts w:ascii="Arial" w:cs="Arial" w:eastAsia="Arial" w:hAnsi="Arial"/>
          <w:b/>
          <w:bCs/>
          <w:color w:val="1B3A6B"/>
          <w:sz w:val="30"/>
          <w:szCs w:val="30"/>
        </w:rPr>
        <w:t xml:space="preserve">1.  Parties and Inventor Information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4F6FA" w:val="clear"/>
            <w:tcMar>
              <w:top w:type="dxa" w:w="80"/>
              <w:left w:type="dxa" w:w="160"/>
              <w:bottom w:type="dxa" w:w="80"/>
              <w:right w:type="dxa" w:w="160"/>
            </w:tcMar>
          </w:tcPr>
          <w:p>
            <w:r>
              <w:rPr>
                <w:rFonts w:ascii="Arial" w:cs="Arial" w:eastAsia="Arial" w:hAnsi="Arial"/>
                <w:b/>
                <w:bCs/>
                <w:color w:val="333333"/>
                <w:sz w:val="20"/>
                <w:szCs w:val="20"/>
              </w:rPr>
              <w:t xml:space="preserve">Inventor(s)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[TO BE COMPLETED — full legal name, address, citizenship]</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60"/>
              <w:bottom w:type="dxa" w:w="80"/>
              <w:right w:type="dxa" w:w="160"/>
            </w:tcMar>
          </w:tcPr>
          <w:p>
            <w:r>
              <w:rPr>
                <w:rFonts w:ascii="Arial" w:cs="Arial" w:eastAsia="Arial" w:hAnsi="Arial"/>
                <w:b/>
                <w:bCs/>
                <w:color w:val="333333"/>
                <w:sz w:val="20"/>
                <w:szCs w:val="20"/>
              </w:rPr>
              <w:t xml:space="preserve">Assignee / Employer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[TO BE COMPLETED — entity name and address]</w:t>
            </w:r>
          </w:p>
        </w:tc>
      </w:tr>
      <w:tr>
        <w:tc>
          <w:tcPr>
            <w:tcW w:type="dxa" w:w="2800"/>
            <w:tcBorders>
              <w:top w:val="single" w:color="CCCCCC" w:sz="1"/>
              <w:left w:val="single" w:color="CCCCCC" w:sz="1"/>
              <w:bottom w:val="single" w:color="CCCCCC" w:sz="1"/>
              <w:right w:val="single" w:color="CCCCCC" w:sz="1"/>
            </w:tcBorders>
            <w:shd w:fill="FEF3E2" w:val="clear"/>
            <w:tcMar>
              <w:top w:type="dxa" w:w="80"/>
              <w:left w:type="dxa" w:w="160"/>
              <w:bottom w:type="dxa" w:w="80"/>
              <w:right w:type="dxa" w:w="160"/>
            </w:tcMar>
          </w:tcPr>
          <w:p>
            <w:r>
              <w:rPr>
                <w:rFonts w:ascii="Arial" w:cs="Arial" w:eastAsia="Arial" w:hAnsi="Arial"/>
                <w:b/>
                <w:bCs/>
                <w:color w:val="333333"/>
                <w:sz w:val="20"/>
                <w:szCs w:val="20"/>
              </w:rPr>
              <w:t xml:space="preserve">AI Patentability Score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58 / 100 — Moderate (elevated §101 risk on 2 of 7 features)</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60"/>
              <w:bottom w:type="dxa" w:w="80"/>
              <w:right w:type="dxa" w:w="160"/>
            </w:tcMar>
          </w:tcPr>
          <w:p>
            <w:r>
              <w:rPr>
                <w:rFonts w:ascii="Arial" w:cs="Arial" w:eastAsia="Arial" w:hAnsi="Arial"/>
                <w:b/>
                <w:bCs/>
                <w:color w:val="333333"/>
                <w:sz w:val="20"/>
                <w:szCs w:val="20"/>
              </w:rPr>
              <w:t xml:space="preserve">Human conception %</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43% overall; 82% on primary claim (Predictive Cache)</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60"/>
              <w:bottom w:type="dxa" w:w="80"/>
              <w:right w:type="dxa" w:w="160"/>
            </w:tcMar>
          </w:tcPr>
          <w:p>
            <w:r>
              <w:rPr>
                <w:rFonts w:ascii="Arial" w:cs="Arial" w:eastAsia="Arial" w:hAnsi="Arial"/>
                <w:b/>
                <w:bCs/>
                <w:color w:val="333333"/>
                <w:sz w:val="20"/>
                <w:szCs w:val="20"/>
              </w:rPr>
              <w:t xml:space="preserve">AI tools disclosed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Claude (Anthropic), GitHub Copilot — used as tools per USPTO 2025 Revised Guidance</w:t>
            </w:r>
          </w:p>
        </w:tc>
      </w:tr>
      <w:tr>
        <w:tc>
          <w:tcPr>
            <w:tcW w:type="dxa" w:w="2800"/>
            <w:tcBorders>
              <w:top w:val="single" w:color="CCCCCC" w:sz="1"/>
              <w:left w:val="single" w:color="CCCCCC" w:sz="1"/>
              <w:bottom w:val="single" w:color="CCCCCC" w:sz="1"/>
              <w:right w:val="single" w:color="CCCCCC" w:sz="1"/>
            </w:tcBorders>
            <w:shd w:fill="EAF3DE" w:val="clear"/>
            <w:tcMar>
              <w:top w:type="dxa" w:w="80"/>
              <w:left w:type="dxa" w:w="160"/>
              <w:bottom w:type="dxa" w:w="80"/>
              <w:right w:type="dxa" w:w="160"/>
            </w:tcMar>
          </w:tcPr>
          <w:p>
            <w:r>
              <w:rPr>
                <w:rFonts w:ascii="Arial" w:cs="Arial" w:eastAsia="Arial" w:hAnsi="Arial"/>
                <w:b/>
                <w:bCs/>
                <w:color w:val="333333"/>
                <w:sz w:val="20"/>
                <w:szCs w:val="20"/>
              </w:rPr>
              <w:t xml:space="preserve">Inventorship basis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Human inventor(s) named above conceived all claimed inventions. AI systems used as tools only. See USPTO Revised Inventorship Guidance, Nov. 26, 2025.</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6221" w:sz="1"/>
              <w:left w:val="single" w:color="276221" w:sz="8"/>
              <w:bottom w:val="single" w:color="276221" w:sz="1"/>
              <w:right w:val="single" w:color="276221" w:sz="1"/>
            </w:tcBorders>
            <w:shd w:fill="EAF3DE" w:val="clear"/>
            <w:tcMar>
              <w:top w:type="dxa" w:w="120"/>
              <w:left w:type="dxa" w:w="200"/>
              <w:bottom w:type="dxa" w:w="120"/>
              <w:right w:type="dxa" w:w="200"/>
            </w:tcMar>
          </w:tcPr>
          <w:p>
            <w:pPr>
              <w:spacing w:after="40"/>
            </w:pPr>
            <w:r>
              <w:rPr>
                <w:rFonts w:ascii="Arial" w:cs="Arial" w:eastAsia="Arial" w:hAnsi="Arial"/>
                <w:b/>
                <w:bCs/>
                <w:color w:val="276221"/>
                <w:sz w:val="18"/>
                <w:szCs w:val="18"/>
              </w:rPr>
              <w:t xml:space="preserve">Inventorship certification — Thaler v. Vidal compliance</w:t>
            </w:r>
          </w:p>
          <w:p>
            <w:pPr>
              <w:spacing w:after="0" w:before="0"/>
            </w:pPr>
            <w:r>
              <w:rPr>
                <w:rFonts w:ascii="Arial" w:cs="Arial" w:eastAsia="Arial" w:hAnsi="Arial"/>
                <w:color w:val="222222"/>
                <w:sz w:val="22"/>
                <w:szCs w:val="22"/>
              </w:rPr>
              <w:t xml:space="preserve">Consistent with Thaler v. Vidal, 43 F.4th 1207 (Fed. Cir. 2022), cert. denied (2023), and the USPTO Revised Inventorship Guidance (Nov. 26, 2025), the inventor(s) listed above are natural persons who conceived the claimed inventions. No AI system is listed as an inventor. AI tools were used in the same manner as laboratory equipment or computational software. The same inventorship standard applies regardless of AI use.</w:t>
            </w:r>
          </w:p>
        </w:tc>
      </w:tr>
    </w:tbl>
    <w:p>
      <w:pPr>
        <w:pageBreakBefore/>
      </w:pPr>
      <w:r>
        <w:t xml:space="preserve"/>
      </w:r>
    </w:p>
    <w:p>
      <w:pPr>
        <w:pStyle w:val="Heading1"/>
        <w:pBdr>
          <w:bottom w:val="single" w:color="2563A8" w:sz="8" w:space="4"/>
        </w:pBdr>
        <w:spacing w:after="120" w:before="360"/>
      </w:pPr>
      <w:r>
        <w:rPr>
          <w:rFonts w:ascii="Arial" w:cs="Arial" w:eastAsia="Arial" w:hAnsi="Arial"/>
          <w:b/>
          <w:bCs/>
          <w:color w:val="1B3A6B"/>
          <w:sz w:val="30"/>
          <w:szCs w:val="30"/>
        </w:rPr>
        <w:t xml:space="preserve">2.  Title, Field, and Technical Background</w:t>
      </w:r>
    </w:p>
    <w:p>
      <w:pPr>
        <w:pStyle w:val="Heading2"/>
        <w:spacing w:after="80" w:before="280"/>
      </w:pPr>
      <w:r>
        <w:rPr>
          <w:rFonts w:ascii="Arial" w:cs="Arial" w:eastAsia="Arial" w:hAnsi="Arial"/>
          <w:b/>
          <w:bCs/>
          <w:color w:val="2563A8"/>
          <w:sz w:val="24"/>
          <w:szCs w:val="24"/>
        </w:rPr>
        <w:t xml:space="preserve">2.1  Title of Invention</w:t>
      </w:r>
    </w:p>
    <w:p>
      <w:pPr>
        <w:spacing w:after="100" w:before="60"/>
      </w:pPr>
      <w:r>
        <w:rPr>
          <w:rFonts w:ascii="Arial" w:cs="Arial" w:eastAsia="Arial" w:hAnsi="Arial"/>
          <w:color w:val="222222"/>
          <w:sz w:val="22"/>
          <w:szCs w:val="22"/>
        </w:rPr>
        <w:t xml:space="preserve">System and Method for Real-Time Patent Contribution Attribution and Claim Viability Assessment During AI-Assisted Software Development</w:t>
      </w:r>
    </w:p>
    <w:p>
      <w:pPr>
        <w:spacing w:after="0" w:before="80"/>
      </w:pPr>
      <w:r>
        <w:t xml:space="preserve"/>
      </w:r>
    </w:p>
    <w:p>
      <w:pPr>
        <w:pStyle w:val="Heading2"/>
        <w:spacing w:after="80" w:before="280"/>
      </w:pPr>
      <w:r>
        <w:rPr>
          <w:rFonts w:ascii="Arial" w:cs="Arial" w:eastAsia="Arial" w:hAnsi="Arial"/>
          <w:b/>
          <w:bCs/>
          <w:color w:val="2563A8"/>
          <w:sz w:val="24"/>
          <w:szCs w:val="24"/>
        </w:rPr>
        <w:t xml:space="preserve">2.2  Field of the Invention</w:t>
      </w:r>
    </w:p>
    <w:p>
      <w:pPr>
        <w:spacing w:after="100" w:before="60"/>
      </w:pPr>
      <w:r>
        <w:rPr>
          <w:rFonts w:ascii="Arial" w:cs="Arial" w:eastAsia="Arial" w:hAnsi="Arial"/>
          <w:color w:val="222222"/>
          <w:sz w:val="22"/>
          <w:szCs w:val="22"/>
        </w:rPr>
        <w:t xml:space="preserve">The present invention relates to intellectual property management systems, and more particularly to computer-implemented systems and methods that monitor, score, and document human inventive contribution during software development sessions involving artificial intelligence assistance, producing per-claim patentability assessments and structured inventor disclosure records.</w:t>
      </w:r>
    </w:p>
    <w:p>
      <w:pPr>
        <w:spacing w:after="0" w:before="80"/>
      </w:pPr>
      <w:r>
        <w:t xml:space="preserve"/>
      </w:r>
    </w:p>
    <w:p>
      <w:pPr>
        <w:pStyle w:val="Heading2"/>
        <w:spacing w:after="80" w:before="280"/>
      </w:pPr>
      <w:r>
        <w:rPr>
          <w:rFonts w:ascii="Arial" w:cs="Arial" w:eastAsia="Arial" w:hAnsi="Arial"/>
          <w:b/>
          <w:bCs/>
          <w:color w:val="2563A8"/>
          <w:sz w:val="24"/>
          <w:szCs w:val="24"/>
        </w:rPr>
        <w:t xml:space="preserve">2.3  Background and Problem Statement</w:t>
      </w:r>
    </w:p>
    <w:p>
      <w:pPr>
        <w:spacing w:after="100" w:before="60"/>
      </w:pPr>
      <w:r>
        <w:rPr>
          <w:rFonts w:ascii="Arial" w:cs="Arial" w:eastAsia="Arial" w:hAnsi="Arial"/>
          <w:color w:val="222222"/>
          <w:sz w:val="22"/>
          <w:szCs w:val="22"/>
        </w:rPr>
        <w:t xml:space="preserve">Prior art does not disclose a system that (a) operates in real time within an integrated development environment (IDE) to capture invention-relevant events as they occur, (b) separately scores human conception and technical specificity against the Alice/Mayo framework as applied in Recentive Analytics, Inc. v. Fox Corp., 134 F.4th 1205 (Fed. Cir. 2025) and Rensselaer Polytechnic Institute v. Amazon.com, Inc., No. 2024-1725 (Fed. Cir. Feb. 24, 2026), (c) maps contribution evidence to discrete patent claims rather than to the project as a whole, or (d) dynamically recalibrates scoring weights in response to new legal decisions without requiring full model retraining.</w:t>
      </w:r>
    </w:p>
    <w:p>
      <w:pPr>
        <w:spacing w:after="100" w:before="60"/>
      </w:pPr>
      <w:r>
        <w:rPr>
          <w:rFonts w:ascii="Arial" w:cs="Arial" w:eastAsia="Arial" w:hAnsi="Arial"/>
          <w:color w:val="222222"/>
          <w:sz w:val="22"/>
          <w:szCs w:val="22"/>
        </w:rPr>
        <w:t xml:space="preserve">Existing tools evaluate AI contribution after development is complete, cannot distinguish between generic AI application and specific technical improvements within a single codebase, and do not produce structured invention disclosure records aligned with USPTO examination practice.</w:t>
      </w:r>
    </w:p>
    <w:p>
      <w:pPr>
        <w:pageBreakBefore/>
      </w:pPr>
      <w:r>
        <w:t xml:space="preserve"/>
      </w:r>
    </w:p>
    <w:p>
      <w:pPr>
        <w:pStyle w:val="Heading1"/>
        <w:pBdr>
          <w:bottom w:val="single" w:color="2563A8" w:sz="8" w:space="4"/>
        </w:pBdr>
        <w:spacing w:after="120" w:before="360"/>
      </w:pPr>
      <w:r>
        <w:rPr>
          <w:rFonts w:ascii="Arial" w:cs="Arial" w:eastAsia="Arial" w:hAnsi="Arial"/>
          <w:b/>
          <w:bCs/>
          <w:color w:val="1B3A6B"/>
          <w:sz w:val="30"/>
          <w:szCs w:val="30"/>
        </w:rPr>
        <w:t xml:space="preserve">3.  Summary of the Invention</w:t>
      </w:r>
    </w:p>
    <w:p>
      <w:pPr>
        <w:spacing w:after="100" w:before="60"/>
      </w:pPr>
      <w:r>
        <w:rPr>
          <w:rFonts w:ascii="Arial" w:cs="Arial" w:eastAsia="Arial" w:hAnsi="Arial"/>
          <w:color w:val="222222"/>
          <w:sz w:val="22"/>
          <w:szCs w:val="22"/>
        </w:rPr>
        <w:t xml:space="preserve">The invention is a real-time patent contribution tracking and claim viability system comprising five novel components that together constitute a specific technical improvement to the software development process and to intellectual property documentation systems:</w:t>
      </w:r>
    </w:p>
    <w:p>
      <w:pPr>
        <w:spacing w:after="0" w:before="60"/>
      </w:pPr>
      <w:r>
        <w:t xml:space="preserve"/>
      </w:r>
    </w:p>
    <w:p>
      <w:pPr>
        <w:pStyle w:val="ListParagraph"/>
        <w:numPr>
          <w:ilvl w:val="0"/>
          <w:numId w:val="2"/>
        </w:numPr>
        <w:spacing w:after="40" w:before="40"/>
      </w:pPr>
      <w:r>
        <w:rPr>
          <w:rFonts w:ascii="Arial" w:cs="Arial" w:eastAsia="Arial" w:hAnsi="Arial"/>
          <w:color w:val="222222"/>
          <w:sz w:val="22"/>
          <w:szCs w:val="22"/>
        </w:rPr>
        <w:t xml:space="preserve">A multi-signal contribution attribution engine that simultaneously monitors IDE keystroke events, AI API call intercepts, code diff streams, and decision journal entries to produce a time-stamped contribution record at the source-code-line level.</w:t>
      </w:r>
    </w:p>
    <w:p>
      <w:pPr>
        <w:pStyle w:val="ListParagraph"/>
        <w:numPr>
          <w:ilvl w:val="0"/>
          <w:numId w:val="2"/>
        </w:numPr>
        <w:spacing w:after="40" w:before="40"/>
      </w:pPr>
      <w:r>
        <w:rPr>
          <w:rFonts w:ascii="Arial" w:cs="Arial" w:eastAsia="Arial" w:hAnsi="Arial"/>
          <w:color w:val="222222"/>
          <w:sz w:val="22"/>
          <w:szCs w:val="22"/>
        </w:rPr>
        <w:t xml:space="preserve">A two-axis patentability scoring algorithm that separately evaluates (i) human conception strength and (ii) Section 101 technical specificity under the Alice/Recentive/Rensselaer framework, combining these into a composite AI Patentability Score updated in real time.</w:t>
      </w:r>
    </w:p>
    <w:p>
      <w:pPr>
        <w:pStyle w:val="ListParagraph"/>
        <w:numPr>
          <w:ilvl w:val="0"/>
          <w:numId w:val="2"/>
        </w:numPr>
        <w:spacing w:after="40" w:before="40"/>
      </w:pPr>
      <w:r>
        <w:rPr>
          <w:rFonts w:ascii="Arial" w:cs="Arial" w:eastAsia="Arial" w:hAnsi="Arial"/>
          <w:color w:val="222222"/>
          <w:sz w:val="22"/>
          <w:szCs w:val="22"/>
        </w:rPr>
        <w:t xml:space="preserve">A per-claim contribution mapper that associates attribution evidence with discrete patent claim candidates, identifies coverage gaps within individual claims, and generates guided developer interventions targeted at specific claim weaknesses.</w:t>
      </w:r>
    </w:p>
    <w:p>
      <w:pPr>
        <w:pStyle w:val="ListParagraph"/>
        <w:numPr>
          <w:ilvl w:val="0"/>
          <w:numId w:val="2"/>
        </w:numPr>
        <w:spacing w:after="40" w:before="40"/>
      </w:pPr>
      <w:r>
        <w:rPr>
          <w:rFonts w:ascii="Arial" w:cs="Arial" w:eastAsia="Arial" w:hAnsi="Arial"/>
          <w:color w:val="222222"/>
          <w:sz w:val="22"/>
          <w:szCs w:val="22"/>
        </w:rPr>
        <w:t xml:space="preserve">A legal-case-aware scoring engine that ingests new court decisions and USPTO guidance on a configurable update schedule, classifies their impact by claim type, and adjusts scoring weight matrices accordingly without requiring full system retraining.</w:t>
      </w:r>
    </w:p>
    <w:p>
      <w:pPr>
        <w:pStyle w:val="ListParagraph"/>
        <w:numPr>
          <w:ilvl w:val="0"/>
          <w:numId w:val="2"/>
        </w:numPr>
        <w:spacing w:after="40" w:before="40"/>
      </w:pPr>
      <w:r>
        <w:rPr>
          <w:rFonts w:ascii="Arial" w:cs="Arial" w:eastAsia="Arial" w:hAnsi="Arial"/>
          <w:color w:val="222222"/>
          <w:sz w:val="22"/>
          <w:szCs w:val="22"/>
        </w:rPr>
        <w:t xml:space="preserve">A structured invention disclosure generator that produces USPTO-compliant inventor disclosure records including draft independent claim language, Alice Step 2 inventive concept statements, prior art differentiation, and AI tool disclosure satisfying USPTO 2025 Revised Inventorship Guidance requirements.</w:t>
      </w:r>
    </w:p>
    <w:p>
      <w:pPr>
        <w:spacing w:after="0" w:before="80"/>
      </w:pPr>
      <w:r>
        <w:t xml:space="preserve"/>
      </w:r>
    </w:p>
    <w:p>
      <w:pPr>
        <w:spacing w:after="100" w:before="60"/>
      </w:pPr>
      <w:r>
        <w:rPr>
          <w:rFonts w:ascii="Arial" w:cs="Arial" w:eastAsia="Arial" w:hAnsi="Arial"/>
          <w:color w:val="222222"/>
          <w:sz w:val="22"/>
          <w:szCs w:val="22"/>
        </w:rPr>
        <w:t xml:space="preserve">The invention achieves a specific technical improvement over the prior art by enabling patent-quality evidence capture at the moment of inventive activity rather than post-hoc, thereby preserving conception records that cannot be reconstructed after the fact. This is a structural improvement to the software development process itself, not merely the application of a known AI technique to a new environment. See Enfish, LLC v. Microsoft Corp., 822 F.3d 1327 (Fed. Cir. 2016).</w:t>
      </w:r>
    </w:p>
    <w:p>
      <w:pPr>
        <w:pageBreakBefore/>
      </w:pPr>
      <w:r>
        <w:t xml:space="preserve"/>
      </w:r>
    </w:p>
    <w:p>
      <w:pPr>
        <w:pStyle w:val="Heading1"/>
        <w:pBdr>
          <w:bottom w:val="single" w:color="2563A8" w:sz="8" w:space="4"/>
        </w:pBdr>
        <w:spacing w:after="120" w:before="360"/>
      </w:pPr>
      <w:r>
        <w:rPr>
          <w:rFonts w:ascii="Arial" w:cs="Arial" w:eastAsia="Arial" w:hAnsi="Arial"/>
          <w:b/>
          <w:bCs/>
          <w:color w:val="1B3A6B"/>
          <w:sz w:val="30"/>
          <w:szCs w:val="30"/>
        </w:rPr>
        <w:t xml:space="preserve">4.  Detailed Description of the Invention</w:t>
      </w:r>
    </w:p>
    <w:p>
      <w:pPr>
        <w:pStyle w:val="Heading2"/>
        <w:spacing w:after="80" w:before="280"/>
      </w:pPr>
      <w:r>
        <w:rPr>
          <w:rFonts w:ascii="Arial" w:cs="Arial" w:eastAsia="Arial" w:hAnsi="Arial"/>
          <w:b/>
          <w:bCs/>
          <w:color w:val="2563A8"/>
          <w:sz w:val="24"/>
          <w:szCs w:val="24"/>
        </w:rPr>
        <w:t xml:space="preserve">4.1  Multi-Signal Contribution Attribution Engine</w:t>
      </w:r>
    </w:p>
    <w:p>
      <w:pPr>
        <w:spacing w:after="100" w:before="60"/>
      </w:pPr>
      <w:r>
        <w:rPr>
          <w:rFonts w:ascii="Arial" w:cs="Arial" w:eastAsia="Arial" w:hAnsi="Arial"/>
          <w:color w:val="222222"/>
          <w:sz w:val="22"/>
          <w:szCs w:val="22"/>
        </w:rPr>
        <w:t xml:space="preserve">The attribution engine operates as an IDE plugin that intercepts five classes of development events in real time:</w:t>
      </w:r>
    </w:p>
    <w:p>
      <w:pPr>
        <w:pStyle w:val="ListParagraph"/>
        <w:numPr>
          <w:ilvl w:val="0"/>
          <w:numId w:val="2"/>
        </w:numPr>
        <w:spacing w:after="40" w:before="40"/>
      </w:pPr>
      <w:r>
        <w:rPr>
          <w:rFonts w:ascii="Arial" w:cs="Arial" w:eastAsia="Arial" w:hAnsi="Arial"/>
          <w:color w:val="222222"/>
          <w:sz w:val="22"/>
          <w:szCs w:val="22"/>
        </w:rPr>
        <w:t xml:space="preserve">Keystroke and code authorship events: distinguishes lines authored by the human developer from lines inserted via AI suggestion acceptance, paste operations, or automated completion. Tracks modification depth — the degree to which AI-generated code is altered before commit.</w:t>
      </w:r>
    </w:p>
    <w:p>
      <w:pPr>
        <w:pStyle w:val="ListParagraph"/>
        <w:numPr>
          <w:ilvl w:val="0"/>
          <w:numId w:val="2"/>
        </w:numPr>
        <w:spacing w:after="40" w:before="40"/>
      </w:pPr>
      <w:r>
        <w:rPr>
          <w:rFonts w:ascii="Arial" w:cs="Arial" w:eastAsia="Arial" w:hAnsi="Arial"/>
          <w:color w:val="222222"/>
          <w:sz w:val="22"/>
          <w:szCs w:val="22"/>
        </w:rPr>
        <w:t xml:space="preserve">AI API call intercepts: captures the full text of prompts submitted to AI tools (GitHub Copilot, Claude, ChatGPT, Cursor, and others via a standardized adapter interface), the AI response, and the developer's accept/modify/reject decision.</w:t>
      </w:r>
    </w:p>
    <w:p>
      <w:pPr>
        <w:pStyle w:val="ListParagraph"/>
        <w:numPr>
          <w:ilvl w:val="0"/>
          <w:numId w:val="2"/>
        </w:numPr>
        <w:spacing w:after="40" w:before="40"/>
      </w:pPr>
      <w:r>
        <w:rPr>
          <w:rFonts w:ascii="Arial" w:cs="Arial" w:eastAsia="Arial" w:hAnsi="Arial"/>
          <w:color w:val="222222"/>
          <w:sz w:val="22"/>
          <w:szCs w:val="22"/>
        </w:rPr>
        <w:t xml:space="preserve">Prompt specificity scorer: evaluates each captured prompt against a rubric measuring problem framing specificity, domain constraint citation, and the degree to which the prompt directs the AI toward a non-obvious solution. Generic prompts ("write a sorting function") score low; domain-specific prompts citing unique constraints score high.</w:t>
      </w:r>
    </w:p>
    <w:p>
      <w:pPr>
        <w:pStyle w:val="ListParagraph"/>
        <w:numPr>
          <w:ilvl w:val="0"/>
          <w:numId w:val="2"/>
        </w:numPr>
        <w:spacing w:after="40" w:before="40"/>
      </w:pPr>
      <w:r>
        <w:rPr>
          <w:rFonts w:ascii="Arial" w:cs="Arial" w:eastAsia="Arial" w:hAnsi="Arial"/>
          <w:color w:val="222222"/>
          <w:sz w:val="22"/>
          <w:szCs w:val="22"/>
        </w:rPr>
        <w:t xml:space="preserve">Conception-moment detector: identifies clusters of rapid iteration, multiple rejected AI suggestions, and short-cycle human-authored revisions that signal an active inventive decision process. These moments are flagged for priority journaling.</w:t>
      </w:r>
    </w:p>
    <w:p>
      <w:pPr>
        <w:pStyle w:val="ListParagraph"/>
        <w:numPr>
          <w:ilvl w:val="0"/>
          <w:numId w:val="2"/>
        </w:numPr>
        <w:spacing w:after="40" w:before="40"/>
      </w:pPr>
      <w:r>
        <w:rPr>
          <w:rFonts w:ascii="Arial" w:cs="Arial" w:eastAsia="Arial" w:hAnsi="Arial"/>
          <w:color w:val="222222"/>
          <w:sz w:val="22"/>
          <w:szCs w:val="22"/>
        </w:rPr>
        <w:t xml:space="preserve">Decision journal capture: presents in-context prompts to the developer at detected conception moments, capturing written rationale for architectural decisions in structured form compatible with USPTO invention disclosure requirements.</w:t>
      </w:r>
    </w:p>
    <w:p>
      <w:pPr>
        <w:spacing w:after="0" w:before="80"/>
      </w:pPr>
      <w:r>
        <w:t xml:space="preserve"/>
      </w:r>
    </w:p>
    <w:p>
      <w:pPr>
        <w:pStyle w:val="Heading2"/>
        <w:spacing w:after="80" w:before="280"/>
      </w:pPr>
      <w:r>
        <w:rPr>
          <w:rFonts w:ascii="Arial" w:cs="Arial" w:eastAsia="Arial" w:hAnsi="Arial"/>
          <w:b/>
          <w:bCs/>
          <w:color w:val="2563A8"/>
          <w:sz w:val="24"/>
          <w:szCs w:val="24"/>
        </w:rPr>
        <w:t xml:space="preserve">4.2  Two-Axis AI Patentability Score</w:t>
      </w:r>
    </w:p>
    <w:p>
      <w:pPr>
        <w:spacing w:after="100" w:before="60"/>
      </w:pPr>
      <w:r>
        <w:rPr>
          <w:rFonts w:ascii="Arial" w:cs="Arial" w:eastAsia="Arial" w:hAnsi="Arial"/>
          <w:color w:val="222222"/>
          <w:sz w:val="22"/>
          <w:szCs w:val="22"/>
        </w:rPr>
        <w:t xml:space="preserve">The AI Patentability Score is computed as a weighted composite of three sub-scores: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c>
          <w:tcPr>
            <w:tcW w:type="dxa" w:w="3200"/>
            <w:tcBorders>
              <w:top w:val="single" w:color="2563A8" w:sz="1"/>
              <w:left w:val="single" w:color="2563A8" w:sz="1"/>
              <w:bottom w:val="single" w:color="2563A8" w:sz="1"/>
              <w:right w:val="single" w:color="2563A8" w:sz="1"/>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Sub-score</w:t>
            </w:r>
          </w:p>
        </w:tc>
        <w:tc>
          <w:tcPr>
            <w:tcW w:type="dxa" w:w="2000"/>
            <w:tcBorders>
              <w:top w:val="single" w:color="2563A8" w:sz="1"/>
              <w:left w:val="single" w:color="2563A8" w:sz="1"/>
              <w:bottom w:val="single" w:color="2563A8" w:sz="1"/>
              <w:right w:val="single" w:color="2563A8" w:sz="1"/>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Weight</w:t>
            </w:r>
          </w:p>
        </w:tc>
        <w:tc>
          <w:tcPr>
            <w:tcW w:type="dxa" w:w="4160"/>
            <w:tcBorders>
              <w:top w:val="single" w:color="2563A8" w:sz="1"/>
              <w:left w:val="single" w:color="2563A8" w:sz="1"/>
              <w:bottom w:val="single" w:color="2563A8" w:sz="1"/>
              <w:right w:val="single" w:color="2563A8" w:sz="1"/>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Legal basis</w:t>
            </w:r>
          </w:p>
        </w:tc>
      </w:tr>
      <w:tr>
        <w:tc>
          <w:tcPr>
            <w:tcW w:type="dxa" w:w="32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Human conception strength</w:t>
            </w:r>
          </w:p>
        </w:tc>
        <w:tc>
          <w:tcPr>
            <w:tcW w:type="dxa" w:w="20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sz w:val="20"/>
                <w:szCs w:val="20"/>
              </w:rPr>
              <w:t xml:space="preserve">50%</w:t>
            </w:r>
          </w:p>
        </w:tc>
        <w:tc>
          <w:tcPr>
            <w:tcW w:type="dxa" w:w="4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Thaler v. Vidal; USPTO 2025 Revised Guidance</w:t>
            </w:r>
          </w:p>
        </w:tc>
      </w:tr>
      <w:tr>
        <w:tc>
          <w:tcPr>
            <w:tcW w:type="dxa" w:w="3200"/>
            <w:tcBorders>
              <w:top w:val="single" w:color="CCCCCC" w:sz="1"/>
              <w:left w:val="single" w:color="CCCCCC" w:sz="1"/>
              <w:bottom w:val="single" w:color="CCCCCC" w:sz="1"/>
              <w:right w:val="single" w:color="CCCCCC" w:sz="1"/>
            </w:tcBorders>
            <w:shd w:fill="F4F6FA" w:val="clear"/>
            <w:tcMar>
              <w:top w:type="dxa" w:w="80"/>
              <w:left w:type="dxa" w:w="160"/>
              <w:bottom w:type="dxa" w:w="80"/>
              <w:right w:type="dxa" w:w="160"/>
            </w:tcMar>
          </w:tcPr>
          <w:p>
            <w:r>
              <w:rPr>
                <w:rFonts w:ascii="Arial" w:cs="Arial" w:eastAsia="Arial" w:hAnsi="Arial"/>
                <w:sz w:val="20"/>
                <w:szCs w:val="20"/>
              </w:rPr>
              <w:t xml:space="preserve">Section 101 technical specificity</w:t>
            </w:r>
          </w:p>
        </w:tc>
        <w:tc>
          <w:tcPr>
            <w:tcW w:type="dxa" w:w="2000"/>
            <w:tcBorders>
              <w:top w:val="single" w:color="CCCCCC" w:sz="1"/>
              <w:left w:val="single" w:color="CCCCCC" w:sz="1"/>
              <w:bottom w:val="single" w:color="CCCCCC" w:sz="1"/>
              <w:right w:val="single" w:color="CCCCCC" w:sz="1"/>
            </w:tcBorders>
            <w:shd w:fill="F4F6FA" w:val="clear"/>
            <w:tcMar>
              <w:top w:type="dxa" w:w="80"/>
              <w:left w:type="dxa" w:w="160"/>
              <w:bottom w:type="dxa" w:w="80"/>
              <w:right w:type="dxa" w:w="160"/>
            </w:tcMar>
          </w:tcPr>
          <w:p>
            <w:r>
              <w:rPr>
                <w:rFonts w:ascii="Arial" w:cs="Arial" w:eastAsia="Arial" w:hAnsi="Arial"/>
                <w:b/>
                <w:bCs/>
                <w:sz w:val="20"/>
                <w:szCs w:val="20"/>
              </w:rPr>
              <w:t xml:space="preserve">35%</w:t>
            </w:r>
          </w:p>
        </w:tc>
        <w:tc>
          <w:tcPr>
            <w:tcW w:type="dxa" w:w="4160"/>
            <w:tcBorders>
              <w:top w:val="single" w:color="CCCCCC" w:sz="1"/>
              <w:left w:val="single" w:color="CCCCCC" w:sz="1"/>
              <w:bottom w:val="single" w:color="CCCCCC" w:sz="1"/>
              <w:right w:val="single" w:color="CCCCCC" w:sz="1"/>
            </w:tcBorders>
            <w:shd w:fill="F4F6FA" w:val="clear"/>
            <w:tcMar>
              <w:top w:type="dxa" w:w="80"/>
              <w:left w:type="dxa" w:w="160"/>
              <w:bottom w:type="dxa" w:w="80"/>
              <w:right w:type="dxa" w:w="160"/>
            </w:tcMar>
          </w:tcPr>
          <w:p>
            <w:r>
              <w:rPr>
                <w:rFonts w:ascii="Arial" w:cs="Arial" w:eastAsia="Arial" w:hAnsi="Arial"/>
                <w:sz w:val="20"/>
                <w:szCs w:val="20"/>
              </w:rPr>
              <w:t xml:space="preserve">Recentive Analytics v. Fox Corp.; Rensselaer Polytechnic v. Amazon; Alice Corp. v. CLS Bank</w:t>
            </w:r>
          </w:p>
        </w:tc>
      </w:tr>
      <w:tr>
        <w:tc>
          <w:tcPr>
            <w:tcW w:type="dxa" w:w="32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Documentation quality</w:t>
            </w:r>
          </w:p>
        </w:tc>
        <w:tc>
          <w:tcPr>
            <w:tcW w:type="dxa" w:w="20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sz w:val="20"/>
                <w:szCs w:val="20"/>
              </w:rPr>
              <w:t xml:space="preserve">15%</w:t>
            </w:r>
          </w:p>
        </w:tc>
        <w:tc>
          <w:tcPr>
            <w:tcW w:type="dxa" w:w="4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Alice Step 2 inventive concept; 37 C.F.R. § 1.63 oath requirements</w:t>
            </w:r>
          </w:p>
        </w:tc>
      </w:tr>
    </w:tbl>
    <w:p>
      <w:pPr>
        <w:spacing w:after="0" w:before="80"/>
      </w:pPr>
      <w:r>
        <w:t xml:space="preserve"/>
      </w:r>
    </w:p>
    <w:p>
      <w:pPr>
        <w:pStyle w:val="Heading2"/>
        <w:spacing w:after="80" w:before="280"/>
      </w:pPr>
      <w:r>
        <w:rPr>
          <w:rFonts w:ascii="Arial" w:cs="Arial" w:eastAsia="Arial" w:hAnsi="Arial"/>
          <w:b/>
          <w:bCs/>
          <w:color w:val="2563A8"/>
          <w:sz w:val="24"/>
          <w:szCs w:val="24"/>
        </w:rPr>
        <w:t xml:space="preserve">4.3  Per-Claim Contribution Mapper</w:t>
      </w:r>
    </w:p>
    <w:p>
      <w:pPr>
        <w:spacing w:after="100" w:before="60"/>
      </w:pPr>
      <w:r>
        <w:rPr>
          <w:rFonts w:ascii="Arial" w:cs="Arial" w:eastAsia="Arial" w:hAnsi="Arial"/>
          <w:color w:val="222222"/>
          <w:sz w:val="22"/>
          <w:szCs w:val="22"/>
        </w:rPr>
        <w:t xml:space="preserve">Unlike prior art systems that assess contribution at the project level, the per-claim mapper associates attribution evidence with discrete claim candidates. For each feature under development, the system: (a) identifies the technical elements that would form an independent claim; (b) queries the attribution record for contribution evidence specific to those elements; (c) computes a per-element human conception score; and (d) identifies gaps where no human contribution evidence exists, triggering real-time interventions.</w:t>
      </w:r>
    </w:p>
    <w:p>
      <w:pPr>
        <w:spacing w:after="100" w:before="60"/>
      </w:pPr>
      <w:r>
        <w:rPr>
          <w:rFonts w:ascii="Arial" w:cs="Arial" w:eastAsia="Arial" w:hAnsi="Arial"/>
          <w:color w:val="222222"/>
          <w:sz w:val="22"/>
          <w:szCs w:val="22"/>
        </w:rPr>
        <w:t xml:space="preserve">The mapper generates a claim coverage matrix updated continuously during development, allowing the inventor to see, before filing, which claim elements lack evidentiary support.</w:t>
      </w:r>
    </w:p>
    <w:p>
      <w:pPr>
        <w:spacing w:after="0" w:before="80"/>
      </w:pPr>
      <w:r>
        <w:t xml:space="preserve"/>
      </w:r>
    </w:p>
    <w:p>
      <w:pPr>
        <w:pStyle w:val="Heading2"/>
        <w:spacing w:after="80" w:before="280"/>
      </w:pPr>
      <w:r>
        <w:rPr>
          <w:rFonts w:ascii="Arial" w:cs="Arial" w:eastAsia="Arial" w:hAnsi="Arial"/>
          <w:b/>
          <w:bCs/>
          <w:color w:val="2563A8"/>
          <w:sz w:val="24"/>
          <w:szCs w:val="24"/>
        </w:rPr>
        <w:t xml:space="preserve">4.4  Legal-Case-Aware Scoring Engine</w:t>
      </w:r>
    </w:p>
    <w:p>
      <w:pPr>
        <w:spacing w:after="100" w:before="60"/>
      </w:pPr>
      <w:r>
        <w:rPr>
          <w:rFonts w:ascii="Arial" w:cs="Arial" w:eastAsia="Arial" w:hAnsi="Arial"/>
          <w:color w:val="222222"/>
          <w:sz w:val="22"/>
          <w:szCs w:val="22"/>
        </w:rPr>
        <w:t xml:space="preserve">The scoring weight matrices are parameterized against a legal knowledge base of patent eligibility decisions. On a configurable schedule (default: weekly), the engine retrieves new decisions from court opinion feeds, classifies their impact using a decision taxonomy (Section 101 eligibility, inventorship, disclosure requirements, prior art), and adjusts the scoring weights for affected claim types without requiring full model retraining. When a new decision tightens standards (as Rensselaer tightened the NLP environment rule from Recentive), the engine re-evaluates existing feature scores and surfaces developer alerts.</w:t>
      </w:r>
    </w:p>
    <w:p>
      <w:pPr>
        <w:spacing w:after="0" w:before="80"/>
      </w:pPr>
      <w:r>
        <w:t xml:space="preserve"/>
      </w:r>
    </w:p>
    <w:p>
      <w:pPr>
        <w:pStyle w:val="Heading2"/>
        <w:spacing w:after="80" w:before="280"/>
      </w:pPr>
      <w:r>
        <w:rPr>
          <w:rFonts w:ascii="Arial" w:cs="Arial" w:eastAsia="Arial" w:hAnsi="Arial"/>
          <w:b/>
          <w:bCs/>
          <w:color w:val="2563A8"/>
          <w:sz w:val="24"/>
          <w:szCs w:val="24"/>
        </w:rPr>
        <w:t xml:space="preserve">4.5  Structured Invention Disclosure Generator</w:t>
      </w:r>
    </w:p>
    <w:p>
      <w:pPr>
        <w:spacing w:after="100" w:before="60"/>
      </w:pPr>
      <w:r>
        <w:rPr>
          <w:rFonts w:ascii="Arial" w:cs="Arial" w:eastAsia="Arial" w:hAnsi="Arial"/>
          <w:color w:val="222222"/>
          <w:sz w:val="22"/>
          <w:szCs w:val="22"/>
        </w:rPr>
        <w:t xml:space="preserve">Upon developer request or at configurable thresholds, the system generates a structured invention disclosure document comprising: (a) a contribution evidence summary per feature; (b) draft independent claim language for each supportable claim candidate; (c) an Alice Step 2 inventive concept statement for each claim; (d) a prior art differentiation section; (e) an AI tool disclosure compliant with USPTO 2025 Revised Inventorship Guidance; and (f) a 37 C.F.R. Section 1.63 inventor oath placeholder. This document is formatted for direct handoff to patent counsel.</w:t>
      </w:r>
    </w:p>
    <w:p>
      <w:pPr>
        <w:pageBreakBefore/>
      </w:pPr>
      <w:r>
        <w:t xml:space="preserve"/>
      </w:r>
    </w:p>
    <w:p>
      <w:pPr>
        <w:pStyle w:val="Heading1"/>
        <w:pBdr>
          <w:bottom w:val="single" w:color="2563A8" w:sz="8" w:space="4"/>
        </w:pBdr>
        <w:spacing w:after="120" w:before="360"/>
      </w:pPr>
      <w:r>
        <w:rPr>
          <w:rFonts w:ascii="Arial" w:cs="Arial" w:eastAsia="Arial" w:hAnsi="Arial"/>
          <w:b/>
          <w:bCs/>
          <w:color w:val="1B3A6B"/>
          <w:sz w:val="30"/>
          <w:szCs w:val="30"/>
        </w:rPr>
        <w:t xml:space="preserve">5.  Draft Patent Claims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A8" w:sz="1"/>
              <w:left w:val="single" w:color="2563A8" w:sz="8"/>
              <w:bottom w:val="single" w:color="2563A8" w:sz="1"/>
              <w:right w:val="single" w:color="2563A8" w:sz="1"/>
            </w:tcBorders>
            <w:shd w:fill="E8F0FD" w:val="clear"/>
            <w:tcMar>
              <w:top w:type="dxa" w:w="120"/>
              <w:left w:type="dxa" w:w="200"/>
              <w:bottom w:type="dxa" w:w="120"/>
              <w:right w:type="dxa" w:w="200"/>
            </w:tcMar>
          </w:tcPr>
          <w:p>
            <w:pPr>
              <w:spacing w:after="40"/>
            </w:pPr>
            <w:r>
              <w:rPr>
                <w:rFonts w:ascii="Arial" w:cs="Arial" w:eastAsia="Arial" w:hAnsi="Arial"/>
                <w:b/>
                <w:bCs/>
                <w:color w:val="2563A8"/>
                <w:sz w:val="18"/>
                <w:szCs w:val="18"/>
              </w:rPr>
              <w:t xml:space="preserve">Counsel note — Section 101 drafting strategy</w:t>
            </w:r>
          </w:p>
          <w:p>
            <w:pPr>
              <w:spacing w:after="0" w:before="0"/>
            </w:pPr>
            <w:r>
              <w:rPr>
                <w:rFonts w:ascii="Arial" w:cs="Arial" w:eastAsia="Arial" w:hAnsi="Arial"/>
                <w:color w:val="222222"/>
                <w:sz w:val="22"/>
                <w:szCs w:val="22"/>
              </w:rPr>
              <w:t xml:space="preserve">These claims are drafted to survive Section 101 challenge under Alice Corp. v. CLS Bank Int'l, 573 U.S. 208 (2014), Recentive Analytics, Inc. v. Fox Corp., 134 F.4th 1205 (Fed. Cir. 2025) (cert. denied), and Rensselaer Polytechnic Institute v. Amazon.com, Inc., No. 2024-1725 (Fed. Cir. Feb. 24, 2026). Each claim recites specific structural elements and a concrete technical improvement — not merely the application of a known AI technique to a new environment. Functional, result-focused language has been minimized. Counsel should confirm specification support for all claimed elements and evaluate Enfish, LLC v. Microsoft Corp., 822 F.3d 1327 (Fed. Cir. 2016) and Ex parte Desjardins (PTAB 2025) as positive authority.</w:t>
            </w:r>
          </w:p>
        </w:tc>
      </w:tr>
    </w:tbl>
    <w:p>
      <w:pPr>
        <w:spacing w:after="0" w:before="120"/>
      </w:pPr>
      <w:r>
        <w:t xml:space="preserve"/>
      </w:r>
    </w:p>
    <w:p>
      <w:pPr>
        <w:pStyle w:val="Heading2"/>
        <w:spacing w:after="80" w:before="280"/>
      </w:pPr>
      <w:r>
        <w:rPr>
          <w:rFonts w:ascii="Arial" w:cs="Arial" w:eastAsia="Arial" w:hAnsi="Arial"/>
          <w:b/>
          <w:bCs/>
          <w:color w:val="2563A8"/>
          <w:sz w:val="24"/>
          <w:szCs w:val="24"/>
        </w:rPr>
        <w:t xml:space="preserve">Independent Claims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DB4D8" w:sz="1"/>
              <w:left w:val="single" w:color="2563A8" w:sz="12"/>
              <w:bottom w:val="single" w:color="9DB4D8" w:sz="1"/>
              <w:right w:val="single" w:color="9DB4D8" w:sz="1"/>
            </w:tcBorders>
            <w:shd w:fill="F0F4FF" w:val="clear"/>
            <w:tcMar>
              <w:top w:type="dxa" w:w="160"/>
              <w:left w:type="dxa" w:w="240"/>
              <w:bottom w:type="dxa" w:w="160"/>
              <w:right w:type="dxa" w:w="240"/>
            </w:tcMar>
          </w:tcPr>
          <w:p>
            <w:pPr>
              <w:spacing w:after="40"/>
            </w:pPr>
            <w:r>
              <w:rPr>
                <w:rFonts w:ascii="Arial" w:cs="Arial" w:eastAsia="Arial" w:hAnsi="Arial"/>
                <w:b/>
                <w:bCs/>
                <w:color w:val="2563A8"/>
                <w:sz w:val="18"/>
                <w:szCs w:val="18"/>
              </w:rPr>
              <w:t xml:space="preserve">Claim 1 (Method — primary)  </w:t>
            </w:r>
            <w:r>
              <w:rPr>
                <w:rFonts w:ascii="Arial" w:cs="Arial" w:eastAsia="Arial" w:hAnsi="Arial"/>
                <w:i/>
                <w:iCs/>
                <w:color w:val="4A5568"/>
                <w:sz w:val="16"/>
                <w:szCs w:val="16"/>
              </w:rPr>
              <w:t xml:space="preserve">— Draft language for patent counsel review</w:t>
            </w:r>
          </w:p>
          <w:p>
            <w:pPr>
              <w:spacing w:after="0" w:before="0"/>
            </w:pPr>
            <w:r>
              <w:rPr>
                <w:rFonts w:ascii="Arial" w:cs="Arial" w:eastAsia="Arial" w:hAnsi="Arial"/>
                <w:color w:val="222222"/>
                <w:sz w:val="22"/>
                <w:szCs w:val="22"/>
              </w:rPr>
              <w:t xml:space="preserve">A computer-implemented method for real-time patent contribution attribution during AI-assisted software development, the method comprising: intercepting, by a contribution attribution engine executing within an integrated development environment, a plurality of developer event streams comprising keystroke authorship events, AI API call records containing prompt text and AI-generated response text, code modification diff records, and structured decision journal entries; computing, for each intercepted event, a contribution classification indicating whether the event reflects human-originated code authorship, AI-generated code accepted without modification, or AI-generated code modified by a human developer prior to commitment to a version control system; scoring, using a prompt specificity module, each captured AI API prompt against a multi-factor rubric measuring problem-framing specificity, domain constraint citation, and non-obviousness of requested output; computing a per-feature human conception score as a weighted function of the contribution classifications and prompt specificity scores; computing a per-feature Section 101 technical specificity score by evaluating whether the contribution record demonstrates a specific improvement to an underlying algorithm or data structure, as distinguished from the application of a known technique to a new environment; generating a composite AI Patentability Score as a weighted combination of the human conception score, the Section 101 technical specificity score, and a documentation completeness score derived from the structured decision journal entries; and storing a time-stamped contribution record associating each score with a corresponding set of source code elements constituting a discrete patent claim candidate.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DB4D8" w:sz="1"/>
              <w:left w:val="single" w:color="2563A8" w:sz="12"/>
              <w:bottom w:val="single" w:color="9DB4D8" w:sz="1"/>
              <w:right w:val="single" w:color="9DB4D8" w:sz="1"/>
            </w:tcBorders>
            <w:shd w:fill="F0F4FF" w:val="clear"/>
            <w:tcMar>
              <w:top w:type="dxa" w:w="160"/>
              <w:left w:type="dxa" w:w="240"/>
              <w:bottom w:type="dxa" w:w="160"/>
              <w:right w:type="dxa" w:w="240"/>
            </w:tcMar>
          </w:tcPr>
          <w:p>
            <w:pPr>
              <w:spacing w:after="40"/>
            </w:pPr>
            <w:r>
              <w:rPr>
                <w:rFonts w:ascii="Arial" w:cs="Arial" w:eastAsia="Arial" w:hAnsi="Arial"/>
                <w:b/>
                <w:bCs/>
                <w:color w:val="2563A8"/>
                <w:sz w:val="18"/>
                <w:szCs w:val="18"/>
              </w:rPr>
              <w:t xml:space="preserve">Claim 2 (System — per-claim mapper)  </w:t>
            </w:r>
            <w:r>
              <w:rPr>
                <w:rFonts w:ascii="Arial" w:cs="Arial" w:eastAsia="Arial" w:hAnsi="Arial"/>
                <w:i/>
                <w:iCs/>
                <w:color w:val="4A5568"/>
                <w:sz w:val="16"/>
                <w:szCs w:val="16"/>
              </w:rPr>
              <w:t xml:space="preserve">— Draft language for patent counsel review</w:t>
            </w:r>
          </w:p>
          <w:p>
            <w:pPr>
              <w:spacing w:after="0" w:before="0"/>
            </w:pPr>
            <w:r>
              <w:rPr>
                <w:rFonts w:ascii="Arial" w:cs="Arial" w:eastAsia="Arial" w:hAnsi="Arial"/>
                <w:color w:val="222222"/>
                <w:sz w:val="22"/>
                <w:szCs w:val="22"/>
              </w:rPr>
              <w:t xml:space="preserve">A system for real-time patent claim viability assessment, comprising: one or more processors; a non-transitory computer-readable medium storing instructions that, when executed by the processors, implement: a per-claim contribution mapper configured to (a) identify, from a stored contribution record, the source code elements associated with each discrete patent claim candidate; (b) retrieve the human conception score, Section 101 technical specificity score, and documentation completeness score for each identified element; (c) generate a claim coverage matrix indicating, for each element of each claim candidate, whether sufficient human contribution evidence exists to support inventorship; and (d) identify claim coverage gaps comprising elements for which no human contribution evidence is recorded; and a real-time intervention engine configured to, upon detection of a claim coverage gap, generate a context-sensitive developer prompt requesting documentation of the human contribution to the gap element, the prompt being surfaced within the integrated development environment at the time of the gap-creating event.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DB4D8" w:sz="1"/>
              <w:left w:val="single" w:color="2563A8" w:sz="12"/>
              <w:bottom w:val="single" w:color="9DB4D8" w:sz="1"/>
              <w:right w:val="single" w:color="9DB4D8" w:sz="1"/>
            </w:tcBorders>
            <w:shd w:fill="F0F4FF" w:val="clear"/>
            <w:tcMar>
              <w:top w:type="dxa" w:w="160"/>
              <w:left w:type="dxa" w:w="240"/>
              <w:bottom w:type="dxa" w:w="160"/>
              <w:right w:type="dxa" w:w="240"/>
            </w:tcMar>
          </w:tcPr>
          <w:p>
            <w:pPr>
              <w:spacing w:after="40"/>
            </w:pPr>
            <w:r>
              <w:rPr>
                <w:rFonts w:ascii="Arial" w:cs="Arial" w:eastAsia="Arial" w:hAnsi="Arial"/>
                <w:b/>
                <w:bCs/>
                <w:color w:val="2563A8"/>
                <w:sz w:val="18"/>
                <w:szCs w:val="18"/>
              </w:rPr>
              <w:t xml:space="preserve">Claim 3 (Method — legal-case-aware recalibration)  </w:t>
            </w:r>
            <w:r>
              <w:rPr>
                <w:rFonts w:ascii="Arial" w:cs="Arial" w:eastAsia="Arial" w:hAnsi="Arial"/>
                <w:i/>
                <w:iCs/>
                <w:color w:val="4A5568"/>
                <w:sz w:val="16"/>
                <w:szCs w:val="16"/>
              </w:rPr>
              <w:t xml:space="preserve">— Draft language for patent counsel review</w:t>
            </w:r>
          </w:p>
          <w:p>
            <w:pPr>
              <w:spacing w:after="0" w:before="0"/>
            </w:pPr>
            <w:r>
              <w:rPr>
                <w:rFonts w:ascii="Arial" w:cs="Arial" w:eastAsia="Arial" w:hAnsi="Arial"/>
                <w:color w:val="222222"/>
                <w:sz w:val="22"/>
                <w:szCs w:val="22"/>
              </w:rPr>
              <w:t xml:space="preserve">The method of claim 1, further comprising: retrieving, on a configurable update schedule, one or more patent eligibility decisions from a legal decision data source; classifying each retrieved decision according to a decision taxonomy comprising at least: Section 101 eligibility decisions affecting AI-assisted software claims, inventorship decisions affecting human-AI contribution attribution, and subject matter eligibility guidance issued by the United States Patent and Trademark Office; determining, based on the classification, one or more claim types whose Section 101 technical specificity scoring criteria are affected by the retrieved decision; adjusting a scoring weight matrix for the affected claim types; and re-evaluating the Section 101 technical specificity score for each previously scored feature using the adjusted weight matrix, and surfacing a developer alert identifying features whose score changed materially as a result of the re-evaluation.</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DB4D8" w:sz="1"/>
              <w:left w:val="single" w:color="2563A8" w:sz="12"/>
              <w:bottom w:val="single" w:color="9DB4D8" w:sz="1"/>
              <w:right w:val="single" w:color="9DB4D8" w:sz="1"/>
            </w:tcBorders>
            <w:shd w:fill="F0F4FF" w:val="clear"/>
            <w:tcMar>
              <w:top w:type="dxa" w:w="160"/>
              <w:left w:type="dxa" w:w="240"/>
              <w:bottom w:type="dxa" w:w="160"/>
              <w:right w:type="dxa" w:w="240"/>
            </w:tcMar>
          </w:tcPr>
          <w:p>
            <w:pPr>
              <w:spacing w:after="40"/>
            </w:pPr>
            <w:r>
              <w:rPr>
                <w:rFonts w:ascii="Arial" w:cs="Arial" w:eastAsia="Arial" w:hAnsi="Arial"/>
                <w:b/>
                <w:bCs/>
                <w:color w:val="2563A8"/>
                <w:sz w:val="18"/>
                <w:szCs w:val="18"/>
              </w:rPr>
              <w:t xml:space="preserve">Claim 4 (Method — disclosure generator)  </w:t>
            </w:r>
            <w:r>
              <w:rPr>
                <w:rFonts w:ascii="Arial" w:cs="Arial" w:eastAsia="Arial" w:hAnsi="Arial"/>
                <w:i/>
                <w:iCs/>
                <w:color w:val="4A5568"/>
                <w:sz w:val="16"/>
                <w:szCs w:val="16"/>
              </w:rPr>
              <w:t xml:space="preserve">— Draft language for patent counsel review</w:t>
            </w:r>
          </w:p>
          <w:p>
            <w:pPr>
              <w:spacing w:after="0" w:before="0"/>
            </w:pPr>
            <w:r>
              <w:rPr>
                <w:rFonts w:ascii="Arial" w:cs="Arial" w:eastAsia="Arial" w:hAnsi="Arial"/>
                <w:color w:val="222222"/>
                <w:sz w:val="22"/>
                <w:szCs w:val="22"/>
              </w:rPr>
              <w:t xml:space="preserve">The method of claim 1, further comprising generating a structured invention disclosure document comprising: a contribution evidence summary associating, for each patent claim candidate, the time-stamped contribution records with the claim elements the records support; draft independent claim language for each claim candidate having a composite AI Patentability Score exceeding a configurable threshold, the draft claim language reciting specific structural elements and a concrete technical improvement rather than functional, result-focused language; a Section 101 Step 2 inventive concept statement for each claim candidate, identifying the specific technical improvement that distinguishes the claim from an abstract idea under the two-step framework of Alice Corp. v. CLS Bank Int'l, 573 U.S. 208 (2014); a prior art differentiation section; and an artificial intelligence tool disclosure identifying each AI tool used during development, the nature of its use, and the basis for concluding that the human inventor(s) conceived the claimed invention notwithstanding such use.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DB4D8" w:sz="1"/>
              <w:left w:val="single" w:color="2563A8" w:sz="12"/>
              <w:bottom w:val="single" w:color="9DB4D8" w:sz="1"/>
              <w:right w:val="single" w:color="9DB4D8" w:sz="1"/>
            </w:tcBorders>
            <w:shd w:fill="EAF4EE" w:val="clear"/>
            <w:tcMar>
              <w:top w:type="dxa" w:w="160"/>
              <w:left w:type="dxa" w:w="240"/>
              <w:bottom w:type="dxa" w:w="160"/>
              <w:right w:type="dxa" w:w="240"/>
            </w:tcMar>
          </w:tcPr>
          <w:p>
            <w:pPr>
              <w:spacing w:after="40"/>
            </w:pPr>
            <w:r>
              <w:rPr>
                <w:rFonts w:ascii="Arial" w:cs="Arial" w:eastAsia="Arial" w:hAnsi="Arial"/>
                <w:b/>
                <w:bCs/>
                <w:color w:val="2563A8"/>
                <w:sz w:val="18"/>
                <w:szCs w:val="18"/>
              </w:rPr>
              <w:t xml:space="preserve">Claim 5 (System — IDE integration)  </w:t>
            </w:r>
            <w:r>
              <w:rPr>
                <w:rFonts w:ascii="Arial" w:cs="Arial" w:eastAsia="Arial" w:hAnsi="Arial"/>
                <w:i/>
                <w:iCs/>
                <w:color w:val="4A5568"/>
                <w:sz w:val="16"/>
                <w:szCs w:val="16"/>
              </w:rPr>
              <w:t xml:space="preserve">— Draft language for patent counsel review</w:t>
            </w:r>
          </w:p>
          <w:p>
            <w:pPr>
              <w:spacing w:after="0" w:before="0"/>
            </w:pPr>
            <w:r>
              <w:rPr>
                <w:rFonts w:ascii="Arial" w:cs="Arial" w:eastAsia="Arial" w:hAnsi="Arial"/>
                <w:color w:val="222222"/>
                <w:sz w:val="22"/>
                <w:szCs w:val="22"/>
              </w:rPr>
              <w:t xml:space="preserve">A non-transitory computer-readable medium storing instructions that, when executed by a processor of a computing device operating an integrated development environment, implement: a contribution attribution engine configured to intercept developer event streams in real time and compute contribution classifications as recited in claim 1; a conception-moment detector configured to identify clusters of development activity comprising multiple rejected AI suggestions within a time window, rapid iteration on a single code unit, and human-authored modifications exceeding a minimum complexity threshold, and to trigger a structured decision journal prompt upon detection; a per-claim contribution mapper as recited in claim 2; and a legal-case-aware scoring engine as recited in claim 3; wherein the contribution attribution engine, conception-moment detector, per-claim contribution mapper, and legal-case-aware scoring engine together constitute a specific technical improvement to the software development process that enables real-time preservation of patent-quality inventorship evidence that cannot be reconstructed after the development session ends.</w:t>
            </w:r>
          </w:p>
        </w:tc>
      </w:tr>
    </w:tbl>
    <w:p>
      <w:pPr>
        <w:spacing w:after="0" w:before="120"/>
      </w:pPr>
      <w:r>
        <w:t xml:space="preserve"/>
      </w:r>
    </w:p>
    <w:p>
      <w:pPr>
        <w:pStyle w:val="Heading2"/>
        <w:spacing w:after="80" w:before="280"/>
      </w:pPr>
      <w:r>
        <w:rPr>
          <w:rFonts w:ascii="Arial" w:cs="Arial" w:eastAsia="Arial" w:hAnsi="Arial"/>
          <w:b/>
          <w:bCs/>
          <w:color w:val="2563A8"/>
          <w:sz w:val="24"/>
          <w:szCs w:val="24"/>
        </w:rPr>
        <w:t xml:space="preserve">Dependent Claims — Selected</w:t>
      </w:r>
    </w:p>
    <w:p>
      <w:pPr>
        <w:spacing w:after="0" w:before="60"/>
      </w:pPr>
      <w:r>
        <w:t xml:space="preserve"/>
      </w:r>
    </w:p>
    <w:p>
      <w:pPr>
        <w:pStyle w:val="ListParagraph"/>
        <w:numPr>
          <w:ilvl w:val="0"/>
          <w:numId w:val="3"/>
        </w:numPr>
        <w:spacing w:after="40" w:before="40"/>
      </w:pPr>
      <w:r>
        <w:rPr>
          <w:rFonts w:ascii="Arial" w:cs="Arial" w:eastAsia="Arial" w:hAnsi="Arial"/>
          <w:color w:val="222222"/>
          <w:sz w:val="22"/>
          <w:szCs w:val="22"/>
        </w:rPr>
        <w:t xml:space="preserve">The method of claim 1, wherein computing the prompt specificity score comprises evaluating the presence of one or more of: a description of a specific technical problem encountered during development; a citation of domain-specific performance constraints; a description of why a generic or prior-art approach was determined to be insufficient; and a specification of a desired algorithmic improvement rather than a desired output result.</w:t>
      </w:r>
    </w:p>
    <w:p>
      <w:pPr>
        <w:pStyle w:val="ListParagraph"/>
        <w:numPr>
          <w:ilvl w:val="0"/>
          <w:numId w:val="3"/>
        </w:numPr>
        <w:spacing w:after="40" w:before="40"/>
      </w:pPr>
      <w:r>
        <w:rPr>
          <w:rFonts w:ascii="Arial" w:cs="Arial" w:eastAsia="Arial" w:hAnsi="Arial"/>
          <w:color w:val="222222"/>
          <w:sz w:val="22"/>
          <w:szCs w:val="22"/>
        </w:rPr>
        <w:t xml:space="preserve">The method of claim 1, wherein the contribution record further comprises a modification depth metric computed as the ratio of lines of AI-generated code that were altered by the human developer prior to commit to the total lines of AI-generated code accepted in the same session, the modification depth metric being weighted positively in the human conception score computation.</w:t>
      </w:r>
    </w:p>
    <w:p>
      <w:pPr>
        <w:pStyle w:val="ListParagraph"/>
        <w:numPr>
          <w:ilvl w:val="0"/>
          <w:numId w:val="3"/>
        </w:numPr>
        <w:spacing w:after="40" w:before="40"/>
      </w:pPr>
      <w:r>
        <w:rPr>
          <w:rFonts w:ascii="Arial" w:cs="Arial" w:eastAsia="Arial" w:hAnsi="Arial"/>
          <w:color w:val="222222"/>
          <w:sz w:val="22"/>
          <w:szCs w:val="22"/>
        </w:rPr>
        <w:t xml:space="preserve">The method of claim 3, wherein determining one or more claim types affected by a retrieved decision comprises identifying whether the decision holds that the application of a known technique to a new environment is insufficient to establish Section 101 eligibility, and adjusting the Section 101 technical specificity scoring criteria for all claim candidates relying on environment-of-use differentiation.</w:t>
      </w:r>
    </w:p>
    <w:p>
      <w:pPr>
        <w:pStyle w:val="ListParagraph"/>
        <w:numPr>
          <w:ilvl w:val="0"/>
          <w:numId w:val="3"/>
        </w:numPr>
        <w:spacing w:after="40" w:before="40"/>
      </w:pPr>
      <w:r>
        <w:rPr>
          <w:rFonts w:ascii="Arial" w:cs="Arial" w:eastAsia="Arial" w:hAnsi="Arial"/>
          <w:color w:val="222222"/>
          <w:sz w:val="22"/>
          <w:szCs w:val="22"/>
        </w:rPr>
        <w:t xml:space="preserve">The system of claim 2, wherein the real-time intervention engine is further configured to generate a positive reinforcement prompt upon detecting a contribution event classified as a conception-moment, the positive reinforcement prompt identifying the specific evidence captured and its estimated impact on the AI Patentability Score for the associated claim candidate.</w:t>
      </w:r>
    </w:p>
    <w:p>
      <w:pPr>
        <w:pStyle w:val="ListParagraph"/>
        <w:numPr>
          <w:ilvl w:val="0"/>
          <w:numId w:val="3"/>
        </w:numPr>
        <w:spacing w:after="40" w:before="40"/>
      </w:pPr>
      <w:r>
        <w:rPr>
          <w:rFonts w:ascii="Arial" w:cs="Arial" w:eastAsia="Arial" w:hAnsi="Arial"/>
          <w:color w:val="222222"/>
          <w:sz w:val="22"/>
          <w:szCs w:val="22"/>
        </w:rPr>
        <w:t xml:space="preserve">The method of claim 4, wherein the structured invention disclosure document further comprises a 37 C.F.R. Section 1.63 inventor oath and declaration placeholder formatted for completion by the human inventor(s) and submission to the United States Patent and Trademark Office.</w:t>
      </w:r>
    </w:p>
    <w:p>
      <w:pPr>
        <w:pageBreakBefore/>
      </w:pPr>
      <w:r>
        <w:t xml:space="preserve"/>
      </w:r>
    </w:p>
    <w:p>
      <w:pPr>
        <w:pStyle w:val="Heading1"/>
        <w:pBdr>
          <w:bottom w:val="single" w:color="2563A8" w:sz="8" w:space="4"/>
        </w:pBdr>
        <w:spacing w:after="120" w:before="360"/>
      </w:pPr>
      <w:r>
        <w:rPr>
          <w:rFonts w:ascii="Arial" w:cs="Arial" w:eastAsia="Arial" w:hAnsi="Arial"/>
          <w:b/>
          <w:bCs/>
          <w:color w:val="1B3A6B"/>
          <w:sz w:val="30"/>
          <w:szCs w:val="30"/>
        </w:rPr>
        <w:t xml:space="preserve">6.  Section 101 Eligibility Analysis</w:t>
      </w:r>
    </w:p>
    <w:p>
      <w:pPr>
        <w:pStyle w:val="Heading2"/>
        <w:spacing w:after="80" w:before="280"/>
      </w:pPr>
      <w:r>
        <w:rPr>
          <w:rFonts w:ascii="Arial" w:cs="Arial" w:eastAsia="Arial" w:hAnsi="Arial"/>
          <w:b/>
          <w:bCs/>
          <w:color w:val="2563A8"/>
          <w:sz w:val="24"/>
          <w:szCs w:val="24"/>
        </w:rPr>
        <w:t xml:space="preserve">6.1  Alice Step 1 — Is the Invention Directed to an Abstract Idea?</w:t>
      </w:r>
    </w:p>
    <w:p>
      <w:pPr>
        <w:spacing w:after="100" w:before="60"/>
      </w:pPr>
      <w:r>
        <w:rPr>
          <w:rFonts w:ascii="Arial" w:cs="Arial" w:eastAsia="Arial" w:hAnsi="Arial"/>
          <w:color w:val="222222"/>
          <w:sz w:val="22"/>
          <w:szCs w:val="22"/>
        </w:rPr>
        <w:t xml:space="preserve">The claims are directed to a specific technical improvement to the software development process and to intellectual property documentation systems. The claims do not merely apply a known technique to a new environment. Rather, they recite a novel combination of specific structural components — the multi-signal attribution engine, the per-claim coverage mapper, the conception-moment detector, and the legal-case-aware scoring engine — that together achieve a technical result (real-time patent-quality evidence capture) that was not previously achievable by any prior art system or combination of systems.</w:t>
      </w:r>
    </w:p>
    <w:p>
      <w:pPr>
        <w:spacing w:after="100" w:before="60"/>
      </w:pPr>
      <w:r>
        <w:rPr>
          <w:rFonts w:ascii="Arial" w:cs="Arial" w:eastAsia="Arial" w:hAnsi="Arial"/>
          <w:color w:val="222222"/>
          <w:sz w:val="22"/>
          <w:szCs w:val="22"/>
        </w:rPr>
        <w:t xml:space="preserve">Applying the self-referential improvement analysis from Enfish, LLC v. Microsoft Corp., 822 F.3d 1327 (Fed. Cir. 2016), the claims focus on an improvement to the software development process itself — specifically, the real-time preservation of inventorship evidence that cannot be reconstructed after the fact — rather than invoking computers merely as tools to execute an abstract process.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A8" w:sz="1"/>
              <w:left w:val="single" w:color="2563A8" w:sz="8"/>
              <w:bottom w:val="single" w:color="2563A8" w:sz="1"/>
              <w:right w:val="single" w:color="2563A8" w:sz="1"/>
            </w:tcBorders>
            <w:shd w:fill="E8F0FD" w:val="clear"/>
            <w:tcMar>
              <w:top w:type="dxa" w:w="120"/>
              <w:left w:type="dxa" w:w="200"/>
              <w:bottom w:type="dxa" w:w="120"/>
              <w:right w:type="dxa" w:w="200"/>
            </w:tcMar>
          </w:tcPr>
          <w:p>
            <w:pPr>
              <w:spacing w:after="40"/>
            </w:pPr>
            <w:r>
              <w:rPr>
                <w:rFonts w:ascii="Arial" w:cs="Arial" w:eastAsia="Arial" w:hAnsi="Arial"/>
                <w:b/>
                <w:bCs/>
                <w:color w:val="2563A8"/>
                <w:sz w:val="18"/>
                <w:szCs w:val="18"/>
              </w:rPr>
              <w:t xml:space="preserve">Distinguishing Recentive and Rensselaer</w:t>
            </w:r>
          </w:p>
          <w:p>
            <w:pPr>
              <w:spacing w:after="0" w:before="0"/>
            </w:pPr>
            <w:r>
              <w:rPr>
                <w:rFonts w:ascii="Arial" w:cs="Arial" w:eastAsia="Arial" w:hAnsi="Arial"/>
                <w:color w:val="222222"/>
                <w:sz w:val="22"/>
                <w:szCs w:val="22"/>
              </w:rPr>
              <w:t xml:space="preserve">In Recentive Analytics, Inc. v. Fox Corp., 134 F.4th 1205 (Fed. Cir. 2025), and Rensselaer Polytechnic Institute v. Amazon.com, Inc., No. 2024-1725 (Fed. Cir. Feb. 24, 2026), the Federal Circuit held that claims applying generic machine learning or AI techniques to new environments, without disclosing improvements to the underlying algorithms, are abstract. The present claims are distinguished on two independent grounds: (1) the claims recite specific structural components (the prompt specificity scorer, conception-moment detector, per-claim coverage mapper, and legal-case-aware weight matrix) that constitute improvements to those components themselves, not merely their application to patent documentation as a new field; and (2) the claims recite a specific technical result — real-time evidence capture that cannot be reconstructed post-hoc — that is not achievable by generic AI applied to an existing environment.</w:t>
            </w:r>
          </w:p>
        </w:tc>
      </w:tr>
    </w:tbl>
    <w:p>
      <w:pPr>
        <w:spacing w:after="0" w:before="80"/>
      </w:pPr>
      <w:r>
        <w:t xml:space="preserve"/>
      </w:r>
    </w:p>
    <w:p>
      <w:pPr>
        <w:pStyle w:val="Heading2"/>
        <w:spacing w:after="80" w:before="280"/>
      </w:pPr>
      <w:r>
        <w:rPr>
          <w:rFonts w:ascii="Arial" w:cs="Arial" w:eastAsia="Arial" w:hAnsi="Arial"/>
          <w:b/>
          <w:bCs/>
          <w:color w:val="2563A8"/>
          <w:sz w:val="24"/>
          <w:szCs w:val="24"/>
        </w:rPr>
        <w:t xml:space="preserve">6.2  Alice Step 2 — Inventive Concept</w:t>
      </w:r>
    </w:p>
    <w:p>
      <w:pPr>
        <w:spacing w:after="100" w:before="60"/>
      </w:pPr>
      <w:r>
        <w:rPr>
          <w:rFonts w:ascii="Arial" w:cs="Arial" w:eastAsia="Arial" w:hAnsi="Arial"/>
          <w:color w:val="222222"/>
          <w:sz w:val="22"/>
          <w:szCs w:val="22"/>
        </w:rPr>
        <w:t xml:space="preserve">Even if the claims were found to be directed to an abstract idea at Step 1, the following elements constitute an inventive concept sufficient to transform the claims into patent-eligible subject matter:</w:t>
      </w:r>
    </w:p>
    <w:p>
      <w:pPr>
        <w:pStyle w:val="ListParagraph"/>
        <w:numPr>
          <w:ilvl w:val="0"/>
          <w:numId w:val="2"/>
        </w:numPr>
        <w:spacing w:after="40" w:before="40"/>
      </w:pPr>
      <w:r>
        <w:rPr>
          <w:rFonts w:ascii="Arial" w:cs="Arial" w:eastAsia="Arial" w:hAnsi="Arial"/>
          <w:color w:val="222222"/>
          <w:sz w:val="22"/>
          <w:szCs w:val="22"/>
        </w:rPr>
        <w:t xml:space="preserve">The per-claim contribution mapper (Claim 2): no prior art system maps attribution evidence to discrete patent claim elements in real time during development. This structural component is novel and non-obvious as a technical matter.</w:t>
      </w:r>
    </w:p>
    <w:p>
      <w:pPr>
        <w:pStyle w:val="ListParagraph"/>
        <w:numPr>
          <w:ilvl w:val="0"/>
          <w:numId w:val="2"/>
        </w:numPr>
        <w:spacing w:after="40" w:before="40"/>
      </w:pPr>
      <w:r>
        <w:rPr>
          <w:rFonts w:ascii="Arial" w:cs="Arial" w:eastAsia="Arial" w:hAnsi="Arial"/>
          <w:color w:val="222222"/>
          <w:sz w:val="22"/>
          <w:szCs w:val="22"/>
        </w:rPr>
        <w:t xml:space="preserve">The conception-moment detector (Claims 1, 5): the specific detection algorithm — identifying clusters of rejected AI suggestions, rapid iteration, and minimum-complexity human modifications within a defined time window — constitutes a specific technical improvement to event detection, not a generic application of known monitoring techniques.</w:t>
      </w:r>
    </w:p>
    <w:p>
      <w:pPr>
        <w:pStyle w:val="ListParagraph"/>
        <w:numPr>
          <w:ilvl w:val="0"/>
          <w:numId w:val="2"/>
        </w:numPr>
        <w:spacing w:after="40" w:before="40"/>
      </w:pPr>
      <w:r>
        <w:rPr>
          <w:rFonts w:ascii="Arial" w:cs="Arial" w:eastAsia="Arial" w:hAnsi="Arial"/>
          <w:color w:val="222222"/>
          <w:sz w:val="22"/>
          <w:szCs w:val="22"/>
        </w:rPr>
        <w:t xml:space="preserve">The legal-case-aware weight recalibration (Claim 3): dynamically adjusting scoring weight matrices in response to new legal decisions, without full model retraining, is a specific technical improvement to scoring system design that is not incident to the nature of AI or machine learning generally.</w:t>
      </w:r>
    </w:p>
    <w:p>
      <w:pPr>
        <w:pStyle w:val="ListParagraph"/>
        <w:numPr>
          <w:ilvl w:val="0"/>
          <w:numId w:val="2"/>
        </w:numPr>
        <w:spacing w:after="40" w:before="40"/>
      </w:pPr>
      <w:r>
        <w:rPr>
          <w:rFonts w:ascii="Arial" w:cs="Arial" w:eastAsia="Arial" w:hAnsi="Arial"/>
          <w:color w:val="222222"/>
          <w:sz w:val="22"/>
          <w:szCs w:val="22"/>
        </w:rPr>
        <w:t xml:space="preserve">The evidentiary irreversibility property (Claim 5): the system achieves the capture of inventorship evidence at the moment of inventive activity, which is technically distinct from all post-hoc evaluation approaches. This property is recited structurally in the claims, not merely as a desired result.</w:t>
      </w:r>
    </w:p>
    <w:p>
      <w:pPr>
        <w:spacing w:after="0" w:before="80"/>
      </w:pPr>
      <w:r>
        <w:t xml:space="preserve"/>
      </w:r>
    </w:p>
    <w:p>
      <w:pPr>
        <w:pStyle w:val="Heading2"/>
        <w:spacing w:after="80" w:before="280"/>
      </w:pPr>
      <w:r>
        <w:rPr>
          <w:rFonts w:ascii="Arial" w:cs="Arial" w:eastAsia="Arial" w:hAnsi="Arial"/>
          <w:b/>
          <w:bCs/>
          <w:color w:val="2563A8"/>
          <w:sz w:val="24"/>
          <w:szCs w:val="24"/>
        </w:rPr>
        <w:t xml:space="preserve">6.3  Jurisdiction-Specific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4F6FA" w:val="clear"/>
            <w:tcMar>
              <w:top w:type="dxa" w:w="80"/>
              <w:left w:type="dxa" w:w="160"/>
              <w:bottom w:type="dxa" w:w="80"/>
              <w:right w:type="dxa" w:w="160"/>
            </w:tcMar>
          </w:tcPr>
          <w:p>
            <w:r>
              <w:rPr>
                <w:rFonts w:ascii="Arial" w:cs="Arial" w:eastAsia="Arial" w:hAnsi="Arial"/>
                <w:b/>
                <w:bCs/>
                <w:sz w:val="20"/>
                <w:szCs w:val="20"/>
              </w:rPr>
              <w:t xml:space="preserve">United States</w:t>
            </w:r>
          </w:p>
        </w:tc>
        <w:tc>
          <w:tcPr>
            <w:tcW w:type="dxa" w:w="7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Primary analysis above. Alice/Recentive/Rensselaer framework applies. Claims drafted to survive all three. File non-provisional utility application; consider continuation with narrower dependent claims.</w:t>
            </w:r>
          </w:p>
        </w:tc>
      </w:tr>
      <w:tr>
        <w:tc>
          <w:tcPr>
            <w:tcW w:type="dxa" w:w="2000"/>
            <w:tcBorders>
              <w:top w:val="single" w:color="CCCCCC" w:sz="1"/>
              <w:left w:val="single" w:color="CCCCCC" w:sz="1"/>
              <w:bottom w:val="single" w:color="CCCCCC" w:sz="1"/>
              <w:right w:val="single" w:color="CCCCCC" w:sz="1"/>
            </w:tcBorders>
            <w:shd w:fill="F4F6FA" w:val="clear"/>
            <w:tcMar>
              <w:top w:type="dxa" w:w="80"/>
              <w:left w:type="dxa" w:w="160"/>
              <w:bottom w:type="dxa" w:w="80"/>
              <w:right w:type="dxa" w:w="160"/>
            </w:tcMar>
          </w:tcPr>
          <w:p>
            <w:r>
              <w:rPr>
                <w:rFonts w:ascii="Arial" w:cs="Arial" w:eastAsia="Arial" w:hAnsi="Arial"/>
                <w:b/>
                <w:bCs/>
                <w:sz w:val="20"/>
                <w:szCs w:val="20"/>
              </w:rPr>
              <w:t xml:space="preserve">European Patent Office</w:t>
            </w:r>
          </w:p>
        </w:tc>
        <w:tc>
          <w:tcPr>
            <w:tcW w:type="dxa" w:w="7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Claims must demonstrate a technical character and a technical effect. Frame as a data processing system with a technical effect on software development process quality. EPO does not apply Alice — technical effect analysis governs under Art. 52 EPC. PCT filing recommended.</w:t>
            </w:r>
          </w:p>
        </w:tc>
      </w:tr>
      <w:tr>
        <w:tc>
          <w:tcPr>
            <w:tcW w:type="dxa" w:w="2000"/>
            <w:tcBorders>
              <w:top w:val="single" w:color="CCCCCC" w:sz="1"/>
              <w:left w:val="single" w:color="CCCCCC" w:sz="1"/>
              <w:bottom w:val="single" w:color="CCCCCC" w:sz="1"/>
              <w:right w:val="single" w:color="CCCCCC" w:sz="1"/>
            </w:tcBorders>
            <w:shd w:fill="F4F6FA" w:val="clear"/>
            <w:tcMar>
              <w:top w:type="dxa" w:w="80"/>
              <w:left w:type="dxa" w:w="160"/>
              <w:bottom w:type="dxa" w:w="80"/>
              <w:right w:type="dxa" w:w="160"/>
            </w:tcMar>
          </w:tcPr>
          <w:p>
            <w:r>
              <w:rPr>
                <w:rFonts w:ascii="Arial" w:cs="Arial" w:eastAsia="Arial" w:hAnsi="Arial"/>
                <w:b/>
                <w:bCs/>
                <w:sz w:val="20"/>
                <w:szCs w:val="20"/>
              </w:rPr>
              <w:t xml:space="preserve">United Kingdom</w:t>
            </w:r>
          </w:p>
        </w:tc>
        <w:tc>
          <w:tcPr>
            <w:tcW w:type="dxa" w:w="7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Post-Brexit UKIPO applies its own software eligibility analysis. Thaler ruling is UK law. Inventorship must be attributed to a natural person. Technical contribution approach similar to EPO.</w:t>
            </w:r>
          </w:p>
        </w:tc>
      </w:tr>
      <w:tr>
        <w:tc>
          <w:tcPr>
            <w:tcW w:type="dxa" w:w="2000"/>
            <w:tcBorders>
              <w:top w:val="single" w:color="CCCCCC" w:sz="1"/>
              <w:left w:val="single" w:color="CCCCCC" w:sz="1"/>
              <w:bottom w:val="single" w:color="CCCCCC" w:sz="1"/>
              <w:right w:val="single" w:color="CCCCCC" w:sz="1"/>
            </w:tcBorders>
            <w:shd w:fill="F4F6FA" w:val="clear"/>
            <w:tcMar>
              <w:top w:type="dxa" w:w="80"/>
              <w:left w:type="dxa" w:w="160"/>
              <w:bottom w:type="dxa" w:w="80"/>
              <w:right w:type="dxa" w:w="160"/>
            </w:tcMar>
          </w:tcPr>
          <w:p>
            <w:r>
              <w:rPr>
                <w:rFonts w:ascii="Arial" w:cs="Arial" w:eastAsia="Arial" w:hAnsi="Arial"/>
                <w:b/>
                <w:bCs/>
                <w:sz w:val="20"/>
                <w:szCs w:val="20"/>
              </w:rPr>
              <w:t xml:space="preserve">China (CNIPA)</w:t>
            </w:r>
          </w:p>
        </w:tc>
        <w:tc>
          <w:tcPr>
            <w:tcW w:type="dxa" w:w="7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AI-assisted invention guidance evolving. Human inventorship required. Claims should emphasize the technical solution and technical effect. Consult China-qualified patent counsel before filing.</w:t>
            </w:r>
          </w:p>
        </w:tc>
      </w:tr>
    </w:tbl>
    <w:p>
      <w:pPr>
        <w:pageBreakBefore/>
      </w:pPr>
      <w:r>
        <w:t xml:space="preserve"/>
      </w:r>
    </w:p>
    <w:p>
      <w:pPr>
        <w:pStyle w:val="Heading1"/>
        <w:pBdr>
          <w:bottom w:val="single" w:color="2563A8" w:sz="8" w:space="4"/>
        </w:pBdr>
        <w:spacing w:after="120" w:before="360"/>
      </w:pPr>
      <w:r>
        <w:rPr>
          <w:rFonts w:ascii="Arial" w:cs="Arial" w:eastAsia="Arial" w:hAnsi="Arial"/>
          <w:b/>
          <w:bCs/>
          <w:color w:val="1B3A6B"/>
          <w:sz w:val="30"/>
          <w:szCs w:val="30"/>
        </w:rPr>
        <w:t xml:space="preserve">7.  Prior Art Statement and Differentiation</w:t>
      </w:r>
    </w:p>
    <w:p>
      <w:pPr>
        <w:pStyle w:val="Heading2"/>
        <w:spacing w:after="80" w:before="280"/>
      </w:pPr>
      <w:r>
        <w:rPr>
          <w:rFonts w:ascii="Arial" w:cs="Arial" w:eastAsia="Arial" w:hAnsi="Arial"/>
          <w:b/>
          <w:bCs/>
          <w:color w:val="2563A8"/>
          <w:sz w:val="24"/>
          <w:szCs w:val="24"/>
        </w:rPr>
        <w:t xml:space="preserve">7.1  Known Prior Art</w:t>
      </w:r>
    </w:p>
    <w:p>
      <w:pPr>
        <w:spacing w:after="100" w:before="60"/>
      </w:pPr>
      <w:r>
        <w:rPr>
          <w:rFonts w:ascii="Arial" w:cs="Arial" w:eastAsia="Arial" w:hAnsi="Arial"/>
          <w:color w:val="222222"/>
          <w:sz w:val="22"/>
          <w:szCs w:val="22"/>
        </w:rPr>
        <w:t xml:space="preserve">The inventor(s) are aware of the following categories of prior art. None discloses the claimed combination:</w:t>
      </w:r>
    </w:p>
    <w:p>
      <w:pPr>
        <w:pStyle w:val="ListParagraph"/>
        <w:numPr>
          <w:ilvl w:val="0"/>
          <w:numId w:val="2"/>
        </w:numPr>
        <w:spacing w:after="40" w:before="40"/>
      </w:pPr>
      <w:r>
        <w:rPr>
          <w:rFonts w:ascii="Arial" w:cs="Arial" w:eastAsia="Arial" w:hAnsi="Arial"/>
          <w:color w:val="222222"/>
          <w:sz w:val="22"/>
          <w:szCs w:val="22"/>
        </w:rPr>
        <w:t xml:space="preserve">General IDE telemetry tools (e.g., WakaTime, Codealike): track developer activity for productivity analytics only; do not assess patent contribution, evaluate Section 101 eligibility, or generate claim-level coverage analysis.</w:t>
      </w:r>
    </w:p>
    <w:p>
      <w:pPr>
        <w:pStyle w:val="ListParagraph"/>
        <w:numPr>
          <w:ilvl w:val="0"/>
          <w:numId w:val="2"/>
        </w:numPr>
        <w:spacing w:after="40" w:before="40"/>
      </w:pPr>
      <w:r>
        <w:rPr>
          <w:rFonts w:ascii="Arial" w:cs="Arial" w:eastAsia="Arial" w:hAnsi="Arial"/>
          <w:color w:val="222222"/>
          <w:sz w:val="22"/>
          <w:szCs w:val="22"/>
        </w:rPr>
        <w:t xml:space="preserve">Post-hoc AI contribution auditing approaches: evaluate AI vs. human code attribution after development is complete; cannot capture conception-moment evidence in real time; do not map to discrete patent claims.</w:t>
      </w:r>
    </w:p>
    <w:p>
      <w:pPr>
        <w:pStyle w:val="ListParagraph"/>
        <w:numPr>
          <w:ilvl w:val="0"/>
          <w:numId w:val="2"/>
        </w:numPr>
        <w:spacing w:after="40" w:before="40"/>
      </w:pPr>
      <w:r>
        <w:rPr>
          <w:rFonts w:ascii="Arial" w:cs="Arial" w:eastAsia="Arial" w:hAnsi="Arial"/>
          <w:color w:val="222222"/>
          <w:sz w:val="22"/>
          <w:szCs w:val="22"/>
        </w:rPr>
        <w:t xml:space="preserve">Patent drafting AI tools (e.g., Specifio, PatentPal): generate patent claim language from human-supplied descriptions; do not monitor the development process, evaluate inventorship, or assess Section 101 eligibility from attribution data.</w:t>
      </w:r>
    </w:p>
    <w:p>
      <w:pPr>
        <w:pStyle w:val="ListParagraph"/>
        <w:numPr>
          <w:ilvl w:val="0"/>
          <w:numId w:val="2"/>
        </w:numPr>
        <w:spacing w:after="40" w:before="40"/>
      </w:pPr>
      <w:r>
        <w:rPr>
          <w:rFonts w:ascii="Arial" w:cs="Arial" w:eastAsia="Arial" w:hAnsi="Arial"/>
          <w:color w:val="222222"/>
          <w:sz w:val="22"/>
          <w:szCs w:val="22"/>
        </w:rPr>
        <w:t xml:space="preserve">Code review and attribution tools (e.g., git blame, GitPrime): track authorship for code review and compliance purposes only; no patent or inventorship analysis; no AI contribution classification.</w:t>
      </w:r>
    </w:p>
    <w:p>
      <w:pPr>
        <w:spacing w:after="0" w:before="60"/>
      </w:pPr>
      <w:r>
        <w:t xml:space="preserve"/>
      </w:r>
    </w:p>
    <w:p>
      <w:pPr>
        <w:pStyle w:val="Heading2"/>
        <w:spacing w:after="80" w:before="280"/>
      </w:pPr>
      <w:r>
        <w:rPr>
          <w:rFonts w:ascii="Arial" w:cs="Arial" w:eastAsia="Arial" w:hAnsi="Arial"/>
          <w:b/>
          <w:bCs/>
          <w:color w:val="2563A8"/>
          <w:sz w:val="24"/>
          <w:szCs w:val="24"/>
        </w:rPr>
        <w:t xml:space="preserve">7.2  Key Differentiators</w:t>
      </w:r>
    </w:p>
    <w:p>
      <w:pPr>
        <w:pStyle w:val="ListParagraph"/>
        <w:numPr>
          <w:ilvl w:val="0"/>
          <w:numId w:val="2"/>
        </w:numPr>
        <w:spacing w:after="40" w:before="40"/>
      </w:pPr>
      <w:r>
        <w:rPr>
          <w:rFonts w:ascii="Arial" w:cs="Arial" w:eastAsia="Arial" w:hAnsi="Arial"/>
          <w:color w:val="222222"/>
          <w:sz w:val="22"/>
          <w:szCs w:val="22"/>
        </w:rPr>
        <w:t xml:space="preserve">Real-time operation: the claimed system operates during development, not after, enabling evidence capture that cannot be reconstructed.</w:t>
      </w:r>
    </w:p>
    <w:p>
      <w:pPr>
        <w:pStyle w:val="ListParagraph"/>
        <w:numPr>
          <w:ilvl w:val="0"/>
          <w:numId w:val="2"/>
        </w:numPr>
        <w:spacing w:after="40" w:before="40"/>
      </w:pPr>
      <w:r>
        <w:rPr>
          <w:rFonts w:ascii="Arial" w:cs="Arial" w:eastAsia="Arial" w:hAnsi="Arial"/>
          <w:color w:val="222222"/>
          <w:sz w:val="22"/>
          <w:szCs w:val="22"/>
        </w:rPr>
        <w:t xml:space="preserve">Per-claim granularity: prior art systems assess contribution at the project or file level; the present invention maps evidence to discrete claim elements.</w:t>
      </w:r>
    </w:p>
    <w:p>
      <w:pPr>
        <w:pStyle w:val="ListParagraph"/>
        <w:numPr>
          <w:ilvl w:val="0"/>
          <w:numId w:val="2"/>
        </w:numPr>
        <w:spacing w:after="40" w:before="40"/>
      </w:pPr>
      <w:r>
        <w:rPr>
          <w:rFonts w:ascii="Arial" w:cs="Arial" w:eastAsia="Arial" w:hAnsi="Arial"/>
          <w:color w:val="222222"/>
          <w:sz w:val="22"/>
          <w:szCs w:val="22"/>
        </w:rPr>
        <w:t xml:space="preserve">Legal-case awareness: no prior art system adjusts its scoring criteria in response to new patent eligibility decisions.</w:t>
      </w:r>
    </w:p>
    <w:p>
      <w:pPr>
        <w:pStyle w:val="ListParagraph"/>
        <w:numPr>
          <w:ilvl w:val="0"/>
          <w:numId w:val="2"/>
        </w:numPr>
        <w:spacing w:after="40" w:before="40"/>
      </w:pPr>
      <w:r>
        <w:rPr>
          <w:rFonts w:ascii="Arial" w:cs="Arial" w:eastAsia="Arial" w:hAnsi="Arial"/>
          <w:color w:val="222222"/>
          <w:sz w:val="22"/>
          <w:szCs w:val="22"/>
        </w:rPr>
        <w:t xml:space="preserve">Dual-axis scoring: the separation of human conception scoring from Section 101 technical specificity scoring, and the legal framework mapping of each, is not taught or suggested by any known prior art.</w:t>
      </w:r>
    </w:p>
    <w:p>
      <w:pPr>
        <w:pageBreakBefore/>
      </w:pPr>
      <w:r>
        <w:t xml:space="preserve"/>
      </w:r>
    </w:p>
    <w:p>
      <w:pPr>
        <w:pStyle w:val="Heading1"/>
        <w:pBdr>
          <w:bottom w:val="single" w:color="2563A8" w:sz="8" w:space="4"/>
        </w:pBdr>
        <w:spacing w:after="120" w:before="360"/>
      </w:pPr>
      <w:r>
        <w:rPr>
          <w:rFonts w:ascii="Arial" w:cs="Arial" w:eastAsia="Arial" w:hAnsi="Arial"/>
          <w:b/>
          <w:bCs/>
          <w:color w:val="1B3A6B"/>
          <w:sz w:val="30"/>
          <w:szCs w:val="30"/>
        </w:rPr>
        <w:t xml:space="preserve">8.  Inventor Declaration Placeholder</w:t>
      </w:r>
    </w:p>
    <w:p>
      <w:pPr>
        <w:spacing w:after="100" w:before="60"/>
      </w:pPr>
      <w:r>
        <w:rPr>
          <w:rFonts w:ascii="Arial" w:cs="Arial" w:eastAsia="Arial" w:hAnsi="Arial"/>
          <w:color w:val="222222"/>
          <w:sz w:val="22"/>
          <w:szCs w:val="22"/>
        </w:rPr>
        <w:t xml:space="preserve">The following declaration is provided for completion and signature by the inventor(s) before submission to the USPTO. This is a placeholder — counsel must review and conform to current 37 C.F.R. § 1.63 requirements.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5568" w:sz="1"/>
              <w:left w:val="single" w:color="4A5568" w:sz="1"/>
              <w:bottom w:val="single" w:color="4A5568" w:sz="1"/>
              <w:right w:val="single" w:color="4A5568" w:sz="1"/>
            </w:tcBorders>
            <w:shd w:fill="F4F6FA" w:val="clear"/>
            <w:tcMar>
              <w:top w:type="dxa" w:w="200"/>
              <w:left w:type="dxa" w:w="280"/>
              <w:bottom w:type="dxa" w:w="200"/>
              <w:right w:type="dxa" w:w="280"/>
            </w:tcMar>
          </w:tcPr>
          <w:p>
            <w:pPr>
              <w:spacing w:after="80"/>
            </w:pPr>
            <w:r>
              <w:rPr>
                <w:rFonts w:ascii="Arial" w:cs="Arial" w:eastAsia="Arial" w:hAnsi="Arial"/>
                <w:b/>
                <w:bCs/>
                <w:color w:val="1B3A6B"/>
                <w:sz w:val="22"/>
                <w:szCs w:val="22"/>
              </w:rPr>
              <w:t xml:space="preserve">DECLARATION UNDER 37 C.F.R. § 1.63</w:t>
            </w:r>
          </w:p>
          <w:p>
            <w:pPr>
              <w:spacing w:after="100" w:before="60"/>
            </w:pPr>
            <w:r>
              <w:rPr>
                <w:rFonts w:ascii="Arial" w:cs="Arial" w:eastAsia="Arial" w:hAnsi="Arial"/>
                <w:color w:val="222222"/>
                <w:sz w:val="22"/>
                <w:szCs w:val="22"/>
              </w:rPr>
              <w:t xml:space="preserve">I hereby declare that: (1) I am the original inventor or an original joint inventor of the claimed invention in the application to which this declaration relates; (2) the application was made or authorized to be made by me; (3) I believe I am the original inventor or an original joint inventor of the subject matter sought to be patented; (4) I have reviewed and understand the contents of the application; (5) I acknowledge the duty to disclose to the USPTO all information known to me to be material to patentability; and (6) I am aware that willful false statements made in this declaration are punishable by fine or imprisonment under 18 U.S.C. § 1001.</w:t>
            </w:r>
          </w:p>
          <w:p>
            <w:pPr>
              <w:spacing w:after="0" w:before="60"/>
            </w:pPr>
            <w:r>
              <w:t xml:space="preserve"/>
            </w:r>
          </w:p>
          <w:p>
            <w:pPr>
              <w:spacing w:after="100" w:before="60"/>
            </w:pPr>
            <w:r>
              <w:rPr>
                <w:rFonts w:ascii="Arial" w:cs="Arial" w:eastAsia="Arial" w:hAnsi="Arial"/>
                <w:color w:val="222222"/>
                <w:sz w:val="22"/>
                <w:szCs w:val="22"/>
              </w:rPr>
              <w:t xml:space="preserve">Regarding AI tool use: I confirm that the artificial intelligence tools identified in Section 1 of this disclosure were used as tools in the development process. I conceived the inventions claimed herein. No AI system is an inventor of the claimed subject matter, consistent with Thaler v. Vidal, 43 F.4th 1207 (Fed. Cir. 2022) and the USPTO Revised Inventorship Guidance (Nov. 26, 2025).</w:t>
            </w:r>
          </w:p>
          <w:p>
            <w:pPr>
              <w:spacing w:after="0" w:before="80"/>
            </w:pPr>
            <w:r>
              <w:t xml:space="preserve"/>
            </w:r>
          </w:p>
          <w:p>
            <w:pPr>
              <w:spacing w:after="100" w:before="60"/>
            </w:pPr>
            <w:r>
              <w:rPr>
                <w:rFonts w:ascii="Arial" w:cs="Arial" w:eastAsia="Arial" w:hAnsi="Arial"/>
                <w:color w:val="222222"/>
                <w:sz w:val="22"/>
                <w:szCs w:val="22"/>
              </w:rPr>
              <w:t xml:space="preserve">Inventor signature: _________________________________    Date: ____________</w:t>
            </w:r>
          </w:p>
          <w:p>
            <w:pPr>
              <w:spacing w:after="0" w:before="20"/>
            </w:pPr>
            <w:r>
              <w:t xml:space="preserve"/>
            </w:r>
          </w:p>
          <w:p>
            <w:pPr>
              <w:spacing w:after="100" w:before="60"/>
            </w:pPr>
            <w:r>
              <w:rPr>
                <w:rFonts w:ascii="Arial" w:cs="Arial" w:eastAsia="Arial" w:hAnsi="Arial"/>
                <w:color w:val="222222"/>
                <w:sz w:val="22"/>
                <w:szCs w:val="22"/>
              </w:rPr>
              <w:t xml:space="preserve">Printed name: _________________________________</w:t>
            </w:r>
          </w:p>
          <w:p>
            <w:pPr>
              <w:spacing w:after="0" w:before="20"/>
            </w:pPr>
            <w:r>
              <w:t xml:space="preserve"/>
            </w:r>
          </w:p>
          <w:p>
            <w:pPr>
              <w:spacing w:after="100" w:before="60"/>
            </w:pPr>
            <w:r>
              <w:rPr>
                <w:rFonts w:ascii="Arial" w:cs="Arial" w:eastAsia="Arial" w:hAnsi="Arial"/>
                <w:color w:val="222222"/>
                <w:sz w:val="22"/>
                <w:szCs w:val="22"/>
              </w:rPr>
              <w:t xml:space="preserve">Citizenship: _________________________________</w:t>
            </w:r>
          </w:p>
        </w:tc>
      </w:tr>
    </w:tbl>
    <w:p>
      <w:pPr>
        <w:pageBreakBefore/>
      </w:pPr>
      <w:r>
        <w:t xml:space="preserve"/>
      </w:r>
    </w:p>
    <w:p>
      <w:pPr>
        <w:pStyle w:val="Heading1"/>
        <w:pBdr>
          <w:bottom w:val="single" w:color="2563A8" w:sz="8" w:space="4"/>
        </w:pBdr>
        <w:spacing w:after="120" w:before="360"/>
      </w:pPr>
      <w:r>
        <w:rPr>
          <w:rFonts w:ascii="Arial" w:cs="Arial" w:eastAsia="Arial" w:hAnsi="Arial"/>
          <w:b/>
          <w:bCs/>
          <w:color w:val="1B3A6B"/>
          <w:sz w:val="30"/>
          <w:szCs w:val="30"/>
        </w:rPr>
        <w:t xml:space="preserve">9.  AI Patentability Score Report — Session Summary</w:t>
      </w:r>
    </w:p>
    <w:p>
      <w:pPr>
        <w:spacing w:after="100" w:before="60"/>
      </w:pPr>
      <w:r>
        <w:rPr>
          <w:rFonts w:ascii="Arial" w:cs="Arial" w:eastAsia="Arial" w:hAnsi="Arial"/>
          <w:color w:val="222222"/>
          <w:sz w:val="22"/>
          <w:szCs w:val="22"/>
        </w:rPr>
        <w:t xml:space="preserve">The following score report was generated by the AI Patentability system for the session associated with this disclosure. It is provided for counsel reference and does not constitute a legal opinion.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40"/>
        <w:gridCol w:w="1440"/>
        <w:gridCol w:w="1440"/>
        <w:gridCol w:w="2040"/>
      </w:tblGrid>
      <w:tr>
        <w:tc>
          <w:tcPr>
            <w:tcW w:type="dxa" w:w="3000"/>
            <w:tcBorders>
              <w:top w:val="single" w:color="2563A8" w:sz="1"/>
              <w:left w:val="single" w:color="2563A8" w:sz="1"/>
              <w:bottom w:val="single" w:color="2563A8" w:sz="1"/>
              <w:right w:val="single" w:color="2563A8" w:sz="1"/>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Feature</w:t>
            </w:r>
          </w:p>
        </w:tc>
        <w:tc>
          <w:tcPr>
            <w:tcW w:type="dxa" w:w="1440"/>
            <w:tcBorders>
              <w:top w:val="single" w:color="2563A8" w:sz="1"/>
              <w:left w:val="single" w:color="2563A8" w:sz="1"/>
              <w:bottom w:val="single" w:color="2563A8" w:sz="1"/>
              <w:right w:val="single" w:color="2563A8" w:sz="1"/>
            </w:tcBorders>
            <w:shd w:fill="1B3A6B" w:val="clear"/>
            <w:tcMar>
              <w:top w:type="dxa" w:w="80"/>
              <w:left w:type="dxa" w:w="160"/>
              <w:bottom w:type="dxa" w:w="80"/>
              <w:right w:type="dxa" w:w="160"/>
            </w:tcMar>
          </w:tcPr>
          <w:p>
            <w:pPr>
              <w:jc w:val="center"/>
            </w:pPr>
            <w:r>
              <w:rPr>
                <w:rFonts w:ascii="Arial" w:cs="Arial" w:eastAsia="Arial" w:hAnsi="Arial"/>
                <w:b/>
                <w:bCs/>
                <w:color w:val="FFFFFF"/>
                <w:sz w:val="20"/>
                <w:szCs w:val="20"/>
              </w:rPr>
              <w:t xml:space="preserve">Conception</w:t>
            </w:r>
          </w:p>
        </w:tc>
        <w:tc>
          <w:tcPr>
            <w:tcW w:type="dxa" w:w="1440"/>
            <w:tcBorders>
              <w:top w:val="single" w:color="2563A8" w:sz="1"/>
              <w:left w:val="single" w:color="2563A8" w:sz="1"/>
              <w:bottom w:val="single" w:color="2563A8" w:sz="1"/>
              <w:right w:val="single" w:color="2563A8" w:sz="1"/>
            </w:tcBorders>
            <w:shd w:fill="1B3A6B" w:val="clear"/>
            <w:tcMar>
              <w:top w:type="dxa" w:w="80"/>
              <w:left w:type="dxa" w:w="160"/>
              <w:bottom w:type="dxa" w:w="80"/>
              <w:right w:type="dxa" w:w="160"/>
            </w:tcMar>
          </w:tcPr>
          <w:p>
            <w:pPr>
              <w:jc w:val="center"/>
            </w:pPr>
            <w:r>
              <w:rPr>
                <w:rFonts w:ascii="Arial" w:cs="Arial" w:eastAsia="Arial" w:hAnsi="Arial"/>
                <w:b/>
                <w:bCs/>
                <w:color w:val="FFFFFF"/>
                <w:sz w:val="20"/>
                <w:szCs w:val="20"/>
              </w:rPr>
              <w:t xml:space="preserve">§101</w:t>
            </w:r>
          </w:p>
        </w:tc>
        <w:tc>
          <w:tcPr>
            <w:tcW w:type="dxa" w:w="1440"/>
            <w:tcBorders>
              <w:top w:val="single" w:color="2563A8" w:sz="1"/>
              <w:left w:val="single" w:color="2563A8" w:sz="1"/>
              <w:bottom w:val="single" w:color="2563A8" w:sz="1"/>
              <w:right w:val="single" w:color="2563A8" w:sz="1"/>
            </w:tcBorders>
            <w:shd w:fill="1B3A6B" w:val="clear"/>
            <w:tcMar>
              <w:top w:type="dxa" w:w="80"/>
              <w:left w:type="dxa" w:w="160"/>
              <w:bottom w:type="dxa" w:w="80"/>
              <w:right w:type="dxa" w:w="160"/>
            </w:tcMar>
          </w:tcPr>
          <w:p>
            <w:pPr>
              <w:jc w:val="center"/>
            </w:pPr>
            <w:r>
              <w:rPr>
                <w:rFonts w:ascii="Arial" w:cs="Arial" w:eastAsia="Arial" w:hAnsi="Arial"/>
                <w:b/>
                <w:bCs/>
                <w:color w:val="FFFFFF"/>
                <w:sz w:val="20"/>
                <w:szCs w:val="20"/>
              </w:rPr>
              <w:t xml:space="preserve">AIP Score</w:t>
            </w:r>
          </w:p>
        </w:tc>
        <w:tc>
          <w:tcPr>
            <w:tcW w:type="dxa" w:w="2040"/>
            <w:tcBorders>
              <w:top w:val="single" w:color="2563A8" w:sz="1"/>
              <w:left w:val="single" w:color="2563A8" w:sz="1"/>
              <w:bottom w:val="single" w:color="2563A8" w:sz="1"/>
              <w:right w:val="single" w:color="2563A8" w:sz="1"/>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Primary case risk</w:t>
            </w:r>
          </w:p>
        </w:tc>
      </w:tr>
      <w:tr>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sz w:val="20"/>
                <w:szCs w:val="20"/>
              </w:rPr>
              <w:t xml:space="preserve">Adaptive prioritization</w:t>
            </w:r>
          </w:p>
        </w:tc>
        <w:tc>
          <w:tcPr>
            <w:tcW w:type="dxa" w:w="144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center"/>
            </w:pPr>
            <w:r>
              <w:rPr>
                <w:rFonts w:ascii="Arial" w:cs="Arial" w:eastAsia="Arial" w:hAnsi="Arial"/>
                <w:sz w:val="20"/>
                <w:szCs w:val="20"/>
              </w:rPr>
              <w:t xml:space="preserve">71%</w:t>
            </w:r>
          </w:p>
        </w:tc>
        <w:tc>
          <w:tcPr>
            <w:tcW w:type="dxa" w:w="144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center"/>
            </w:pPr>
            <w:r>
              <w:rPr>
                <w:rFonts w:ascii="Arial" w:cs="Arial" w:eastAsia="Arial" w:hAnsi="Arial"/>
                <w:sz w:val="20"/>
                <w:szCs w:val="20"/>
              </w:rPr>
              <w:t xml:space="preserve">75</w:t>
            </w:r>
          </w:p>
        </w:tc>
        <w:tc>
          <w:tcPr>
            <w:tcW w:type="dxa" w:w="1440"/>
            <w:tcBorders>
              <w:top w:val="single" w:color="CCCCCC" w:sz="1"/>
              <w:left w:val="single" w:color="CCCCCC" w:sz="1"/>
              <w:bottom w:val="single" w:color="CCCCCC" w:sz="1"/>
              <w:right w:val="single" w:color="CCCCCC" w:sz="1"/>
            </w:tcBorders>
            <w:shd w:fill="EAF3DE" w:val="clear"/>
            <w:tcMar>
              <w:top w:type="dxa" w:w="80"/>
              <w:left w:type="dxa" w:w="160"/>
              <w:bottom w:type="dxa" w:w="80"/>
              <w:right w:type="dxa" w:w="160"/>
            </w:tcMar>
          </w:tcPr>
          <w:p>
            <w:pPr>
              <w:jc w:val="center"/>
            </w:pPr>
            <w:r>
              <w:rPr>
                <w:rFonts w:ascii="Arial" w:cs="Arial" w:eastAsia="Arial" w:hAnsi="Arial"/>
                <w:b/>
                <w:bCs/>
                <w:color w:val="276221"/>
                <w:sz w:val="20"/>
                <w:szCs w:val="20"/>
              </w:rPr>
              <w:t xml:space="preserve">73</w:t>
            </w:r>
          </w:p>
        </w:tc>
        <w:tc>
          <w:tcPr>
            <w:tcW w:type="dxa" w:w="204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76221"/>
                <w:sz w:val="20"/>
                <w:szCs w:val="20"/>
              </w:rPr>
              <w:t xml:space="preserve">Low — Enfish path clear</w:t>
            </w:r>
          </w:p>
        </w:tc>
      </w:tr>
      <w:tr>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sz w:val="20"/>
                <w:szCs w:val="20"/>
              </w:rPr>
              <w:t xml:space="preserve">NLP intent parsing</w:t>
            </w:r>
          </w:p>
        </w:tc>
        <w:tc>
          <w:tcPr>
            <w:tcW w:type="dxa" w:w="144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center"/>
            </w:pPr>
            <w:r>
              <w:rPr>
                <w:rFonts w:ascii="Arial" w:cs="Arial" w:eastAsia="Arial" w:hAnsi="Arial"/>
                <w:sz w:val="20"/>
                <w:szCs w:val="20"/>
              </w:rPr>
              <w:t xml:space="preserve">28%</w:t>
            </w:r>
          </w:p>
        </w:tc>
        <w:tc>
          <w:tcPr>
            <w:tcW w:type="dxa" w:w="144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center"/>
            </w:pPr>
            <w:r>
              <w:rPr>
                <w:rFonts w:ascii="Arial" w:cs="Arial" w:eastAsia="Arial" w:hAnsi="Arial"/>
                <w:sz w:val="20"/>
                <w:szCs w:val="20"/>
              </w:rPr>
              <w:t xml:space="preserve">28</w:t>
            </w:r>
          </w:p>
        </w:tc>
        <w:tc>
          <w:tcPr>
            <w:tcW w:type="dxa" w:w="1440"/>
            <w:tcBorders>
              <w:top w:val="single" w:color="CCCCCC" w:sz="1"/>
              <w:left w:val="single" w:color="CCCCCC" w:sz="1"/>
              <w:bottom w:val="single" w:color="CCCCCC" w:sz="1"/>
              <w:right w:val="single" w:color="CCCCCC" w:sz="1"/>
            </w:tcBorders>
            <w:shd w:fill="FDECEA" w:val="clear"/>
            <w:tcMar>
              <w:top w:type="dxa" w:w="80"/>
              <w:left w:type="dxa" w:w="160"/>
              <w:bottom w:type="dxa" w:w="80"/>
              <w:right w:type="dxa" w:w="160"/>
            </w:tcMar>
          </w:tcPr>
          <w:p>
            <w:pPr>
              <w:jc w:val="center"/>
            </w:pPr>
            <w:r>
              <w:rPr>
                <w:rFonts w:ascii="Arial" w:cs="Arial" w:eastAsia="Arial" w:hAnsi="Arial"/>
                <w:b/>
                <w:bCs/>
                <w:color w:val="C0392B"/>
                <w:sz w:val="20"/>
                <w:szCs w:val="20"/>
              </w:rPr>
              <w:t xml:space="preserve">28</w:t>
            </w:r>
          </w:p>
        </w:tc>
        <w:tc>
          <w:tcPr>
            <w:tcW w:type="dxa" w:w="204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C0392B"/>
                <w:sz w:val="20"/>
                <w:szCs w:val="20"/>
              </w:rPr>
              <w:t xml:space="preserve">High — Rensselaer direct risk</w:t>
            </w:r>
          </w:p>
        </w:tc>
      </w:tr>
      <w:tr>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sz w:val="20"/>
                <w:szCs w:val="20"/>
              </w:rPr>
              <w:t xml:space="preserve">Dynamic scheduler</w:t>
            </w:r>
          </w:p>
        </w:tc>
        <w:tc>
          <w:tcPr>
            <w:tcW w:type="dxa" w:w="144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center"/>
            </w:pPr>
            <w:r>
              <w:rPr>
                <w:rFonts w:ascii="Arial" w:cs="Arial" w:eastAsia="Arial" w:hAnsi="Arial"/>
                <w:sz w:val="20"/>
                <w:szCs w:val="20"/>
              </w:rPr>
              <w:t xml:space="preserve">55%</w:t>
            </w:r>
          </w:p>
        </w:tc>
        <w:tc>
          <w:tcPr>
            <w:tcW w:type="dxa" w:w="144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center"/>
            </w:pPr>
            <w:r>
              <w:rPr>
                <w:rFonts w:ascii="Arial" w:cs="Arial" w:eastAsia="Arial" w:hAnsi="Arial"/>
                <w:sz w:val="20"/>
                <w:szCs w:val="20"/>
              </w:rPr>
              <w:t xml:space="preserve">55</w:t>
            </w:r>
          </w:p>
        </w:tc>
        <w:tc>
          <w:tcPr>
            <w:tcW w:type="dxa" w:w="1440"/>
            <w:tcBorders>
              <w:top w:val="single" w:color="CCCCCC" w:sz="1"/>
              <w:left w:val="single" w:color="CCCCCC" w:sz="1"/>
              <w:bottom w:val="single" w:color="CCCCCC" w:sz="1"/>
              <w:right w:val="single" w:color="CCCCCC" w:sz="1"/>
            </w:tcBorders>
            <w:shd w:fill="FEF3E2" w:val="clear"/>
            <w:tcMar>
              <w:top w:type="dxa" w:w="80"/>
              <w:left w:type="dxa" w:w="160"/>
              <w:bottom w:type="dxa" w:w="80"/>
              <w:right w:type="dxa" w:w="160"/>
            </w:tcMar>
          </w:tcPr>
          <w:p>
            <w:pPr>
              <w:jc w:val="center"/>
            </w:pPr>
            <w:r>
              <w:rPr>
                <w:rFonts w:ascii="Arial" w:cs="Arial" w:eastAsia="Arial" w:hAnsi="Arial"/>
                <w:b/>
                <w:bCs/>
                <w:color w:val="B7590A"/>
                <w:sz w:val="20"/>
                <w:szCs w:val="20"/>
              </w:rPr>
              <w:t xml:space="preserve">55</w:t>
            </w:r>
          </w:p>
        </w:tc>
        <w:tc>
          <w:tcPr>
            <w:tcW w:type="dxa" w:w="204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B7590A"/>
                <w:sz w:val="20"/>
                <w:szCs w:val="20"/>
              </w:rPr>
              <w:t xml:space="preserve">Medium — Alice step 2</w:t>
            </w:r>
          </w:p>
        </w:tc>
      </w:tr>
      <w:tr>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sz w:val="20"/>
                <w:szCs w:val="20"/>
              </w:rPr>
              <w:t xml:space="preserve">Predictive cache</w:t>
            </w:r>
          </w:p>
        </w:tc>
        <w:tc>
          <w:tcPr>
            <w:tcW w:type="dxa" w:w="144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center"/>
            </w:pPr>
            <w:r>
              <w:rPr>
                <w:rFonts w:ascii="Arial" w:cs="Arial" w:eastAsia="Arial" w:hAnsi="Arial"/>
                <w:sz w:val="20"/>
                <w:szCs w:val="20"/>
              </w:rPr>
              <w:t xml:space="preserve">82%</w:t>
            </w:r>
          </w:p>
        </w:tc>
        <w:tc>
          <w:tcPr>
            <w:tcW w:type="dxa" w:w="144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center"/>
            </w:pPr>
            <w:r>
              <w:rPr>
                <w:rFonts w:ascii="Arial" w:cs="Arial" w:eastAsia="Arial" w:hAnsi="Arial"/>
                <w:sz w:val="20"/>
                <w:szCs w:val="20"/>
              </w:rPr>
              <w:t xml:space="preserve">85</w:t>
            </w:r>
          </w:p>
        </w:tc>
        <w:tc>
          <w:tcPr>
            <w:tcW w:type="dxa" w:w="1440"/>
            <w:tcBorders>
              <w:top w:val="single" w:color="CCCCCC" w:sz="1"/>
              <w:left w:val="single" w:color="CCCCCC" w:sz="1"/>
              <w:bottom w:val="single" w:color="CCCCCC" w:sz="1"/>
              <w:right w:val="single" w:color="CCCCCC" w:sz="1"/>
            </w:tcBorders>
            <w:shd w:fill="EAF3DE" w:val="clear"/>
            <w:tcMar>
              <w:top w:type="dxa" w:w="80"/>
              <w:left w:type="dxa" w:w="160"/>
              <w:bottom w:type="dxa" w:w="80"/>
              <w:right w:type="dxa" w:w="160"/>
            </w:tcMar>
          </w:tcPr>
          <w:p>
            <w:pPr>
              <w:jc w:val="center"/>
            </w:pPr>
            <w:r>
              <w:rPr>
                <w:rFonts w:ascii="Arial" w:cs="Arial" w:eastAsia="Arial" w:hAnsi="Arial"/>
                <w:b/>
                <w:bCs/>
                <w:color w:val="276221"/>
                <w:sz w:val="20"/>
                <w:szCs w:val="20"/>
              </w:rPr>
              <w:t xml:space="preserve">84</w:t>
            </w:r>
          </w:p>
        </w:tc>
        <w:tc>
          <w:tcPr>
            <w:tcW w:type="dxa" w:w="204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76221"/>
                <w:sz w:val="20"/>
                <w:szCs w:val="20"/>
              </w:rPr>
              <w:t xml:space="preserve">Low — Enfish eligible</w:t>
            </w:r>
          </w:p>
        </w:tc>
      </w:tr>
      <w:tr>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sz w:val="20"/>
                <w:szCs w:val="20"/>
              </w:rPr>
              <w:t xml:space="preserve">Load balancing algo</w:t>
            </w:r>
          </w:p>
        </w:tc>
        <w:tc>
          <w:tcPr>
            <w:tcW w:type="dxa" w:w="144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center"/>
            </w:pPr>
            <w:r>
              <w:rPr>
                <w:rFonts w:ascii="Arial" w:cs="Arial" w:eastAsia="Arial" w:hAnsi="Arial"/>
                <w:sz w:val="20"/>
                <w:szCs w:val="20"/>
              </w:rPr>
              <w:t xml:space="preserve">19%</w:t>
            </w:r>
          </w:p>
        </w:tc>
        <w:tc>
          <w:tcPr>
            <w:tcW w:type="dxa" w:w="144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center"/>
            </w:pPr>
            <w:r>
              <w:rPr>
                <w:rFonts w:ascii="Arial" w:cs="Arial" w:eastAsia="Arial" w:hAnsi="Arial"/>
                <w:sz w:val="20"/>
                <w:szCs w:val="20"/>
              </w:rPr>
              <w:t xml:space="preserve">22</w:t>
            </w:r>
          </w:p>
        </w:tc>
        <w:tc>
          <w:tcPr>
            <w:tcW w:type="dxa" w:w="1440"/>
            <w:tcBorders>
              <w:top w:val="single" w:color="CCCCCC" w:sz="1"/>
              <w:left w:val="single" w:color="CCCCCC" w:sz="1"/>
              <w:bottom w:val="single" w:color="CCCCCC" w:sz="1"/>
              <w:right w:val="single" w:color="CCCCCC" w:sz="1"/>
            </w:tcBorders>
            <w:shd w:fill="FDECEA" w:val="clear"/>
            <w:tcMar>
              <w:top w:type="dxa" w:w="80"/>
              <w:left w:type="dxa" w:w="160"/>
              <w:bottom w:type="dxa" w:w="80"/>
              <w:right w:type="dxa" w:w="160"/>
            </w:tcMar>
          </w:tcPr>
          <w:p>
            <w:pPr>
              <w:jc w:val="center"/>
            </w:pPr>
            <w:r>
              <w:rPr>
                <w:rFonts w:ascii="Arial" w:cs="Arial" w:eastAsia="Arial" w:hAnsi="Arial"/>
                <w:b/>
                <w:bCs/>
                <w:color w:val="C0392B"/>
                <w:sz w:val="20"/>
                <w:szCs w:val="20"/>
              </w:rPr>
              <w:t xml:space="preserve">21</w:t>
            </w:r>
          </w:p>
        </w:tc>
        <w:tc>
          <w:tcPr>
            <w:tcW w:type="dxa" w:w="204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C0392B"/>
                <w:sz w:val="20"/>
                <w:szCs w:val="20"/>
              </w:rPr>
              <w:t xml:space="preserve">High — Recentive risk</w:t>
            </w:r>
          </w:p>
        </w:tc>
      </w:tr>
      <w:tr>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sz w:val="20"/>
                <w:szCs w:val="20"/>
              </w:rPr>
              <w:t xml:space="preserve">Retry orchestration</w:t>
            </w:r>
          </w:p>
        </w:tc>
        <w:tc>
          <w:tcPr>
            <w:tcW w:type="dxa" w:w="144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center"/>
            </w:pPr>
            <w:r>
              <w:rPr>
                <w:rFonts w:ascii="Arial" w:cs="Arial" w:eastAsia="Arial" w:hAnsi="Arial"/>
                <w:sz w:val="20"/>
                <w:szCs w:val="20"/>
              </w:rPr>
              <w:t xml:space="preserve">61%</w:t>
            </w:r>
          </w:p>
        </w:tc>
        <w:tc>
          <w:tcPr>
            <w:tcW w:type="dxa" w:w="144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center"/>
            </w:pPr>
            <w:r>
              <w:rPr>
                <w:rFonts w:ascii="Arial" w:cs="Arial" w:eastAsia="Arial" w:hAnsi="Arial"/>
                <w:sz w:val="20"/>
                <w:szCs w:val="20"/>
              </w:rPr>
              <w:t xml:space="preserve">62</w:t>
            </w:r>
          </w:p>
        </w:tc>
        <w:tc>
          <w:tcPr>
            <w:tcW w:type="dxa" w:w="1440"/>
            <w:tcBorders>
              <w:top w:val="single" w:color="CCCCCC" w:sz="1"/>
              <w:left w:val="single" w:color="CCCCCC" w:sz="1"/>
              <w:bottom w:val="single" w:color="CCCCCC" w:sz="1"/>
              <w:right w:val="single" w:color="CCCCCC" w:sz="1"/>
            </w:tcBorders>
            <w:shd w:fill="FEF3E2" w:val="clear"/>
            <w:tcMar>
              <w:top w:type="dxa" w:w="80"/>
              <w:left w:type="dxa" w:w="160"/>
              <w:bottom w:type="dxa" w:w="80"/>
              <w:right w:type="dxa" w:w="160"/>
            </w:tcMar>
          </w:tcPr>
          <w:p>
            <w:pPr>
              <w:jc w:val="center"/>
            </w:pPr>
            <w:r>
              <w:rPr>
                <w:rFonts w:ascii="Arial" w:cs="Arial" w:eastAsia="Arial" w:hAnsi="Arial"/>
                <w:b/>
                <w:bCs/>
                <w:color w:val="B7590A"/>
                <w:sz w:val="20"/>
                <w:szCs w:val="20"/>
              </w:rPr>
              <w:t xml:space="preserve">61</w:t>
            </w:r>
          </w:p>
        </w:tc>
        <w:tc>
          <w:tcPr>
            <w:tcW w:type="dxa" w:w="204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B7590A"/>
                <w:sz w:val="20"/>
                <w:szCs w:val="20"/>
              </w:rPr>
              <w:t xml:space="preserve">Medium — Desjardins path</w:t>
            </w:r>
          </w:p>
        </w:tc>
      </w:tr>
      <w:tr>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sz w:val="20"/>
                <w:szCs w:val="20"/>
              </w:rPr>
              <w:t xml:space="preserve">Telemetry pipeline</w:t>
            </w:r>
          </w:p>
        </w:tc>
        <w:tc>
          <w:tcPr>
            <w:tcW w:type="dxa" w:w="144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center"/>
            </w:pPr>
            <w:r>
              <w:rPr>
                <w:rFonts w:ascii="Arial" w:cs="Arial" w:eastAsia="Arial" w:hAnsi="Arial"/>
                <w:sz w:val="20"/>
                <w:szCs w:val="20"/>
              </w:rPr>
              <w:t xml:space="preserve">44%</w:t>
            </w:r>
          </w:p>
        </w:tc>
        <w:tc>
          <w:tcPr>
            <w:tcW w:type="dxa" w:w="144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center"/>
            </w:pPr>
            <w:r>
              <w:rPr>
                <w:rFonts w:ascii="Arial" w:cs="Arial" w:eastAsia="Arial" w:hAnsi="Arial"/>
                <w:sz w:val="20"/>
                <w:szCs w:val="20"/>
              </w:rPr>
              <w:t xml:space="preserve">46</w:t>
            </w:r>
          </w:p>
        </w:tc>
        <w:tc>
          <w:tcPr>
            <w:tcW w:type="dxa" w:w="1440"/>
            <w:tcBorders>
              <w:top w:val="single" w:color="CCCCCC" w:sz="1"/>
              <w:left w:val="single" w:color="CCCCCC" w:sz="1"/>
              <w:bottom w:val="single" w:color="CCCCCC" w:sz="1"/>
              <w:right w:val="single" w:color="CCCCCC" w:sz="1"/>
            </w:tcBorders>
            <w:shd w:fill="FEF3E2" w:val="clear"/>
            <w:tcMar>
              <w:top w:type="dxa" w:w="80"/>
              <w:left w:type="dxa" w:w="160"/>
              <w:bottom w:type="dxa" w:w="80"/>
              <w:right w:type="dxa" w:w="160"/>
            </w:tcMar>
          </w:tcPr>
          <w:p>
            <w:pPr>
              <w:jc w:val="center"/>
            </w:pPr>
            <w:r>
              <w:rPr>
                <w:rFonts w:ascii="Arial" w:cs="Arial" w:eastAsia="Arial" w:hAnsi="Arial"/>
                <w:b/>
                <w:bCs/>
                <w:color w:val="B7590A"/>
                <w:sz w:val="20"/>
                <w:szCs w:val="20"/>
              </w:rPr>
              <w:t xml:space="preserve">45</w:t>
            </w:r>
          </w:p>
        </w:tc>
        <w:tc>
          <w:tcPr>
            <w:tcW w:type="dxa" w:w="204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B7590A"/>
                <w:sz w:val="20"/>
                <w:szCs w:val="20"/>
              </w:rPr>
              <w:t xml:space="preserve">Medium — needs framing</w:t>
            </w:r>
          </w:p>
        </w:tc>
      </w:tr>
    </w:tbl>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590A" w:sz="1"/>
              <w:left w:val="single" w:color="B7590A" w:sz="8"/>
              <w:bottom w:val="single" w:color="B7590A" w:sz="1"/>
              <w:right w:val="single" w:color="B7590A" w:sz="1"/>
            </w:tcBorders>
            <w:shd w:fill="FEF3E2" w:val="clear"/>
            <w:tcMar>
              <w:top w:type="dxa" w:w="120"/>
              <w:left w:type="dxa" w:w="200"/>
              <w:bottom w:type="dxa" w:w="120"/>
              <w:right w:type="dxa" w:w="200"/>
            </w:tcMar>
          </w:tcPr>
          <w:p>
            <w:pPr>
              <w:spacing w:after="40"/>
            </w:pPr>
            <w:r>
              <w:rPr>
                <w:rFonts w:ascii="Arial" w:cs="Arial" w:eastAsia="Arial" w:hAnsi="Arial"/>
                <w:b/>
                <w:bCs/>
                <w:color w:val="B7590A"/>
                <w:sz w:val="18"/>
                <w:szCs w:val="18"/>
              </w:rPr>
              <w:t xml:space="preserve">LEGAL DISCLAIMER</w:t>
            </w:r>
          </w:p>
          <w:p>
            <w:pPr>
              <w:spacing w:after="0" w:before="0"/>
            </w:pPr>
            <w:r>
              <w:rPr>
                <w:rFonts w:ascii="Arial" w:cs="Arial" w:eastAsia="Arial" w:hAnsi="Arial"/>
                <w:color w:val="222222"/>
                <w:sz w:val="22"/>
                <w:szCs w:val="22"/>
              </w:rPr>
              <w:t xml:space="preserve">This invention disclosure and the AI Patentability Score contained herein are generated by an automated tool and do not constitute legal advice. Patentability, inventorship, and claim validity are legal determinations requiring assessment by a licensed patent attorney. This document is intended solely as a structured starting point for patent counsel. All claim language must be reviewed, refined, and confirmed before filing. AI Patentability software and its developers assume no liability for reliance on this document.</w:t>
            </w:r>
          </w:p>
        </w:tc>
      </w:tr>
    </w:tbl>
    <w:p>
      <w:pPr>
        <w:spacing w:after="0" w:before="200"/>
      </w:pPr>
      <w:r>
        <w:t xml:space="preserve"/>
      </w:r>
    </w:p>
    <w:p>
      <w:pPr>
        <w:spacing w:after="40" w:before="0"/>
        <w:jc w:val="center"/>
      </w:pPr>
      <w:r>
        <w:rPr>
          <w:rFonts w:ascii="Arial" w:cs="Arial" w:eastAsia="Arial" w:hAnsi="Arial"/>
          <w:i/>
          <w:iCs/>
          <w:color w:val="4A5568"/>
          <w:sz w:val="20"/>
          <w:szCs w:val="20"/>
        </w:rPr>
        <w:t xml:space="preserve">— End of Invention Disclosure IDF-2026-0042 —</w:t>
      </w:r>
    </w:p>
    <w:p>
      <w:pPr>
        <w:jc w:val="center"/>
      </w:pPr>
      <w:r>
        <w:rPr>
          <w:rFonts w:ascii="Arial" w:cs="Arial" w:eastAsia="Arial" w:hAnsi="Arial"/>
          <w:color w:val="4A5568"/>
          <w:sz w:val="18"/>
          <w:szCs w:val="18"/>
        </w:rPr>
        <w:t xml:space="preserve">Generated by AI Patentability  |  April 11, 2026  |  aipatentability.com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A8" w:sz="4" w:space="6"/>
      </w:pBdr>
    </w:pPr>
    <w:r>
      <w:rPr>
        <w:rFonts w:ascii="Arial" w:cs="Arial" w:eastAsia="Arial" w:hAnsi="Arial"/>
        <w:color w:val="4A5568"/>
        <w:sz w:val="16"/>
        <w:szCs w:val="16"/>
      </w:rPr>
      <w:t xml:space="preserve">AI Patentability  |  IDF-2026-0042  |  For patent counsel review only  |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4" w:space="6"/>
      </w:pBdr>
    </w:pPr>
    <w:r>
      <w:rPr>
        <w:rFonts w:ascii="Arial" w:cs="Arial" w:eastAsia="Arial" w:hAnsi="Arial"/>
        <w:color w:val="C0392B"/>
        <w:sz w:val="16"/>
        <w:szCs w:val="16"/>
      </w:rPr>
      <w:t xml:space="preserve">CONFIDENTIAL — ATTORNEY-CLIENT PRIVILEGED   |   AI Patentability — Invention Disclosure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3A6B"/>
      <w:sz w:val="30"/>
      <w:szCs w:val="30"/>
    </w:rPr>
  </w:style>
  <w:style w:type="paragraph" w:styleId="Heading2">
    <w:name w:val="Heading 2"/>
    <w:basedOn w:val="Normal"/>
    <w:next w:val="Normal"/>
    <w:qFormat/>
    <w:pPr>
      <w:spacing w:after="80" w:before="280"/>
      <w:outlineLvl w:val="1"/>
    </w:pPr>
    <w:rPr>
      <w:rFonts w:ascii="Arial" w:cs="Arial" w:eastAsia="Arial" w:hAnsi="Arial"/>
      <w:b/>
      <w:bCs/>
      <w:color w:val="2563A8"/>
      <w:sz w:val="24"/>
      <w:szCs w:val="24"/>
    </w:rPr>
  </w:style>
  <w:style w:type="paragraph" w:styleId="Heading3">
    <w:name w:val="Heading 3"/>
    <w:basedOn w:val="Normal"/>
    <w:next w:val="Normal"/>
    <w:qFormat/>
    <w:pPr>
      <w:spacing w:after="60" w:before="200"/>
      <w:outlineLvl w:val="2"/>
    </w:pPr>
    <w:rPr>
      <w:rFonts w:ascii="Arial" w:cs="Arial" w:eastAsia="Arial" w:hAnsi="Arial"/>
      <w:b/>
      <w:bCs/>
      <w:color w:val="4A556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2026-04-11T19:32:43.627Z</dcterms:created>
  <dcterms:modified xsi:type="dcterms:W3CDTF">2026-04-11T19:32:43.628Z</dcterms:modified>
</cp:coreProperties>
</file>

<file path=docProps/custom.xml><?xml version="1.0" encoding="utf-8"?>
<Properties xmlns="http://schemas.openxmlformats.org/officeDocument/2006/custom-properties" xmlns:vt="http://schemas.openxmlformats.org/officeDocument/2006/docPropsVTypes"/>
</file>