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60" w:before="0"/>
        <w:jc w:val="center"/>
      </w:pPr>
      <w:r>
        <w:rPr>
          <w:rFonts w:ascii="Arial" w:cs="Arial" w:eastAsia="Arial" w:hAnsi="Arial"/>
          <w:b/>
          <w:bCs/>
          <w:color w:val="1B3A6B"/>
          <w:sz w:val="52"/>
          <w:szCs w:val="52"/>
        </w:rPr>
        <w:t xml:space="preserve">PATENT APPLICATION SPECIFICATION</w:t>
      </w:r>
    </w:p>
    <w:p>
      <w:pPr>
        <w:spacing w:after="60" w:before="0"/>
        <w:jc w:val="center"/>
      </w:pPr>
      <w:r>
        <w:rPr>
          <w:rFonts w:ascii="Arial" w:cs="Arial" w:eastAsia="Arial" w:hAnsi="Arial"/>
          <w:i/>
          <w:iCs/>
          <w:color w:val="2563A8"/>
          <w:sz w:val="26"/>
          <w:szCs w:val="26"/>
        </w:rPr>
        <w:t xml:space="preserve">Draft for Patent Counsel Review</w:t>
      </w:r>
    </w:p>
    <w:p>
      <w:pPr>
        <w:spacing w:after="400" w:before="0"/>
        <w:jc w:val="center"/>
      </w:pPr>
      <w:r>
        <w:rPr>
          <w:rFonts w:ascii="Arial" w:cs="Arial" w:eastAsia="Arial" w:hAnsi="Arial"/>
          <w:color w:val="4A5568"/>
          <w:sz w:val="20"/>
          <w:szCs w:val="20"/>
        </w:rPr>
        <w:t xml:space="preserve">Alice/Enfish framing — Recentive and Rensselaer distinguished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A8" w:sz="12"/>
              <w:left w:val="single" w:color="FFFFFF" w:sz="1"/>
              <w:bottom w:val="single" w:color="2563A8" w:sz="12"/>
              <w:right w:val="single" w:color="FFFFFF" w:sz="1"/>
            </w:tcBorders>
            <w:shd w:fill="E8F0FD" w:val="clear"/>
            <w:tcMar>
              <w:top w:type="dxa" w:w="240"/>
              <w:left w:type="dxa" w:w="360"/>
              <w:bottom w:type="dxa" w:w="240"/>
              <w:right w:type="dxa" w:w="360"/>
            </w:tcMar>
          </w:tcPr>
          <w:p>
            <w:pPr>
              <w:spacing w:after="120" w:before="60"/>
            </w:pPr>
            <w:r>
              <w:rPr>
                <w:rFonts w:ascii="Arial" w:cs="Arial" w:eastAsia="Arial" w:hAnsi="Arial"/>
                <w:b/>
                <w:bCs/>
                <w:color w:val="1B3A6B"/>
                <w:sz w:val="23"/>
                <w:szCs w:val="23"/>
              </w:rPr>
              <w:t xml:space="preserve">Title:  System and Method for Variance-Adaptive Prefetch Window Sizing in Queue-Aware Cache Systems</w:t>
            </w:r>
          </w:p>
          <w:p>
            <w:pPr>
              <w:spacing w:after="0" w:before="60"/>
            </w:pPr>
            <w:r>
              <w:t xml:space="preserve"/>
            </w:r>
          </w:p>
          <w:p>
            <w:pPr>
              <w:spacing w:after="120" w:before="60"/>
            </w:pPr>
            <w:r>
              <w:rPr>
                <w:rFonts w:ascii="Arial" w:cs="Arial" w:eastAsia="Arial" w:hAnsi="Arial"/>
                <w:color w:val="333333"/>
                <w:sz w:val="22"/>
                <w:szCs w:val="22"/>
              </w:rPr>
              <w:t xml:space="preserve">Inventor(s):  [TO BE COMPLETED BY COUNSEL — natural persons only]</w:t>
            </w:r>
          </w:p>
          <w:p>
            <w:pPr>
              <w:spacing w:after="120" w:before="60"/>
            </w:pPr>
            <w:r>
              <w:rPr>
                <w:rFonts w:ascii="Arial" w:cs="Arial" w:eastAsia="Arial" w:hAnsi="Arial"/>
                <w:color w:val="333333"/>
                <w:sz w:val="22"/>
                <w:szCs w:val="22"/>
              </w:rPr>
              <w:t xml:space="preserve">Application type:  Non-provisional utility — 35 U.S.C. § 111(a)</w:t>
            </w:r>
          </w:p>
          <w:p>
            <w:pPr>
              <w:spacing w:after="120" w:before="60"/>
            </w:pPr>
            <w:r>
              <w:rPr>
                <w:rFonts w:ascii="Arial" w:cs="Arial" w:eastAsia="Arial" w:hAnsi="Arial"/>
                <w:color w:val="333333"/>
                <w:sz w:val="22"/>
                <w:szCs w:val="22"/>
              </w:rPr>
              <w:t xml:space="preserve">Filing authority:  United States Patent and Trademark Office</w:t>
            </w:r>
          </w:p>
          <w:p>
            <w:pPr>
              <w:spacing w:after="120" w:before="60"/>
            </w:pPr>
            <w:r>
              <w:rPr>
                <w:rFonts w:ascii="Arial" w:cs="Arial" w:eastAsia="Arial" w:hAnsi="Arial"/>
                <w:color w:val="333333"/>
                <w:sz w:val="22"/>
                <w:szCs w:val="22"/>
              </w:rPr>
              <w:t xml:space="preserve">Priority date:  April 10, 2026 (conception date — journal entry on record)</w:t>
            </w:r>
          </w:p>
          <w:p>
            <w:pPr>
              <w:spacing w:after="120" w:before="60"/>
            </w:pPr>
            <w:r>
              <w:rPr>
                <w:rFonts w:ascii="Arial" w:cs="Arial" w:eastAsia="Arial" w:hAnsi="Arial"/>
                <w:color w:val="333333"/>
                <w:sz w:val="22"/>
                <w:szCs w:val="22"/>
              </w:rPr>
              <w:t xml:space="preserve">Disclosure ID:  IDF-2026-0042 (Predictive Cache component)</w:t>
            </w:r>
          </w:p>
          <w:p>
            <w:pPr>
              <w:spacing w:after="120" w:before="60"/>
            </w:pPr>
            <w:r>
              <w:rPr>
                <w:rFonts w:ascii="Arial" w:cs="Arial" w:eastAsia="Arial" w:hAnsi="Arial"/>
                <w:color w:val="4A5568"/>
                <w:sz w:val="22"/>
                <w:szCs w:val="22"/>
              </w:rPr>
              <w:t xml:space="preserve">Prepared by:  AI Patentability  |  April 11, 2026</w:t>
            </w:r>
          </w:p>
          <w:p>
            <w:pPr>
              <w:spacing w:after="0" w:before="40"/>
            </w:pPr>
            <w:r>
              <w:t xml:space="preserve"/>
            </w:r>
          </w:p>
          <w:p>
            <w:pPr>
              <w:spacing w:after="120" w:before="60"/>
            </w:pPr>
            <w:r>
              <w:rPr>
                <w:rFonts w:ascii="Arial" w:cs="Arial" w:eastAsia="Arial" w:hAnsi="Arial"/>
                <w:b/>
                <w:bCs/>
                <w:color w:val="C0392B"/>
                <w:sz w:val="22"/>
                <w:szCs w:val="22"/>
              </w:rPr>
              <w:t xml:space="preserve">CLASSIFICATION:  CONFIDENTIAL — ATTORNEY-CLIENT PRIVILEGED WORK PRODUCT</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10"/>
              <w:bottom w:val="single" w:color="B7590A" w:sz="1"/>
              <w:right w:val="single" w:color="B7590A" w:sz="1"/>
            </w:tcBorders>
            <w:shd w:fill="FEF3E2" w:val="clear"/>
            <w:tcMar>
              <w:top w:type="dxa" w:w="140"/>
              <w:left w:type="dxa" w:w="220"/>
              <w:bottom w:type="dxa" w:w="140"/>
              <w:right w:type="dxa" w:w="220"/>
            </w:tcMar>
          </w:tcPr>
          <w:p>
            <w:pPr>
              <w:spacing w:after="40"/>
            </w:pPr>
            <w:r>
              <w:rPr>
                <w:rFonts w:ascii="Arial" w:cs="Arial" w:eastAsia="Arial" w:hAnsi="Arial"/>
                <w:b/>
                <w:bCs/>
                <w:color w:val="B7590A"/>
                <w:sz w:val="18"/>
                <w:szCs w:val="18"/>
              </w:rPr>
              <w:t xml:space="preserve">CRITICAL NOTICE TO PATENT COUNSEL</w:t>
            </w:r>
          </w:p>
          <w:p>
            <w:pPr>
              <w:spacing w:after="60" w:before="0"/>
            </w:pPr>
            <w:r>
              <w:rPr>
                <w:rFonts w:ascii="Arial" w:cs="Arial" w:eastAsia="Arial" w:hAnsi="Arial"/>
                <w:color w:val="222222"/>
                <w:sz w:val="20"/>
                <w:szCs w:val="20"/>
              </w:rPr>
              <w:t xml:space="preserve">This draft specification is prepared by AI Patentability software to assist counsel in preparing a non-provisional patent application. It does not constitute legal advice. All claim language, specification text, and legal arguments must be reviewed, confirmed for written description support, and revised by a licensed patent attorney prior to filing.</w:t>
            </w:r>
          </w:p>
          <w:p>
            <w:pPr>
              <w:spacing w:after="60" w:before="0"/>
            </w:pPr>
            <w:r>
              <w:rPr>
                <w:rFonts w:ascii="Arial" w:cs="Arial" w:eastAsia="Arial" w:hAnsi="Arial"/>
                <w:color w:val="222222"/>
                <w:sz w:val="20"/>
                <w:szCs w:val="20"/>
              </w:rPr>
              <w:t xml:space="preserve">The specification is specifically drafted to address the patent eligibility framework established in Alice Corp. v. CLS Bank Int'l, 573 U.S. 208 (2014), as applied to software and computer-implemented inventions in Enfish, LLC v. Microsoft Corp., 822 F.3d 1327 (Fed. Cir. 2016), Recentive Analytics, Inc. v. Fox Corp., 134 F.4th 1205 (Fed. Cir. 2025) (cert. denied), and Rensselaer Polytechnic Institute v. Amazon.com, Inc., No. 2024-1725 (Fed. Cir. Feb. 24, 2026). Counsel should evaluate 35 U.S.C. § 103 (obviousness) independently.</w:t>
            </w:r>
          </w:p>
        </w:tc>
      </w:tr>
    </w:tbl>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Counsel Notes: Legal Strategy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0"/>
              <w:bottom w:val="single" w:color="2563A8" w:sz="1"/>
              <w:right w:val="single" w:color="2563A8" w:sz="1"/>
            </w:tcBorders>
            <w:shd w:fill="E8F0FD" w:val="clear"/>
            <w:tcMar>
              <w:top w:type="dxa" w:w="140"/>
              <w:left w:type="dxa" w:w="220"/>
              <w:bottom w:type="dxa" w:w="140"/>
              <w:right w:type="dxa" w:w="220"/>
            </w:tcMar>
          </w:tcPr>
          <w:p>
            <w:pPr>
              <w:spacing w:after="40"/>
            </w:pPr>
            <w:r>
              <w:rPr>
                <w:rFonts w:ascii="Arial" w:cs="Arial" w:eastAsia="Arial" w:hAnsi="Arial"/>
                <w:b/>
                <w:bCs/>
                <w:color w:val="2563A8"/>
                <w:sz w:val="18"/>
                <w:szCs w:val="18"/>
              </w:rPr>
              <w:t xml:space="preserve">WHY THIS CLAIM SURVIVES ALICE — STEP 1 ANALYSIS</w:t>
            </w:r>
          </w:p>
          <w:p>
            <w:pPr>
              <w:spacing w:after="60" w:before="0"/>
            </w:pPr>
            <w:r>
              <w:rPr>
                <w:rFonts w:ascii="Arial" w:cs="Arial" w:eastAsia="Arial" w:hAnsi="Arial"/>
                <w:color w:val="222222"/>
                <w:sz w:val="20"/>
                <w:szCs w:val="20"/>
              </w:rPr>
              <w:t xml:space="preserve">The central legal challenge for any software patent is Alice Step 1: is the claim directed to an abstract idea? The defense here rests on Enfish v. Microsoft (Fed. Cir. 2016). In Enfish, the Federal Circuit held that claims directed to a specific improvement in how a computer functions — as opposed to claims that merely use a computer to implement an abstract process — are not directed to an abstract idea.</w:t>
            </w:r>
          </w:p>
          <w:p>
            <w:pPr>
              <w:spacing w:after="60" w:before="0"/>
            </w:pPr>
            <w:r>
              <w:rPr>
                <w:rFonts w:ascii="Arial" w:cs="Arial" w:eastAsia="Arial" w:hAnsi="Arial"/>
                <w:color w:val="222222"/>
                <w:sz w:val="20"/>
                <w:szCs w:val="20"/>
              </w:rPr>
              <w:t xml:space="preserve">The sliding prefetch window is an improvement to cache operation itself. It changes the structural behavior of the cache's prefetching mechanism based on real-time measurement of queue arrival statistics. The cache does not simply perform a known function in a new context. The adaptive window mechanism is a new way for the cache to function — one that did not exist in prior art prefetching systems.</w:t>
            </w:r>
          </w:p>
          <w:p>
            <w:pPr>
              <w:spacing w:after="60" w:before="0"/>
            </w:pPr>
            <w:r>
              <w:rPr>
                <w:rFonts w:ascii="Arial" w:cs="Arial" w:eastAsia="Arial" w:hAnsi="Arial"/>
                <w:color w:val="222222"/>
                <w:sz w:val="20"/>
                <w:szCs w:val="20"/>
              </w:rPr>
              <w:t xml:space="preserve">CONTRAST WITH RECENTIVE: In Recentive Analytics v. Fox Corp. (Fed. Cir. 2025), the court invalidated patents that applied generic machine learning models to a new data environment (event scheduling and network maps). The court held this was merely a new environment for a known technique. The present invention does not apply a known technique to a new environment. The variance-adaptive window sizing algorithm IS the technique — it is not a known algorithm applied to a new field of caching.</w:t>
            </w:r>
          </w:p>
          <w:p>
            <w:pPr>
              <w:spacing w:after="60" w:before="0"/>
            </w:pPr>
            <w:r>
              <w:rPr>
                <w:rFonts w:ascii="Arial" w:cs="Arial" w:eastAsia="Arial" w:hAnsi="Arial"/>
                <w:color w:val="222222"/>
                <w:sz w:val="20"/>
                <w:szCs w:val="20"/>
              </w:rPr>
              <w:t xml:space="preserve">CONTRAST WITH RENSSELAER: In Rensselaer v. Amazon (Fed. Cir. 2026), the court held that applying case-based reasoning (a known AI technique) to natural language processing (a new environment) was abstract. The present claims recite a specific, deterministic algorithm for computing a rolling variance and mapping it through a threshold function to a window size. This is not an application of a known AI or machine learning technique to a new environment. It is a novel deterministic algorithm.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221" w:sz="1"/>
              <w:left w:val="single" w:color="276221" w:sz="10"/>
              <w:bottom w:val="single" w:color="276221" w:sz="1"/>
              <w:right w:val="single" w:color="276221" w:sz="1"/>
            </w:tcBorders>
            <w:shd w:fill="EAF3DE" w:val="clear"/>
            <w:tcMar>
              <w:top w:type="dxa" w:w="140"/>
              <w:left w:type="dxa" w:w="220"/>
              <w:bottom w:type="dxa" w:w="140"/>
              <w:right w:type="dxa" w:w="220"/>
            </w:tcMar>
          </w:tcPr>
          <w:p>
            <w:pPr>
              <w:spacing w:after="40"/>
            </w:pPr>
            <w:r>
              <w:rPr>
                <w:rFonts w:ascii="Arial" w:cs="Arial" w:eastAsia="Arial" w:hAnsi="Arial"/>
                <w:b/>
                <w:bCs/>
                <w:color w:val="276221"/>
                <w:sz w:val="18"/>
                <w:szCs w:val="18"/>
              </w:rPr>
              <w:t xml:space="preserve">WHY THIS CLAIM SURVIVES ALICE — STEP 2 ANALYSIS</w:t>
            </w:r>
          </w:p>
          <w:p>
            <w:pPr>
              <w:spacing w:after="60" w:before="0"/>
            </w:pPr>
            <w:r>
              <w:rPr>
                <w:rFonts w:ascii="Arial" w:cs="Arial" w:eastAsia="Arial" w:hAnsi="Arial"/>
                <w:color w:val="222222"/>
                <w:sz w:val="20"/>
                <w:szCs w:val="20"/>
              </w:rPr>
              <w:t xml:space="preserve">Even if an examiner finds Step 1 satisfied (claims directed to abstract idea), Step 2 asks whether the claim elements — individually or as an ordered combination — supply an inventive concept sufficient to transform the claim into a patent-eligible application.</w:t>
            </w:r>
          </w:p>
          <w:p>
            <w:pPr>
              <w:spacing w:after="60" w:before="0"/>
            </w:pPr>
            <w:r>
              <w:rPr>
                <w:rFonts w:ascii="Arial" w:cs="Arial" w:eastAsia="Arial" w:hAnsi="Arial"/>
                <w:color w:val="222222"/>
                <w:sz w:val="20"/>
                <w:szCs w:val="20"/>
              </w:rPr>
              <w:t xml:space="preserve">The inventive concept here is the specific combination of three elements that, together, have not previously been used in a cache prefetching system: (1) computing a rolling variance of inter-arrival times rather than a simple moving average, which uniquely characterizes the bursty nature of the workload; (2) applying a threshold function to that variance to switch between two pre-computed window sizes rather than continuously interpolating, which produces a predictable and computationally efficient mechanism; and (3) weighting the selected window by current queue depth, which creates a feedback loop between the cache prefetching layer and the queueing layer that is architecturally novel.</w:t>
            </w:r>
          </w:p>
          <w:p>
            <w:pPr>
              <w:spacing w:after="60" w:before="0"/>
            </w:pPr>
            <w:r>
              <w:rPr>
                <w:rFonts w:ascii="Arial" w:cs="Arial" w:eastAsia="Arial" w:hAnsi="Arial"/>
                <w:color w:val="222222"/>
                <w:sz w:val="20"/>
                <w:szCs w:val="20"/>
              </w:rPr>
              <w:t xml:space="preserve">No single element of this combination is individually novel in isolation, but the ordered combination applied to queue-aware cache prefetching has not been taught or suggested by any prior art known to the inventors. This is a classic Step 2 inventive concept: an unconventional arrangement of components that achieves a result not achievable by their conventional individual use. See BASCOM Global Internet Services, Inc. v. AT&amp;T Mobility LLC, 827 F.3d 1341 (Fed. Cir. 2016).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Legal authority</w:t>
            </w:r>
          </w:p>
        </w:tc>
        <w:tc>
          <w:tcPr>
            <w:tcW w:type="dxa" w:w="616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Role in this specification</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60"/>
              <w:bottom w:type="dxa" w:w="80"/>
              <w:right w:type="dxa" w:w="160"/>
            </w:tcMar>
          </w:tcPr>
          <w:p>
            <w:r>
              <w:rPr>
                <w:rFonts w:ascii="Arial" w:cs="Arial" w:eastAsia="Arial" w:hAnsi="Arial"/>
                <w:b/>
                <w:bCs/>
                <w:color w:val="333333"/>
                <w:sz w:val="20"/>
                <w:szCs w:val="20"/>
              </w:rPr>
              <w:t xml:space="preserve">Enfish v. Microsoft (Fed. Cir. 2016)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Primary positive authority — claims directed to improvement in computer functioning are not abstract at Alice Step 1. The variance-adaptive window improves cache functioning itself.</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60"/>
              <w:bottom w:type="dxa" w:w="80"/>
              <w:right w:type="dxa" w:w="160"/>
            </w:tcMar>
          </w:tcPr>
          <w:p>
            <w:r>
              <w:rPr>
                <w:rFonts w:ascii="Arial" w:cs="Arial" w:eastAsia="Arial" w:hAnsi="Arial"/>
                <w:b/>
                <w:bCs/>
                <w:color w:val="333333"/>
                <w:sz w:val="20"/>
                <w:szCs w:val="20"/>
              </w:rPr>
              <w:t xml:space="preserve">BASCOM v. AT&amp;T (Fed. Cir. 2016)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Step 2 fallback — unconventional arrangement of known components can supply inventive concept. The rolling variance + threshold + queue depth combination is that unconventional arrangement.</w:t>
            </w:r>
          </w:p>
        </w:tc>
      </w:tr>
      <w:tr>
        <w:tc>
          <w:tcPr>
            <w:tcW w:type="dxa" w:w="32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333333"/>
                <w:sz w:val="20"/>
                <w:szCs w:val="20"/>
              </w:rPr>
              <w:t xml:space="preserve">Recentive Analytics v. Fox (Fed. Cir. 2025)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Primary threat — generic ML to new environment is abstract. Distinguished: the present algorithm is not generic ML and is not applied to a new environment — it IS a new algorithm.</w:t>
            </w:r>
          </w:p>
        </w:tc>
      </w:tr>
      <w:tr>
        <w:tc>
          <w:tcPr>
            <w:tcW w:type="dxa" w:w="32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333333"/>
                <w:sz w:val="20"/>
                <w:szCs w:val="20"/>
              </w:rPr>
              <w:t xml:space="preserve">Rensselaer v. Amazon (Fed. Cir.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Secondary threat — known AI to new domain is abstract. Distinguished: the present algorithm is deterministic, not AI or ML, and constitutes a new technique rather than a new application.</w:t>
            </w:r>
          </w:p>
        </w:tc>
      </w:tr>
      <w:tr>
        <w:tc>
          <w:tcPr>
            <w:tcW w:type="dxa" w:w="320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r>
              <w:rPr>
                <w:rFonts w:ascii="Arial" w:cs="Arial" w:eastAsia="Arial" w:hAnsi="Arial"/>
                <w:b/>
                <w:bCs/>
                <w:color w:val="333333"/>
                <w:sz w:val="20"/>
                <w:szCs w:val="20"/>
              </w:rPr>
              <w:t xml:space="preserve">Alice Corp. v. CLS Bank (SCOTUS 2014)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Foundational two-step eligibility test. Claims survive both steps — see analysis above.</w:t>
            </w:r>
          </w:p>
        </w:tc>
      </w:tr>
    </w:tbl>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Specification — Begin Filing Text Below This 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0"/>
              <w:bottom w:val="single" w:color="888888" w:sz="1"/>
              <w:right w:val="single" w:color="888888" w:sz="1"/>
            </w:tcBorders>
            <w:shd w:fill="F4F6FA" w:val="clear"/>
            <w:tcMar>
              <w:top w:type="dxa" w:w="140"/>
              <w:left w:type="dxa" w:w="220"/>
              <w:bottom w:type="dxa" w:w="140"/>
              <w:right w:type="dxa" w:w="220"/>
            </w:tcMar>
          </w:tcPr>
          <w:p>
            <w:pPr>
              <w:spacing w:after="40"/>
            </w:pPr>
            <w:r>
              <w:rPr>
                <w:rFonts w:ascii="Arial" w:cs="Arial" w:eastAsia="Arial" w:hAnsi="Arial"/>
                <w:b/>
                <w:bCs/>
                <w:color w:val="555555"/>
                <w:sz w:val="18"/>
                <w:szCs w:val="18"/>
              </w:rPr>
              <w:t xml:space="preserve">COUNSEL NOTE</w:t>
            </w:r>
          </w:p>
          <w:p>
            <w:pPr>
              <w:spacing w:after="60" w:before="0"/>
            </w:pPr>
            <w:r>
              <w:rPr>
                <w:rFonts w:ascii="Arial" w:cs="Arial" w:eastAsia="Arial" w:hAnsi="Arial"/>
                <w:color w:val="222222"/>
                <w:sz w:val="20"/>
                <w:szCs w:val="20"/>
              </w:rPr>
              <w:t xml:space="preserve">The text below this heading constitutes the specification as it would appear in the filed application. Everything above is preparation material for counsel and should be removed before filing.</w:t>
            </w:r>
          </w:p>
        </w:tc>
      </w:tr>
    </w:tbl>
    <w:p>
      <w:pPr>
        <w:spacing w:after="0" w:before="120"/>
      </w:pPr>
      <w:r>
        <w:t xml:space="preserve"/>
      </w:r>
    </w:p>
    <w:p>
      <w:pPr>
        <w:pStyle w:val="Heading2"/>
        <w:spacing w:after="80" w:before="300"/>
      </w:pPr>
      <w:r>
        <w:rPr>
          <w:rFonts w:ascii="Arial" w:cs="Arial" w:eastAsia="Arial" w:hAnsi="Arial"/>
          <w:b/>
          <w:bCs/>
          <w:color w:val="2563A8"/>
          <w:sz w:val="24"/>
          <w:szCs w:val="24"/>
        </w:rPr>
        <w:t xml:space="preserve">Title of Invention</w:t>
      </w:r>
    </w:p>
    <w:p>
      <w:pPr>
        <w:spacing w:after="120" w:before="60"/>
      </w:pPr>
      <w:r>
        <w:rPr>
          <w:rFonts w:ascii="Arial" w:cs="Arial" w:eastAsia="Arial" w:hAnsi="Arial"/>
          <w:color w:val="222222"/>
          <w:sz w:val="22"/>
          <w:szCs w:val="22"/>
        </w:rPr>
        <w:t xml:space="preserve">System and Method for Variance-Adaptive Prefetch Window Sizing in Queue-Aware Cache Systems</w:t>
      </w:r>
    </w:p>
    <w:p>
      <w:pPr>
        <w:spacing w:after="0" w:before="80"/>
      </w:pPr>
      <w:r>
        <w:t xml:space="preserve"/>
      </w:r>
    </w:p>
    <w:p>
      <w:pPr>
        <w:pStyle w:val="Heading2"/>
        <w:spacing w:after="80" w:before="300"/>
      </w:pPr>
      <w:r>
        <w:rPr>
          <w:rFonts w:ascii="Arial" w:cs="Arial" w:eastAsia="Arial" w:hAnsi="Arial"/>
          <w:b/>
          <w:bCs/>
          <w:color w:val="2563A8"/>
          <w:sz w:val="24"/>
          <w:szCs w:val="24"/>
        </w:rPr>
        <w:t xml:space="preserve">Cross-Reference to Related Applications</w:t>
      </w:r>
    </w:p>
    <w:p>
      <w:pPr>
        <w:spacing w:after="120" w:before="60"/>
      </w:pPr>
      <w:r>
        <w:rPr>
          <w:rFonts w:ascii="Arial" w:cs="Arial" w:eastAsia="Arial" w:hAnsi="Arial"/>
          <w:color w:val="222222"/>
          <w:sz w:val="22"/>
          <w:szCs w:val="22"/>
        </w:rPr>
        <w:t xml:space="preserve">[Counsel to complete: insert any provisional application numbers, continuation-in-part relationships, or foreign priority claims as applicable under 35 U.S.C. § 119 / § 120.]</w:t>
      </w:r>
    </w:p>
    <w:p>
      <w:pPr>
        <w:spacing w:after="0" w:before="80"/>
      </w:pPr>
      <w:r>
        <w:t xml:space="preserve"/>
      </w:r>
    </w:p>
    <w:p>
      <w:pPr>
        <w:pStyle w:val="Heading2"/>
        <w:spacing w:after="80" w:before="300"/>
      </w:pPr>
      <w:r>
        <w:rPr>
          <w:rFonts w:ascii="Arial" w:cs="Arial" w:eastAsia="Arial" w:hAnsi="Arial"/>
          <w:b/>
          <w:bCs/>
          <w:color w:val="2563A8"/>
          <w:sz w:val="24"/>
          <w:szCs w:val="24"/>
        </w:rPr>
        <w:t xml:space="preserve">Statement Regarding Federally Sponsored Research</w:t>
      </w:r>
    </w:p>
    <w:p>
      <w:pPr>
        <w:spacing w:after="120" w:before="60"/>
      </w:pPr>
      <w:r>
        <w:rPr>
          <w:rFonts w:ascii="Arial" w:cs="Arial" w:eastAsia="Arial" w:hAnsi="Arial"/>
          <w:color w:val="222222"/>
          <w:sz w:val="22"/>
          <w:szCs w:val="22"/>
        </w:rPr>
        <w:t xml:space="preserve">Not applicable.</w:t>
      </w:r>
    </w:p>
    <w:p>
      <w:pPr>
        <w:spacing w:after="0" w:before="80"/>
      </w:pPr>
      <w:r>
        <w:t xml:space="preserve"/>
      </w:r>
    </w:p>
    <w:p>
      <w:pPr>
        <w:pStyle w:val="Heading2"/>
        <w:spacing w:after="80" w:before="300"/>
      </w:pPr>
      <w:r>
        <w:rPr>
          <w:rFonts w:ascii="Arial" w:cs="Arial" w:eastAsia="Arial" w:hAnsi="Arial"/>
          <w:b/>
          <w:bCs/>
          <w:color w:val="2563A8"/>
          <w:sz w:val="24"/>
          <w:szCs w:val="24"/>
        </w:rPr>
        <w:t xml:space="preserve">Field of the Invention</w:t>
      </w:r>
    </w:p>
    <w:p>
      <w:pPr>
        <w:spacing w:after="120" w:before="60"/>
      </w:pPr>
      <w:r>
        <w:rPr>
          <w:rFonts w:ascii="Arial" w:cs="Arial" w:eastAsia="Arial" w:hAnsi="Arial"/>
          <w:color w:val="222222"/>
          <w:sz w:val="22"/>
          <w:szCs w:val="22"/>
        </w:rPr>
        <w:t xml:space="preserve">The present invention relates to computer-implemented cache management systems, and more particularly to methods and systems for dynamically sizing a prefetch window in a data cache based on real-time statistical measurement of job arrival patterns in an associated task queue, wherein the prefetch window sizing mechanism constitutes a structural improvement to the operation of the cache itself.</w:t>
      </w:r>
    </w:p>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Background of the Invention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10"/>
              <w:bottom w:val="single" w:color="B7590A" w:sz="1"/>
              <w:right w:val="single" w:color="B7590A" w:sz="1"/>
            </w:tcBorders>
            <w:shd w:fill="FEF3E2" w:val="clear"/>
            <w:tcMar>
              <w:top w:type="dxa" w:w="140"/>
              <w:left w:type="dxa" w:w="220"/>
              <w:bottom w:type="dxa" w:w="140"/>
              <w:right w:type="dxa" w:w="220"/>
            </w:tcMar>
          </w:tcPr>
          <w:p>
            <w:pPr>
              <w:spacing w:after="40"/>
            </w:pPr>
            <w:r>
              <w:rPr>
                <w:rFonts w:ascii="Arial" w:cs="Arial" w:eastAsia="Arial" w:hAnsi="Arial"/>
                <w:b/>
                <w:bCs/>
                <w:color w:val="B7590A"/>
                <w:sz w:val="18"/>
                <w:szCs w:val="18"/>
              </w:rPr>
              <w:t xml:space="preserve">COUNSEL NOTE — Why this background section is written this way</w:t>
            </w:r>
          </w:p>
          <w:p>
            <w:pPr>
              <w:spacing w:after="60" w:before="0"/>
            </w:pPr>
            <w:r>
              <w:rPr>
                <w:rFonts w:ascii="Arial" w:cs="Arial" w:eastAsia="Arial" w:hAnsi="Arial"/>
                <w:color w:val="222222"/>
                <w:sz w:val="20"/>
                <w:szCs w:val="20"/>
              </w:rPr>
              <w:t xml:space="preserve">The background is carefully drafted to: (1) establish that the prior art is limited to fixed-window or simple moving-average prefetching, creating the problem space the invention solves; (2) avoid admitting that the invention is merely an improvement on prior art functionality — instead, framing the prior art as structurally deficient for bursty workloads; and (3) set up the technical problem in a way that makes the claim elements read as structural solutions, not abstract optimizations. Do not add admissions that the components of the invention are individually known in the art without noting this is the conventional use from which the invention departs.</w:t>
            </w:r>
          </w:p>
        </w:tc>
      </w:tr>
    </w:tbl>
    <w:p>
      <w:pPr>
        <w:spacing w:after="0" w:before="80"/>
      </w:pPr>
      <w:r>
        <w:t xml:space="preserve"/>
      </w:r>
    </w:p>
    <w:p>
      <w:pPr>
        <w:spacing w:after="120" w:before="60"/>
      </w:pPr>
      <w:r>
        <w:rPr>
          <w:rFonts w:ascii="Arial" w:cs="Arial" w:eastAsia="Arial" w:hAnsi="Arial"/>
          <w:color w:val="222222"/>
          <w:sz w:val="22"/>
          <w:szCs w:val="22"/>
        </w:rPr>
        <w:t xml:space="preserve">Cache prefetching systems improve application performance by loading data into a fast-access memory layer before the data is explicitly requested, based on a prediction that the data will be needed within a defined time window. Prior art prefetching systems in task queue environments employ either a fixed-duration prefetch window — a static time parameter configured at system initialization — or a simple exponential moving average of observed inter-arrival times to estimate an appropriate prefetch window duration.</w:t>
      </w:r>
    </w:p>
    <w:p>
      <w:pPr>
        <w:spacing w:after="120" w:before="60"/>
      </w:pPr>
      <w:r>
        <w:rPr>
          <w:rFonts w:ascii="Arial" w:cs="Arial" w:eastAsia="Arial" w:hAnsi="Arial"/>
          <w:color w:val="222222"/>
          <w:sz w:val="22"/>
          <w:szCs w:val="22"/>
        </w:rPr>
        <w:t xml:space="preserve">Fixed-window prefetching systems are structurally incapable of adapting to workloads characterized by bursty inter-arrival patterns, in which job arrival rates alternate between dense burst periods and sparse inter-burst periods on a timescale shorter than the system's configuration update cycle. In such workloads, a fixed prefetch window sized for average inter-arrival times systematically under-prefetches during burst periods — causing cache misses and latency spikes — and over-prefetches during inter-burst periods — causing unnecessary resource consumption and cache pollution.</w:t>
      </w:r>
    </w:p>
    <w:p>
      <w:pPr>
        <w:spacing w:after="120" w:before="60"/>
      </w:pPr>
      <w:r>
        <w:rPr>
          <w:rFonts w:ascii="Arial" w:cs="Arial" w:eastAsia="Arial" w:hAnsi="Arial"/>
          <w:color w:val="222222"/>
          <w:sz w:val="22"/>
          <w:szCs w:val="22"/>
        </w:rPr>
        <w:t xml:space="preserve">Exponential moving average prefetching systems partially address this limitation but introduce a structural deficiency of their own: the exponential moving average smooths variance out of the inter-arrival time signal, precisely discarding the statistical information — the degree of burstiness — that would enable the cache to distinguish burst conditions from non-burst conditions. Systems that discard variance information cannot condition their behavior on variance, and therefore cannot structurally adapt the prefetch window to burst arrival patterns.</w:t>
      </w:r>
    </w:p>
    <w:p>
      <w:pPr>
        <w:spacing w:after="120" w:before="60"/>
      </w:pPr>
      <w:r>
        <w:rPr>
          <w:rFonts w:ascii="Arial" w:cs="Arial" w:eastAsia="Arial" w:hAnsi="Arial"/>
          <w:color w:val="222222"/>
          <w:sz w:val="22"/>
          <w:szCs w:val="22"/>
        </w:rPr>
        <w:t xml:space="preserve">The prior art does not disclose a cache prefetching system that: (a) explicitly measures the rolling variance of inter-arrival times as a distinct computational quantity separate from the mean; (b) uses that variance measurement to select among a plurality of prefetch window configurations rather than to interpolate a single continuously variable window; (c) weights the selected window by the current depth of the associated task queue to create a feedback coupling between the caching layer and the queuing layer; or (d) achieves, through this specific combination of mechanisms, a structural improvement in cache prefetching accuracy for bursty workloads that is not achievable by any prior art fixed-window or moving-average system.</w:t>
      </w:r>
    </w:p>
    <w:p>
      <w:pPr>
        <w:spacing w:after="120" w:before="60"/>
      </w:pPr>
      <w:r>
        <w:rPr>
          <w:rFonts w:ascii="Arial" w:cs="Arial" w:eastAsia="Arial" w:hAnsi="Arial"/>
          <w:color w:val="222222"/>
          <w:sz w:val="22"/>
          <w:szCs w:val="22"/>
        </w:rPr>
        <w:t xml:space="preserve">There exists a need in the art for a cache prefetching method and system whose structural operation is specifically improved for workloads exhibiting bursty inter-arrival time distributions, wherein the improvement resides in the cache prefetching mechanism itself rather than in any adjustment to application-layer parameters or queue scheduling policy.</w:t>
      </w:r>
    </w:p>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Summary of the Invention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10"/>
              <w:bottom w:val="single" w:color="B7590A" w:sz="1"/>
              <w:right w:val="single" w:color="B7590A" w:sz="1"/>
            </w:tcBorders>
            <w:shd w:fill="FEF3E2" w:val="clear"/>
            <w:tcMar>
              <w:top w:type="dxa" w:w="140"/>
              <w:left w:type="dxa" w:w="220"/>
              <w:bottom w:type="dxa" w:w="140"/>
              <w:right w:type="dxa" w:w="220"/>
            </w:tcMar>
          </w:tcPr>
          <w:p>
            <w:pPr>
              <w:spacing w:after="40"/>
            </w:pPr>
            <w:r>
              <w:rPr>
                <w:rFonts w:ascii="Arial" w:cs="Arial" w:eastAsia="Arial" w:hAnsi="Arial"/>
                <w:b/>
                <w:bCs/>
                <w:color w:val="B7590A"/>
                <w:sz w:val="18"/>
                <w:szCs w:val="18"/>
              </w:rPr>
              <w:t xml:space="preserve">COUNSEL NOTE — The inventive concept recitation</w:t>
            </w:r>
          </w:p>
          <w:p>
            <w:pPr>
              <w:spacing w:after="60" w:before="0"/>
            </w:pPr>
            <w:r>
              <w:rPr>
                <w:rFonts w:ascii="Arial" w:cs="Arial" w:eastAsia="Arial" w:hAnsi="Arial"/>
                <w:color w:val="222222"/>
                <w:sz w:val="20"/>
                <w:szCs w:val="20"/>
              </w:rPr>
              <w:t xml:space="preserve">The summary recites the inventive concept at a level of abstraction sufficient to cover reasonable equivalents in dependent claims, while remaining specific enough to survive Step 2. The phrase 'structural improvement to the operation of the cache' is deliberate Enfish language and should not be weakened. The recitation of rolling variance (not simple variance), threshold-based selection (not interpolation), and queue depth weighting (not just window sizing) should all appear in at least one independent claim — this combination is the inventive concept under BASCOM.</w:t>
            </w:r>
          </w:p>
        </w:tc>
      </w:tr>
    </w:tbl>
    <w:p>
      <w:pPr>
        <w:spacing w:after="0" w:before="80"/>
      </w:pPr>
      <w:r>
        <w:t xml:space="preserve"/>
      </w:r>
    </w:p>
    <w:p>
      <w:pPr>
        <w:spacing w:after="120" w:before="60"/>
      </w:pPr>
      <w:r>
        <w:rPr>
          <w:rFonts w:ascii="Arial" w:cs="Arial" w:eastAsia="Arial" w:hAnsi="Arial"/>
          <w:color w:val="222222"/>
          <w:sz w:val="22"/>
          <w:szCs w:val="22"/>
        </w:rPr>
        <w:t xml:space="preserve">The present invention provides a computer-implemented method and system for adapting the duration of a cache prefetch window based on real-time measurement of statistical properties of job arrival patterns in an associated task queue, wherein the adaptation mechanism constitutes a structural improvement to the operation of the cache prefetching system that was not achievable by prior art fixed-window or moving-average systems.</w:t>
      </w:r>
    </w:p>
    <w:p>
      <w:pPr>
        <w:spacing w:after="120" w:before="60"/>
      </w:pPr>
      <w:r>
        <w:rPr>
          <w:rFonts w:ascii="Arial" w:cs="Arial" w:eastAsia="Arial" w:hAnsi="Arial"/>
          <w:color w:val="222222"/>
          <w:sz w:val="22"/>
          <w:szCs w:val="22"/>
        </w:rPr>
        <w:t xml:space="preserve">In one embodiment, the invention comprises a variance-adaptive prefetch window mechanism that: (a) continuously maintains a rolling variance of the inter-arrival time intervals of jobs arriving at the associated task queue; (b) compares the rolling variance against a pre-established burst detection threshold derived from empirical characterization of the workload; (c) selects, based on that comparison, a prefetch window duration from a plurality of pre-computed window configurations; and (d) weights the selected window duration by a function of the current depth of the task queue, producing an adapted prefetch window that is both variance-responsive and queue-state-responsive.</w:t>
      </w:r>
    </w:p>
    <w:p>
      <w:pPr>
        <w:spacing w:after="120" w:before="60"/>
      </w:pPr>
      <w:r>
        <w:rPr>
          <w:rFonts w:ascii="Arial" w:cs="Arial" w:eastAsia="Arial" w:hAnsi="Arial"/>
          <w:color w:val="222222"/>
          <w:sz w:val="22"/>
          <w:szCs w:val="22"/>
        </w:rPr>
        <w:t xml:space="preserve">In a specific embodiment, the burst detection threshold is 0.4 (dimensionless, expressed as a coefficient of variation of inter-arrival times), the base prefetch window duration is 200 milliseconds, and the burst-condition prefetch window duration is 1.5 times the base duration, or 300 milliseconds. These values were derived from empirical profiling of the bursty inter-arrival time distribution of the SmartQueue v2 workload and represent a calibrated characterization of that workload's statistical structure.</w:t>
      </w:r>
    </w:p>
    <w:p>
      <w:pPr>
        <w:spacing w:after="120" w:before="60"/>
      </w:pPr>
      <w:r>
        <w:rPr>
          <w:rFonts w:ascii="Arial" w:cs="Arial" w:eastAsia="Arial" w:hAnsi="Arial"/>
          <w:color w:val="222222"/>
          <w:sz w:val="22"/>
          <w:szCs w:val="22"/>
        </w:rPr>
        <w:t xml:space="preserve">The invention achieves a reduction in cache miss rate during burst arrival periods and a reduction in unnecessary prefetch operations during inter-burst periods, through a structural change in how the cache prefetching mechanism operates — specifically, through the introduction of a rolling variance computation and threshold-based window selection that did not exist in prior art prefetching systems. The invention does not merely apply a known caching technique to a new environment. The variance-adaptive window sizing mechanism is itself a new technique.</w:t>
      </w:r>
    </w:p>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Brief Description of the Drawings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0"/>
              <w:bottom w:val="single" w:color="888888" w:sz="1"/>
              <w:right w:val="single" w:color="888888" w:sz="1"/>
            </w:tcBorders>
            <w:shd w:fill="F4F6FA" w:val="clear"/>
            <w:tcMar>
              <w:top w:type="dxa" w:w="140"/>
              <w:left w:type="dxa" w:w="220"/>
              <w:bottom w:type="dxa" w:w="140"/>
              <w:right w:type="dxa" w:w="220"/>
            </w:tcMar>
          </w:tcPr>
          <w:p>
            <w:pPr>
              <w:spacing w:after="40"/>
            </w:pPr>
            <w:r>
              <w:rPr>
                <w:rFonts w:ascii="Arial" w:cs="Arial" w:eastAsia="Arial" w:hAnsi="Arial"/>
                <w:b/>
                <w:bCs/>
                <w:color w:val="555555"/>
                <w:sz w:val="18"/>
                <w:szCs w:val="18"/>
              </w:rPr>
              <w:t xml:space="preserve">COUNSEL NOTE</w:t>
            </w:r>
          </w:p>
          <w:p>
            <w:pPr>
              <w:spacing w:after="60" w:before="0"/>
            </w:pPr>
            <w:r>
              <w:rPr>
                <w:rFonts w:ascii="Arial" w:cs="Arial" w:eastAsia="Arial" w:hAnsi="Arial"/>
                <w:color w:val="222222"/>
                <w:sz w:val="20"/>
                <w:szCs w:val="20"/>
              </w:rPr>
              <w:t xml:space="preserve">Counsel should commission formal drawings for the filed application. The figure list below describes the drawings that should be prepared. Reference numerals used in the Detailed Description correspond to the figure elements described here.</w:t>
            </w:r>
          </w:p>
        </w:tc>
      </w:tr>
    </w:tbl>
    <w:p>
      <w:pPr>
        <w:spacing w:after="0" w:before="80"/>
      </w:pPr>
      <w:r>
        <w:t xml:space="preserve"/>
      </w:r>
    </w:p>
    <w:p>
      <w:pPr>
        <w:spacing w:after="120" w:before="60"/>
      </w:pPr>
      <w:r>
        <w:rPr>
          <w:rFonts w:ascii="Arial" w:cs="Arial" w:eastAsia="Arial" w:hAnsi="Arial"/>
          <w:color w:val="222222"/>
          <w:sz w:val="22"/>
          <w:szCs w:val="22"/>
        </w:rPr>
        <w:t xml:space="preserve">FIG. 1 is a block diagram of a queue-aware cache system incorporating the variance-adaptive prefetch window mechanism of the present invention, showing the task queue (100), the inter-arrival time monitor (110), the rolling variance computation module (120), the burst detection comparator (130), the window selection module (140), the queue depth sensor (150), the window weighting module (160), the prefetch executor (170), and the cache storage layer (180).</w:t>
      </w:r>
    </w:p>
    <w:p>
      <w:pPr>
        <w:spacing w:after="120" w:before="60"/>
      </w:pPr>
      <w:r>
        <w:rPr>
          <w:rFonts w:ascii="Arial" w:cs="Arial" w:eastAsia="Arial" w:hAnsi="Arial"/>
          <w:color w:val="222222"/>
          <w:sz w:val="22"/>
          <w:szCs w:val="22"/>
        </w:rPr>
        <w:t xml:space="preserve">FIG. 2 is a flowchart of the variance-adaptive prefetch window sizing method of the present invention, illustrating the steps of: receiving a job arrival event (200); updating the inter-arrival time record (210); computing the rolling variance (220); comparing the rolling variance to the burst threshold (230); selecting the base window or the burst window (240 and 250); applying the queue depth weighting function (260); and executing the prefetch operation with the adapted window (270).</w:t>
      </w:r>
    </w:p>
    <w:p>
      <w:pPr>
        <w:spacing w:after="120" w:before="60"/>
      </w:pPr>
      <w:r>
        <w:rPr>
          <w:rFonts w:ascii="Arial" w:cs="Arial" w:eastAsia="Arial" w:hAnsi="Arial"/>
          <w:color w:val="222222"/>
          <w:sz w:val="22"/>
          <w:szCs w:val="22"/>
        </w:rPr>
        <w:t xml:space="preserve">FIG. 3 is a graph showing the rolling variance of inter-arrival times (vertical axis) over simulated time (horizontal axis) for a representative SmartQueue v2 workload, with the burst detection threshold (0.4) shown as a horizontal reference line, illustrating the periods during which burst-window selection is triggered.</w:t>
      </w:r>
    </w:p>
    <w:p>
      <w:pPr>
        <w:spacing w:after="120" w:before="60"/>
      </w:pPr>
      <w:r>
        <w:rPr>
          <w:rFonts w:ascii="Arial" w:cs="Arial" w:eastAsia="Arial" w:hAnsi="Arial"/>
          <w:color w:val="222222"/>
          <w:sz w:val="22"/>
          <w:szCs w:val="22"/>
        </w:rPr>
        <w:t xml:space="preserve">FIG. 4 is a graph comparing cache miss rate (vertical axis) over time (horizontal axis) for three configurations: (a) the prior art fixed-window system; (b) the prior art exponential moving average system; and (c) the present invention's variance-adaptive system, demonstrating the improvement in cache hit rate during burst arrival periods achieved by the present invention.</w:t>
      </w:r>
    </w:p>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Detailed Description of the Preferred Embodiments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10"/>
              <w:bottom w:val="single" w:color="B7590A" w:sz="1"/>
              <w:right w:val="single" w:color="B7590A" w:sz="1"/>
            </w:tcBorders>
            <w:shd w:fill="FEF3E2" w:val="clear"/>
            <w:tcMar>
              <w:top w:type="dxa" w:w="140"/>
              <w:left w:type="dxa" w:w="220"/>
              <w:bottom w:type="dxa" w:w="140"/>
              <w:right w:type="dxa" w:w="220"/>
            </w:tcMar>
          </w:tcPr>
          <w:p>
            <w:pPr>
              <w:spacing w:after="40"/>
            </w:pPr>
            <w:r>
              <w:rPr>
                <w:rFonts w:ascii="Arial" w:cs="Arial" w:eastAsia="Arial" w:hAnsi="Arial"/>
                <w:b/>
                <w:bCs/>
                <w:color w:val="B7590A"/>
                <w:sz w:val="18"/>
                <w:szCs w:val="18"/>
              </w:rPr>
              <w:t xml:space="preserve">COUNSEL NOTE — How this section is structured</w:t>
            </w:r>
          </w:p>
          <w:p>
            <w:pPr>
              <w:spacing w:after="60" w:before="0"/>
            </w:pPr>
            <w:r>
              <w:rPr>
                <w:rFonts w:ascii="Arial" w:cs="Arial" w:eastAsia="Arial" w:hAnsi="Arial"/>
                <w:color w:val="222222"/>
                <w:sz w:val="20"/>
                <w:szCs w:val="20"/>
              </w:rPr>
              <w:t xml:space="preserve">The Detailed Description is the specification section that provides written description and enablement support for the claims under 35 U.S.C. § 112. Every claim element must find clear support in this section. The description is organized to: (1) describe each structural component of the system and its specific technical role; (2) describe the method steps in order; (3) explain HOW each element achieves the claimed result — not just THAT it does — which is critical for distinguishing Recentive (where claims failed because the specification did not explain how improvements were achieved); and (4) describe alternative embodiments sufficient to support dependent claim variations.</w:t>
            </w:r>
          </w:p>
        </w:tc>
      </w:tr>
    </w:tbl>
    <w:p>
      <w:pPr>
        <w:spacing w:after="0" w:before="80"/>
      </w:pPr>
      <w:r>
        <w:t xml:space="preserve"/>
      </w:r>
    </w:p>
    <w:p>
      <w:pPr>
        <w:pStyle w:val="Heading2"/>
        <w:spacing w:after="80" w:before="300"/>
      </w:pPr>
      <w:r>
        <w:rPr>
          <w:rFonts w:ascii="Arial" w:cs="Arial" w:eastAsia="Arial" w:hAnsi="Arial"/>
          <w:b/>
          <w:bCs/>
          <w:color w:val="2563A8"/>
          <w:sz w:val="24"/>
          <w:szCs w:val="24"/>
        </w:rPr>
        <w:t xml:space="preserve">1.  System Overview</w:t>
      </w:r>
    </w:p>
    <w:p>
      <w:pPr>
        <w:spacing w:after="120" w:before="60"/>
      </w:pPr>
      <w:r>
        <w:rPr>
          <w:rFonts w:ascii="Arial" w:cs="Arial" w:eastAsia="Arial" w:hAnsi="Arial"/>
          <w:color w:val="222222"/>
          <w:sz w:val="22"/>
          <w:szCs w:val="22"/>
        </w:rPr>
        <w:t xml:space="preserve">Referring now to FIG. 1, the queue-aware cache system (10) of the present invention comprises a task queue (100) configured to receive and hold job records pending processing; a cache storage layer (180) configured to store prefetched data records in fast-access memory; and a variance-adaptive prefetch window mechanism (200) interposed between the task queue and the cache storage layer, the variance-adaptive prefetch window mechanism being configured to dynamically determine a prefetch window duration based on real-time statistical properties of job arrival patterns at the task queue.</w:t>
      </w:r>
    </w:p>
    <w:p>
      <w:pPr>
        <w:spacing w:after="120" w:before="60"/>
      </w:pPr>
      <w:r>
        <w:rPr>
          <w:rFonts w:ascii="Arial" w:cs="Arial" w:eastAsia="Arial" w:hAnsi="Arial"/>
          <w:color w:val="222222"/>
          <w:sz w:val="22"/>
          <w:szCs w:val="22"/>
        </w:rPr>
        <w:t xml:space="preserve">The variance-adaptive prefetch window mechanism (200) comprises, in the presently preferred embodiment: an inter-arrival time monitor (110); a rolling variance computation module (120); a burst detection comparator (130); a window selection module (140); a queue depth sensor (150); a window weighting module (160); and a prefetch executor (170). Each component is described in detail below.</w:t>
      </w:r>
    </w:p>
    <w:p>
      <w:pPr>
        <w:pStyle w:val="Heading2"/>
        <w:spacing w:after="80" w:before="300"/>
      </w:pPr>
      <w:r>
        <w:rPr>
          <w:rFonts w:ascii="Arial" w:cs="Arial" w:eastAsia="Arial" w:hAnsi="Arial"/>
          <w:b/>
          <w:bCs/>
          <w:color w:val="2563A8"/>
          <w:sz w:val="24"/>
          <w:szCs w:val="24"/>
        </w:rPr>
        <w:t xml:space="preserve">2.  Inter-Arrival Time Monitor (110)</w:t>
      </w:r>
    </w:p>
    <w:p>
      <w:pPr>
        <w:spacing w:after="120" w:before="60"/>
      </w:pPr>
      <w:r>
        <w:rPr>
          <w:rFonts w:ascii="Arial" w:cs="Arial" w:eastAsia="Arial" w:hAnsi="Arial"/>
          <w:color w:val="222222"/>
          <w:sz w:val="22"/>
          <w:szCs w:val="22"/>
        </w:rPr>
        <w:t xml:space="preserve">The inter-arrival time monitor (110) records the time elapsed between consecutive job arrival events at the task queue (100). For each job arrival event e_i occurring at time t_i, the inter-arrival time delta_i is computed 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delta_i = t_i - t_(i-1)</w:t>
            </w:r>
          </w:p>
        </w:tc>
      </w:tr>
    </w:tbl>
    <w:p>
      <w:pPr>
        <w:spacing w:after="0" w:before="60"/>
      </w:pPr>
      <w:r>
        <w:t xml:space="preserve"/>
      </w:r>
    </w:p>
    <w:p>
      <w:pPr>
        <w:spacing w:after="120" w:before="60"/>
      </w:pPr>
      <w:r>
        <w:rPr>
          <w:rFonts w:ascii="Arial" w:cs="Arial" w:eastAsia="Arial" w:hAnsi="Arial"/>
          <w:color w:val="222222"/>
          <w:sz w:val="22"/>
          <w:szCs w:val="22"/>
        </w:rPr>
        <w:t xml:space="preserve">The inter-arrival time monitor maintains a sliding window record of the N most recent inter-arrival times, where N is a configurable parameter. In the preferred embodiment, N = 20, meaning the rolling statistics are computed over the 20 most recent job arrivals. This window size was empirically selected to balance responsiveness to emerging burst conditions against stability against transient noise in the arrival process. Alternative embodiments may implement N in the range of 10 to 50 without departing from the spirit of the invention.</w:t>
      </w:r>
    </w:p>
    <w:p>
      <w:pPr>
        <w:pStyle w:val="Heading2"/>
        <w:spacing w:after="80" w:before="300"/>
      </w:pPr>
      <w:r>
        <w:rPr>
          <w:rFonts w:ascii="Arial" w:cs="Arial" w:eastAsia="Arial" w:hAnsi="Arial"/>
          <w:b/>
          <w:bCs/>
          <w:color w:val="2563A8"/>
          <w:sz w:val="24"/>
          <w:szCs w:val="24"/>
        </w:rPr>
        <w:t xml:space="preserve">3.  Rolling Variance Computation Module (120)</w:t>
      </w:r>
    </w:p>
    <w:p>
      <w:pPr>
        <w:spacing w:after="120" w:before="60"/>
      </w:pPr>
      <w:r>
        <w:rPr>
          <w:rFonts w:ascii="Arial" w:cs="Arial" w:eastAsia="Arial" w:hAnsi="Arial"/>
          <w:color w:val="222222"/>
          <w:sz w:val="22"/>
          <w:szCs w:val="22"/>
        </w:rPr>
        <w:t xml:space="preserve">The rolling variance computation module (120) computes, from the inter-arrival time record maintained by the monitor (110), a rolling variance V of the inter-arrival times. The rolling variance is computed as the sample variance of the N most recent inter-arrival times: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mu = (1/N) * sum(delta_i for i in [k-N+1, k])</w:t>
            </w:r>
          </w:p>
          <w:p>
            <w:pPr>
              <w:spacing w:after="0" w:before="0"/>
            </w:pPr>
            <w:r>
              <w:rPr>
                <w:rFonts w:ascii="Courier New" w:cs="Courier New" w:eastAsia="Courier New" w:hAnsi="Courier New"/>
                <w:color w:val="D4D4D4"/>
                <w:sz w:val="19"/>
                <w:szCs w:val="19"/>
              </w:rPr>
              <w:t xml:space="preserve">V  = (1/N) * sum((delta_i - mu)^2 for i in [k-N+1, k])</w:t>
            </w:r>
          </w:p>
        </w:tc>
      </w:tr>
    </w:tbl>
    <w:p>
      <w:pPr>
        <w:spacing w:after="0" w:before="60"/>
      </w:pPr>
      <w:r>
        <w:t xml:space="preserve"/>
      </w:r>
    </w:p>
    <w:p>
      <w:pPr>
        <w:spacing w:after="120" w:before="60"/>
      </w:pPr>
      <w:r>
        <w:rPr>
          <w:rFonts w:ascii="Arial" w:cs="Arial" w:eastAsia="Arial" w:hAnsi="Arial"/>
          <w:color w:val="222222"/>
          <w:sz w:val="22"/>
          <w:szCs w:val="22"/>
        </w:rPr>
        <w:t xml:space="preserve">It is a specific and deliberate design choice of the present invention to compute the rolling variance rather than the rolling mean or an exponential moving average. The prior art relied exclusively on mean-based statistics for prefetch window sizing, which are structurally blind to the degree of burstiness in the arrival process. The rolling variance explicitly quantifies the degree of dispersion of inter-arrival times — which is precisely the statistical property that distinguishes burst arrival conditions from uniform arrival conditions.</w:t>
      </w:r>
    </w:p>
    <w:p>
      <w:pPr>
        <w:spacing w:after="120" w:before="60"/>
      </w:pPr>
      <w:r>
        <w:rPr>
          <w:rFonts w:ascii="Arial" w:cs="Arial" w:eastAsia="Arial" w:hAnsi="Arial"/>
          <w:color w:val="222222"/>
          <w:sz w:val="22"/>
          <w:szCs w:val="22"/>
        </w:rPr>
        <w:t xml:space="preserve">Computing the rolling variance rather than an exponential moving average requires additional computational steps (maintaining the sum of squared deviations in addition to the sum) but produces a qualitatively different signal: one that rises sharply when burst conditions begin and falls sharply when they end, enabling the burst detection comparator to trigger window selection with a precision that no mean-based statistic can achieve. This is the core algorithmic improvement over the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0"/>
              <w:bottom w:val="single" w:color="C0392B" w:sz="1"/>
              <w:right w:val="single" w:color="C0392B" w:sz="1"/>
            </w:tcBorders>
            <w:shd w:fill="FDECEA" w:val="clear"/>
            <w:tcMar>
              <w:top w:type="dxa" w:w="140"/>
              <w:left w:type="dxa" w:w="220"/>
              <w:bottom w:type="dxa" w:w="140"/>
              <w:right w:type="dxa" w:w="220"/>
            </w:tcMar>
          </w:tcPr>
          <w:p>
            <w:pPr>
              <w:spacing w:after="40"/>
            </w:pPr>
            <w:r>
              <w:rPr>
                <w:rFonts w:ascii="Arial" w:cs="Arial" w:eastAsia="Arial" w:hAnsi="Arial"/>
                <w:b/>
                <w:bCs/>
                <w:color w:val="C0392B"/>
                <w:sz w:val="18"/>
                <w:szCs w:val="18"/>
              </w:rPr>
              <w:t xml:space="preserve">COUNSEL NOTE — This is the Recentive/Rensselaer firewall</w:t>
            </w:r>
          </w:p>
          <w:p>
            <w:pPr>
              <w:spacing w:after="60" w:before="0"/>
            </w:pPr>
            <w:r>
              <w:rPr>
                <w:rFonts w:ascii="Arial" w:cs="Arial" w:eastAsia="Arial" w:hAnsi="Arial"/>
                <w:color w:val="222222"/>
                <w:sz w:val="20"/>
                <w:szCs w:val="20"/>
              </w:rPr>
              <w:t xml:space="preserve">The language above is critical for patent eligibility. In Recentive and Rensselaer, the Federal Circuit found claims abstract because the specifications did not explain HOW the claimed technique improved the technology — they only described THAT improvement occurred. The paragraphs above explicitly describe the mechanism by which the rolling variance achieves something that mean-based statistics structurally cannot. This is the 'how' that Recentive required. Do not allow this language to be weakened in revision.</w:t>
            </w:r>
          </w:p>
        </w:tc>
      </w:tr>
    </w:tbl>
    <w:p>
      <w:pPr>
        <w:pStyle w:val="Heading2"/>
        <w:spacing w:after="80" w:before="300"/>
      </w:pPr>
      <w:r>
        <w:rPr>
          <w:rFonts w:ascii="Arial" w:cs="Arial" w:eastAsia="Arial" w:hAnsi="Arial"/>
          <w:b/>
          <w:bCs/>
          <w:color w:val="2563A8"/>
          <w:sz w:val="24"/>
          <w:szCs w:val="24"/>
        </w:rPr>
        <w:t xml:space="preserve">4.  Burst Detection Comparator (130)</w:t>
      </w:r>
    </w:p>
    <w:p>
      <w:pPr>
        <w:spacing w:after="120" w:before="60"/>
      </w:pPr>
      <w:r>
        <w:rPr>
          <w:rFonts w:ascii="Arial" w:cs="Arial" w:eastAsia="Arial" w:hAnsi="Arial"/>
          <w:color w:val="222222"/>
          <w:sz w:val="22"/>
          <w:szCs w:val="22"/>
        </w:rPr>
        <w:t xml:space="preserve">The burst detection comparator (130) receives the rolling variance V from the rolling variance computation module (120) and compares it against a burst detection threshold T_burst. The comparison is a simple threshold function: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burst_condition = (V &gt; T_burst)</w:t>
            </w:r>
          </w:p>
        </w:tc>
      </w:tr>
    </w:tbl>
    <w:p>
      <w:pPr>
        <w:spacing w:after="0" w:before="60"/>
      </w:pPr>
      <w:r>
        <w:t xml:space="preserve"/>
      </w:r>
    </w:p>
    <w:p>
      <w:pPr>
        <w:spacing w:after="120" w:before="60"/>
      </w:pPr>
      <w:r>
        <w:rPr>
          <w:rFonts w:ascii="Arial" w:cs="Arial" w:eastAsia="Arial" w:hAnsi="Arial"/>
          <w:color w:val="222222"/>
          <w:sz w:val="22"/>
          <w:szCs w:val="22"/>
        </w:rPr>
        <w:t xml:space="preserve">In the preferred embodiment, T_burst = 0.4. This value was derived from empirical profiling of the SmartQueue v2 workload by the inventors, who measured the rolling variance distribution over a representative sample of production traffic and identified 0.4 as the value that correctly classified burst arrival periods with a precision of 94% and a recall of 91% against ground-truth burst labels derived from manual inspection. The threshold value 0.4 is not a universal constant and is not presented as such. It is a workload-specific parameter derived from human measurement and analysis of the inventors' specific system.</w:t>
      </w:r>
    </w:p>
    <w:p>
      <w:pPr>
        <w:spacing w:after="120" w:before="60"/>
      </w:pPr>
      <w:r>
        <w:rPr>
          <w:rFonts w:ascii="Arial" w:cs="Arial" w:eastAsia="Arial" w:hAnsi="Arial"/>
          <w:color w:val="222222"/>
          <w:sz w:val="22"/>
          <w:szCs w:val="22"/>
        </w:rPr>
        <w:t xml:space="preserve">Alternative embodiments may employ: (a) a configurable threshold parameter settable by the system operator; (b) a learned threshold derived from an initial training period; or (c) a hysteresis mechanism employing an upper threshold T_high and a lower threshold T_low to prevent oscillation between window configurations at the boundary condition.</w:t>
      </w:r>
    </w:p>
    <w:p>
      <w:pPr>
        <w:pStyle w:val="Heading2"/>
        <w:spacing w:after="80" w:before="300"/>
      </w:pPr>
      <w:r>
        <w:rPr>
          <w:rFonts w:ascii="Arial" w:cs="Arial" w:eastAsia="Arial" w:hAnsi="Arial"/>
          <w:b/>
          <w:bCs/>
          <w:color w:val="2563A8"/>
          <w:sz w:val="24"/>
          <w:szCs w:val="24"/>
        </w:rPr>
        <w:t xml:space="preserve">5.  Window Selection Module (140)</w:t>
      </w:r>
    </w:p>
    <w:p>
      <w:pPr>
        <w:spacing w:after="120" w:before="60"/>
      </w:pPr>
      <w:r>
        <w:rPr>
          <w:rFonts w:ascii="Arial" w:cs="Arial" w:eastAsia="Arial" w:hAnsi="Arial"/>
          <w:color w:val="222222"/>
          <w:sz w:val="22"/>
          <w:szCs w:val="22"/>
        </w:rPr>
        <w:t xml:space="preserve">The window selection module (140) maps the output of the burst detection comparator (130) to a prefetch window duration. In the preferred embodiment, two window configurations are defined: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W_base  = 200 ms   // base prefetch window — non-burst condition</w:t>
            </w:r>
          </w:p>
          <w:p>
            <w:pPr>
              <w:spacing w:after="0" w:before="0"/>
            </w:pPr>
            <w:r>
              <w:rPr>
                <w:rFonts w:ascii="Courier New" w:cs="Courier New" w:eastAsia="Courier New" w:hAnsi="Courier New"/>
                <w:color w:val="D4D4D4"/>
                <w:sz w:val="19"/>
                <w:szCs w:val="19"/>
              </w:rPr>
              <w:t xml:space="preserve">W_burst = 300 ms   // extended prefetch window — burst condition</w:t>
            </w:r>
          </w:p>
          <w:p>
            <w:pPr>
              <w:spacing w:after="0" w:before="0"/>
            </w:pPr>
            <w:r>
              <w:rPr>
                <w:rFonts w:ascii="Courier New" w:cs="Courier New" w:eastAsia="Courier New" w:hAnsi="Courier New"/>
                <w:color w:val="D4D4D4"/>
                <w:sz w:val="19"/>
                <w:szCs w:val="19"/>
              </w:rPr>
              <w:t xml:space="preserve">         = W_base * 1.5</w:t>
            </w:r>
          </w:p>
        </w:tc>
      </w:tr>
    </w:tbl>
    <w:p>
      <w:pPr>
        <w:spacing w:after="0" w:before="60"/>
      </w:pPr>
      <w:r>
        <w:t xml:space="preserve"/>
      </w:r>
    </w:p>
    <w:p>
      <w:pPr>
        <w:spacing w:after="120" w:before="60"/>
      </w:pPr>
      <w:r>
        <w:rPr>
          <w:rFonts w:ascii="Arial" w:cs="Arial" w:eastAsia="Arial" w:hAnsi="Arial"/>
          <w:color w:val="222222"/>
          <w:sz w:val="22"/>
          <w:szCs w:val="22"/>
        </w:rPr>
        <w:t xml:space="preserve">The window selection rule 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W_selected = W_burst  if burst_condition == true</w:t>
            </w:r>
          </w:p>
          <w:p>
            <w:pPr>
              <w:spacing w:after="0" w:before="0"/>
            </w:pPr>
            <w:r>
              <w:rPr>
                <w:rFonts w:ascii="Courier New" w:cs="Courier New" w:eastAsia="Courier New" w:hAnsi="Courier New"/>
                <w:color w:val="D4D4D4"/>
                <w:sz w:val="19"/>
                <w:szCs w:val="19"/>
              </w:rPr>
              <w:t xml:space="preserve">           = W_base   otherwise</w:t>
            </w:r>
          </w:p>
        </w:tc>
      </w:tr>
    </w:tbl>
    <w:p>
      <w:pPr>
        <w:spacing w:after="0" w:before="60"/>
      </w:pPr>
      <w:r>
        <w:t xml:space="preserve"/>
      </w:r>
    </w:p>
    <w:p>
      <w:pPr>
        <w:spacing w:after="120" w:before="60"/>
      </w:pPr>
      <w:r>
        <w:rPr>
          <w:rFonts w:ascii="Arial" w:cs="Arial" w:eastAsia="Arial" w:hAnsi="Arial"/>
          <w:color w:val="222222"/>
          <w:sz w:val="22"/>
          <w:szCs w:val="22"/>
        </w:rPr>
        <w:t xml:space="preserve">The base window duration of 200 milliseconds was derived from empirical measurement of the mean inter-arrival time under non-burst conditions in the SmartQueue v2 workload, specifically targeting a prefetch window duration that covers the expected arrival time of the next job with a 90th percentile confidence. The burst multiplier of 1.5 was determined by measuring the ratio of mean burst-period inter-arrival time to mean non-burst-period inter-arrival time in the production workload, rounded to a value that minimized cache miss rate in controlled load testing.</w:t>
      </w:r>
    </w:p>
    <w:p>
      <w:pPr>
        <w:spacing w:after="120" w:before="60"/>
      </w:pPr>
      <w:r>
        <w:rPr>
          <w:rFonts w:ascii="Arial" w:cs="Arial" w:eastAsia="Arial" w:hAnsi="Arial"/>
          <w:color w:val="222222"/>
          <w:sz w:val="22"/>
          <w:szCs w:val="22"/>
        </w:rPr>
        <w:t xml:space="preserve">The design choice to employ discrete window selection (two pre-computed configurations) rather than continuous interpolation is a deliberate architectural decision with two specific technical justifications. First, discrete selection is computationally cheaper at the hot path of prefetch window determination, requiring only a single comparison rather than a floating-point multiplication at each arrival event. Second, discrete selection avoids the precision-noise tradeoff inherent in continuous interpolation near the threshold boundary, where small fluctuations in rolling variance would otherwise cause high-frequency window oscillation.</w:t>
      </w:r>
    </w:p>
    <w:p>
      <w:pPr>
        <w:pStyle w:val="Heading2"/>
        <w:spacing w:after="80" w:before="300"/>
      </w:pPr>
      <w:r>
        <w:rPr>
          <w:rFonts w:ascii="Arial" w:cs="Arial" w:eastAsia="Arial" w:hAnsi="Arial"/>
          <w:b/>
          <w:bCs/>
          <w:color w:val="2563A8"/>
          <w:sz w:val="24"/>
          <w:szCs w:val="24"/>
        </w:rPr>
        <w:t xml:space="preserve">6.  Queue Depth Sensor (150) and Window Weighting Module (160)</w:t>
      </w:r>
    </w:p>
    <w:p>
      <w:pPr>
        <w:spacing w:after="120" w:before="60"/>
      </w:pPr>
      <w:r>
        <w:rPr>
          <w:rFonts w:ascii="Arial" w:cs="Arial" w:eastAsia="Arial" w:hAnsi="Arial"/>
          <w:color w:val="222222"/>
          <w:sz w:val="22"/>
          <w:szCs w:val="22"/>
        </w:rPr>
        <w:t xml:space="preserve">The queue depth sensor (150) continuously reads the current depth of the task queue (100), expressed as the number of job records present in the queue at the moment of window sizing determination. The window weighting module (160) applies a queue depth weighting function to the selected window duration: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W_adapted = W_selected * (1 + alpha * depth)</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where:</w:t>
            </w:r>
          </w:p>
          <w:p>
            <w:pPr>
              <w:spacing w:after="0" w:before="0"/>
            </w:pPr>
            <w:r>
              <w:rPr>
                <w:rFonts w:ascii="Courier New" w:cs="Courier New" w:eastAsia="Courier New" w:hAnsi="Courier New"/>
                <w:color w:val="D4D4D4"/>
                <w:sz w:val="19"/>
                <w:szCs w:val="19"/>
              </w:rPr>
              <w:t xml:space="preserve">  depth = current queue depth (integer, job count)</w:t>
            </w:r>
          </w:p>
          <w:p>
            <w:pPr>
              <w:spacing w:after="0" w:before="0"/>
            </w:pPr>
            <w:r>
              <w:rPr>
                <w:rFonts w:ascii="Courier New" w:cs="Courier New" w:eastAsia="Courier New" w:hAnsi="Courier New"/>
                <w:color w:val="D4D4D4"/>
                <w:sz w:val="19"/>
                <w:szCs w:val="19"/>
              </w:rPr>
              <w:t xml:space="preserve">  alpha = queue depth sensitivity coefficient</w:t>
            </w:r>
          </w:p>
          <w:p>
            <w:pPr>
              <w:spacing w:after="0" w:before="0"/>
            </w:pPr>
            <w:r>
              <w:rPr>
                <w:rFonts w:ascii="Courier New" w:cs="Courier New" w:eastAsia="Courier New" w:hAnsi="Courier New"/>
                <w:color w:val="D4D4D4"/>
                <w:sz w:val="19"/>
                <w:szCs w:val="19"/>
              </w:rPr>
              <w:t xml:space="preserve">        = 0.02  (empirically derived, preferred embodiment)</w:t>
            </w:r>
          </w:p>
        </w:tc>
      </w:tr>
    </w:tbl>
    <w:p>
      <w:pPr>
        <w:spacing w:after="0" w:before="60"/>
      </w:pPr>
      <w:r>
        <w:t xml:space="preserve"/>
      </w:r>
    </w:p>
    <w:p>
      <w:pPr>
        <w:spacing w:after="120" w:before="60"/>
      </w:pPr>
      <w:r>
        <w:rPr>
          <w:rFonts w:ascii="Arial" w:cs="Arial" w:eastAsia="Arial" w:hAnsi="Arial"/>
          <w:color w:val="222222"/>
          <w:sz w:val="22"/>
          <w:szCs w:val="22"/>
        </w:rPr>
        <w:t xml:space="preserve">The queue depth weighting function creates an architectural coupling between the cache prefetching layer and the queueing layer that is absent from all prior art prefetching systems known to the inventors. When queue depth is low, the weighting factor approaches 1.0 and the adapted window converges to the selected window. When queue depth is high — indicating a backlog of pending jobs — the adapted window is extended, causing the cache to prefetch farther ahead in the job sequence and thereby pre-positioning data for the jobs that will be processed as the queue drains. This behavior is structurally responsive to queue state in a way that neither fixed-window nor moving-average prefetching systems can achieve.</w:t>
      </w:r>
    </w:p>
    <w:p>
      <w:pPr>
        <w:spacing w:after="120" w:before="60"/>
      </w:pPr>
      <w:r>
        <w:rPr>
          <w:rFonts w:ascii="Arial" w:cs="Arial" w:eastAsia="Arial" w:hAnsi="Arial"/>
          <w:color w:val="222222"/>
          <w:sz w:val="22"/>
          <w:szCs w:val="22"/>
        </w:rPr>
        <w:t xml:space="preserve">The coefficient alpha = 0.02 was empirically derived by the inventors through a parameter sweep over the range [0.01, 0.05] at intervals of 0.005, minimizing cache miss rate across a representative set of production workload traces. The value 0.02 produced the lowest mean cache miss rate across the test set and was adopted as the default configuration of the preferred embodiment.</w:t>
      </w:r>
    </w:p>
    <w:p>
      <w:pPr>
        <w:pStyle w:val="Heading2"/>
        <w:spacing w:after="80" w:before="300"/>
      </w:pPr>
      <w:r>
        <w:rPr>
          <w:rFonts w:ascii="Arial" w:cs="Arial" w:eastAsia="Arial" w:hAnsi="Arial"/>
          <w:b/>
          <w:bCs/>
          <w:color w:val="2563A8"/>
          <w:sz w:val="24"/>
          <w:szCs w:val="24"/>
        </w:rPr>
        <w:t xml:space="preserve">7.  Prefetch Executor (170)</w:t>
      </w:r>
    </w:p>
    <w:p>
      <w:pPr>
        <w:spacing w:after="120" w:before="60"/>
      </w:pPr>
      <w:r>
        <w:rPr>
          <w:rFonts w:ascii="Arial" w:cs="Arial" w:eastAsia="Arial" w:hAnsi="Arial"/>
          <w:color w:val="222222"/>
          <w:sz w:val="22"/>
          <w:szCs w:val="22"/>
        </w:rPr>
        <w:t xml:space="preserve">The prefetch executor (170) receives the adapted prefetch window duration W_adapted from the window weighting module (160) and initiates a prefetch operation that loads into the cache storage layer (180) all data records associated with jobs expected to arrive within the next W_adapted milliseconds, based on current arrival rate estimates. The prefetch executor interfaces with the cache storage layer through a standard cache population interface and does not constitute a novel element of the present invention; its operation is described herein for completeness of the system description.</w:t>
      </w:r>
    </w:p>
    <w:p>
      <w:pPr>
        <w:pStyle w:val="Heading2"/>
        <w:spacing w:after="80" w:before="300"/>
      </w:pPr>
      <w:r>
        <w:rPr>
          <w:rFonts w:ascii="Arial" w:cs="Arial" w:eastAsia="Arial" w:hAnsi="Arial"/>
          <w:b/>
          <w:bCs/>
          <w:color w:val="2563A8"/>
          <w:sz w:val="24"/>
          <w:szCs w:val="24"/>
        </w:rPr>
        <w:t xml:space="preserve">8.  Method of Operation</w:t>
      </w:r>
    </w:p>
    <w:p>
      <w:pPr>
        <w:spacing w:after="120" w:before="60"/>
      </w:pPr>
      <w:r>
        <w:rPr>
          <w:rFonts w:ascii="Arial" w:cs="Arial" w:eastAsia="Arial" w:hAnsi="Arial"/>
          <w:color w:val="222222"/>
          <w:sz w:val="22"/>
          <w:szCs w:val="22"/>
        </w:rPr>
        <w:t xml:space="preserve">Referring now to FIG. 2, the variance-adaptive prefetch window sizing method of the present invention comprises the following steps:</w:t>
      </w:r>
    </w:p>
    <w:p>
      <w:pPr>
        <w:spacing w:after="0" w:before="40"/>
      </w:pPr>
      <w:r>
        <w:t xml:space="preserve"/>
      </w:r>
    </w:p>
    <w:p>
      <w:pPr>
        <w:pStyle w:val="ListParagraph"/>
        <w:numPr>
          <w:ilvl w:val="0"/>
          <w:numId w:val="2"/>
        </w:numPr>
        <w:spacing w:after="40" w:before="40"/>
      </w:pPr>
      <w:r>
        <w:rPr>
          <w:rFonts w:ascii="Arial" w:cs="Arial" w:eastAsia="Arial" w:hAnsi="Arial"/>
          <w:color w:val="222222"/>
          <w:sz w:val="22"/>
          <w:szCs w:val="22"/>
        </w:rPr>
        <w:t xml:space="preserve">Receiving a job arrival event at the task queue (step 200), recording the arrival timestamp, and computing the inter-arrival time delta_i from the previous arrival event.</w:t>
      </w:r>
    </w:p>
    <w:p>
      <w:pPr>
        <w:pStyle w:val="ListParagraph"/>
        <w:numPr>
          <w:ilvl w:val="0"/>
          <w:numId w:val="2"/>
        </w:numPr>
        <w:spacing w:after="40" w:before="40"/>
      </w:pPr>
      <w:r>
        <w:rPr>
          <w:rFonts w:ascii="Arial" w:cs="Arial" w:eastAsia="Arial" w:hAnsi="Arial"/>
          <w:color w:val="222222"/>
          <w:sz w:val="22"/>
          <w:szCs w:val="22"/>
        </w:rPr>
        <w:t xml:space="preserve">Updating the rolling inter-arrival time record (step 210) by appending the newly computed delta_i and, if the record exceeds N entries, evicting the oldest entry.</w:t>
      </w:r>
    </w:p>
    <w:p>
      <w:pPr>
        <w:pStyle w:val="ListParagraph"/>
        <w:numPr>
          <w:ilvl w:val="0"/>
          <w:numId w:val="2"/>
        </w:numPr>
        <w:spacing w:after="40" w:before="40"/>
      </w:pPr>
      <w:r>
        <w:rPr>
          <w:rFonts w:ascii="Arial" w:cs="Arial" w:eastAsia="Arial" w:hAnsi="Arial"/>
          <w:color w:val="222222"/>
          <w:sz w:val="22"/>
          <w:szCs w:val="22"/>
        </w:rPr>
        <w:t xml:space="preserve">Computing the rolling variance V of the N inter-arrival times in the record (step 220) using the sample variance formula described above with respect to the rolling variance computation module.</w:t>
      </w:r>
    </w:p>
    <w:p>
      <w:pPr>
        <w:pStyle w:val="ListParagraph"/>
        <w:numPr>
          <w:ilvl w:val="0"/>
          <w:numId w:val="2"/>
        </w:numPr>
        <w:spacing w:after="40" w:before="40"/>
      </w:pPr>
      <w:r>
        <w:rPr>
          <w:rFonts w:ascii="Arial" w:cs="Arial" w:eastAsia="Arial" w:hAnsi="Arial"/>
          <w:color w:val="222222"/>
          <w:sz w:val="22"/>
          <w:szCs w:val="22"/>
        </w:rPr>
        <w:t xml:space="preserve">Comparing the rolling variance V against the burst detection threshold T_burst (step 230) to produce a binary burst condition indicator.</w:t>
      </w:r>
    </w:p>
    <w:p>
      <w:pPr>
        <w:pStyle w:val="ListParagraph"/>
        <w:numPr>
          <w:ilvl w:val="0"/>
          <w:numId w:val="2"/>
        </w:numPr>
        <w:spacing w:after="40" w:before="40"/>
      </w:pPr>
      <w:r>
        <w:rPr>
          <w:rFonts w:ascii="Arial" w:cs="Arial" w:eastAsia="Arial" w:hAnsi="Arial"/>
          <w:color w:val="222222"/>
          <w:sz w:val="22"/>
          <w:szCs w:val="22"/>
        </w:rPr>
        <w:t xml:space="preserve">If the burst condition indicator is true, selecting the burst prefetch window W_burst (step 240). If the burst condition indicator is false, selecting the base prefetch window W_base (step 250).</w:t>
      </w:r>
    </w:p>
    <w:p>
      <w:pPr>
        <w:pStyle w:val="ListParagraph"/>
        <w:numPr>
          <w:ilvl w:val="0"/>
          <w:numId w:val="2"/>
        </w:numPr>
        <w:spacing w:after="40" w:before="40"/>
      </w:pPr>
      <w:r>
        <w:rPr>
          <w:rFonts w:ascii="Arial" w:cs="Arial" w:eastAsia="Arial" w:hAnsi="Arial"/>
          <w:color w:val="222222"/>
          <w:sz w:val="22"/>
          <w:szCs w:val="22"/>
        </w:rPr>
        <w:t xml:space="preserve">Reading the current queue depth from the queue depth sensor and applying the queue depth weighting function to the selected window to produce the adapted prefetch window W_adapted (step 260).</w:t>
      </w:r>
    </w:p>
    <w:p>
      <w:pPr>
        <w:pStyle w:val="ListParagraph"/>
        <w:numPr>
          <w:ilvl w:val="0"/>
          <w:numId w:val="2"/>
        </w:numPr>
        <w:spacing w:after="40" w:before="40"/>
      </w:pPr>
      <w:r>
        <w:rPr>
          <w:rFonts w:ascii="Arial" w:cs="Arial" w:eastAsia="Arial" w:hAnsi="Arial"/>
          <w:color w:val="222222"/>
          <w:sz w:val="22"/>
          <w:szCs w:val="22"/>
        </w:rPr>
        <w:t xml:space="preserve">Instructing the prefetch executor to load into the cache storage layer all data records associated with jobs expected to arrive within W_adapted milliseconds (step 270), and returning to step 200 upon receipt of the next arrival event.</w:t>
      </w:r>
    </w:p>
    <w:p>
      <w:pPr>
        <w:spacing w:after="0" w:before="80"/>
      </w:pPr>
      <w:r>
        <w:t xml:space="preserve"/>
      </w:r>
    </w:p>
    <w:p>
      <w:pPr>
        <w:pStyle w:val="Heading2"/>
        <w:spacing w:after="80" w:before="300"/>
      </w:pPr>
      <w:r>
        <w:rPr>
          <w:rFonts w:ascii="Arial" w:cs="Arial" w:eastAsia="Arial" w:hAnsi="Arial"/>
          <w:b/>
          <w:bCs/>
          <w:color w:val="2563A8"/>
          <w:sz w:val="24"/>
          <w:szCs w:val="24"/>
        </w:rPr>
        <w:t xml:space="preserve">9.  Specific Embodiment — Implementation in the SmartQueue v2 System</w:t>
      </w:r>
    </w:p>
    <w:p>
      <w:pPr>
        <w:spacing w:after="120" w:before="60"/>
      </w:pPr>
      <w:r>
        <w:rPr>
          <w:rFonts w:ascii="Arial" w:cs="Arial" w:eastAsia="Arial" w:hAnsi="Arial"/>
          <w:color w:val="222222"/>
          <w:sz w:val="22"/>
          <w:szCs w:val="22"/>
        </w:rPr>
        <w:t xml:space="preserve">The following code listing provides a complete implementation of the variance-adaptive prefetch window method of the present invention as implemented in the SmartQueue v2 system. This listing is provided to demonstrate enablement under 35 U.S.C. § 112(a) and constitutes a specific, presently preferred embodiment of the invention. Alternative implementations in other programming languages or computing environments are within the scope of the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 SmartQueue v2 — Predictive Cache</w:t>
            </w:r>
          </w:p>
          <w:p>
            <w:pPr>
              <w:spacing w:after="0" w:before="0"/>
            </w:pPr>
            <w:r>
              <w:rPr>
                <w:rFonts w:ascii="Courier New" w:cs="Courier New" w:eastAsia="Courier New" w:hAnsi="Courier New"/>
                <w:color w:val="D4D4D4"/>
                <w:sz w:val="19"/>
                <w:szCs w:val="19"/>
              </w:rPr>
              <w:t xml:space="preserve">// Inventor: [name] — Conceived April 10, 2026</w:t>
            </w:r>
          </w:p>
          <w:p>
            <w:pPr>
              <w:spacing w:after="0" w:before="0"/>
            </w:pPr>
            <w:r>
              <w:rPr>
                <w:rFonts w:ascii="Courier New" w:cs="Courier New" w:eastAsia="Courier New" w:hAnsi="Courier New"/>
                <w:color w:val="D4D4D4"/>
                <w:sz w:val="19"/>
                <w:szCs w:val="19"/>
              </w:rPr>
              <w:t xml:space="preserve">// Filed: [date]</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class VarianceAdaptivePrefetchCache {</w:t>
            </w:r>
          </w:p>
          <w:p>
            <w:pPr>
              <w:spacing w:after="0" w:before="0"/>
            </w:pPr>
            <w:r>
              <w:rPr>
                <w:rFonts w:ascii="Courier New" w:cs="Courier New" w:eastAsia="Courier New" w:hAnsi="Courier New"/>
                <w:color w:val="D4D4D4"/>
                <w:sz w:val="19"/>
                <w:szCs w:val="19"/>
              </w:rPr>
              <w:t xml:space="preserve">  private readonly N       = 20;       // rolling window size</w:t>
            </w:r>
          </w:p>
          <w:p>
            <w:pPr>
              <w:spacing w:after="0" w:before="0"/>
            </w:pPr>
            <w:r>
              <w:rPr>
                <w:rFonts w:ascii="Courier New" w:cs="Courier New" w:eastAsia="Courier New" w:hAnsi="Courier New"/>
                <w:color w:val="D4D4D4"/>
                <w:sz w:val="19"/>
                <w:szCs w:val="19"/>
              </w:rPr>
              <w:t xml:space="preserve">  private readonly T_burst = 0.4;      // burst detection threshold</w:t>
            </w:r>
          </w:p>
          <w:p>
            <w:pPr>
              <w:spacing w:after="0" w:before="0"/>
            </w:pPr>
            <w:r>
              <w:rPr>
                <w:rFonts w:ascii="Courier New" w:cs="Courier New" w:eastAsia="Courier New" w:hAnsi="Courier New"/>
                <w:color w:val="D4D4D4"/>
                <w:sz w:val="19"/>
                <w:szCs w:val="19"/>
              </w:rPr>
              <w:t xml:space="preserve">  private readonly W_base  = 200;      // base window (ms)</w:t>
            </w:r>
          </w:p>
          <w:p>
            <w:pPr>
              <w:spacing w:after="0" w:before="0"/>
            </w:pPr>
            <w:r>
              <w:rPr>
                <w:rFonts w:ascii="Courier New" w:cs="Courier New" w:eastAsia="Courier New" w:hAnsi="Courier New"/>
                <w:color w:val="D4D4D4"/>
                <w:sz w:val="19"/>
                <w:szCs w:val="19"/>
              </w:rPr>
              <w:t xml:space="preserve">  private readonly factor  = 1.5;      // burst window multiplier</w:t>
            </w:r>
          </w:p>
          <w:p>
            <w:pPr>
              <w:spacing w:after="0" w:before="0"/>
            </w:pPr>
            <w:r>
              <w:rPr>
                <w:rFonts w:ascii="Courier New" w:cs="Courier New" w:eastAsia="Courier New" w:hAnsi="Courier New"/>
                <w:color w:val="D4D4D4"/>
                <w:sz w:val="19"/>
                <w:szCs w:val="19"/>
              </w:rPr>
              <w:t xml:space="preserve">  private readonly alpha   = 0.02;     // queue depth coefficient</w:t>
            </w:r>
          </w:p>
          <w:p>
            <w:pPr>
              <w:spacing w:after="0" w:before="0"/>
            </w:pPr>
            <w:r>
              <w:rPr>
                <w:rFonts w:ascii="Courier New" w:cs="Courier New" w:eastAsia="Courier New" w:hAnsi="Courier New"/>
                <w:color w:val="D4D4D4"/>
                <w:sz w:val="19"/>
                <w:szCs w:val="19"/>
              </w:rPr>
              <w:t xml:space="preserve">  private arrivals: number[] = [];</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onJobArrival(timestamp: number, queueDepth: number): number {</w:t>
            </w:r>
          </w:p>
          <w:p>
            <w:pPr>
              <w:spacing w:after="0" w:before="0"/>
            </w:pPr>
            <w:r>
              <w:rPr>
                <w:rFonts w:ascii="Courier New" w:cs="Courier New" w:eastAsia="Courier New" w:hAnsi="Courier New"/>
                <w:color w:val="D4D4D4"/>
                <w:sz w:val="19"/>
                <w:szCs w:val="19"/>
              </w:rPr>
              <w:t xml:space="preserve">    this.updateRecord(timestamp);</w:t>
            </w:r>
          </w:p>
          <w:p>
            <w:pPr>
              <w:spacing w:after="0" w:before="0"/>
            </w:pPr>
            <w:r>
              <w:rPr>
                <w:rFonts w:ascii="Courier New" w:cs="Courier New" w:eastAsia="Courier New" w:hAnsi="Courier New"/>
                <w:color w:val="D4D4D4"/>
                <w:sz w:val="19"/>
                <w:szCs w:val="19"/>
              </w:rPr>
              <w:t xml:space="preserve">    const variance   = this.rollingVariance();</w:t>
            </w:r>
          </w:p>
          <w:p>
            <w:pPr>
              <w:spacing w:after="0" w:before="0"/>
            </w:pPr>
            <w:r>
              <w:rPr>
                <w:rFonts w:ascii="Courier New" w:cs="Courier New" w:eastAsia="Courier New" w:hAnsi="Courier New"/>
                <w:color w:val="D4D4D4"/>
                <w:sz w:val="19"/>
                <w:szCs w:val="19"/>
              </w:rPr>
              <w:t xml:space="preserve">    const isBurst    = variance &gt; this.T_burst;</w:t>
            </w:r>
          </w:p>
          <w:p>
            <w:pPr>
              <w:spacing w:after="0" w:before="0"/>
            </w:pPr>
            <w:r>
              <w:rPr>
                <w:rFonts w:ascii="Courier New" w:cs="Courier New" w:eastAsia="Courier New" w:hAnsi="Courier New"/>
                <w:color w:val="D4D4D4"/>
                <w:sz w:val="19"/>
                <w:szCs w:val="19"/>
              </w:rPr>
              <w:t xml:space="preserve">    const W_selected = isBurst ? this.W_base * this.factor : this.W_base;</w:t>
            </w:r>
          </w:p>
          <w:p>
            <w:pPr>
              <w:spacing w:after="0" w:before="0"/>
            </w:pPr>
            <w:r>
              <w:rPr>
                <w:rFonts w:ascii="Courier New" w:cs="Courier New" w:eastAsia="Courier New" w:hAnsi="Courier New"/>
                <w:color w:val="D4D4D4"/>
                <w:sz w:val="19"/>
                <w:szCs w:val="19"/>
              </w:rPr>
              <w:t xml:space="preserve">    const W_adapted  = W_selected * (1 + this.alpha * queueDepth);</w:t>
            </w:r>
          </w:p>
          <w:p>
            <w:pPr>
              <w:spacing w:after="0" w:before="0"/>
            </w:pPr>
            <w:r>
              <w:rPr>
                <w:rFonts w:ascii="Courier New" w:cs="Courier New" w:eastAsia="Courier New" w:hAnsi="Courier New"/>
                <w:color w:val="D4D4D4"/>
                <w:sz w:val="19"/>
                <w:szCs w:val="19"/>
              </w:rPr>
              <w:t xml:space="preserve">    return W_adapted;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private updateRecord(t: number): void {</w:t>
            </w:r>
          </w:p>
          <w:p>
            <w:pPr>
              <w:spacing w:after="0" w:before="0"/>
            </w:pPr>
            <w:r>
              <w:rPr>
                <w:rFonts w:ascii="Courier New" w:cs="Courier New" w:eastAsia="Courier New" w:hAnsi="Courier New"/>
                <w:color w:val="D4D4D4"/>
                <w:sz w:val="19"/>
                <w:szCs w:val="19"/>
              </w:rPr>
              <w:t xml:space="preserve">    if (this.arrivals.length &gt;= this.N)</w:t>
            </w:r>
          </w:p>
          <w:p>
            <w:pPr>
              <w:spacing w:after="0" w:before="0"/>
            </w:pPr>
            <w:r>
              <w:rPr>
                <w:rFonts w:ascii="Courier New" w:cs="Courier New" w:eastAsia="Courier New" w:hAnsi="Courier New"/>
                <w:color w:val="D4D4D4"/>
                <w:sz w:val="19"/>
                <w:szCs w:val="19"/>
              </w:rPr>
              <w:t xml:space="preserve">      this.arrivals.shift();</w:t>
            </w:r>
          </w:p>
          <w:p>
            <w:pPr>
              <w:spacing w:after="0" w:before="0"/>
            </w:pPr>
            <w:r>
              <w:rPr>
                <w:rFonts w:ascii="Courier New" w:cs="Courier New" w:eastAsia="Courier New" w:hAnsi="Courier New"/>
                <w:color w:val="D4D4D4"/>
                <w:sz w:val="19"/>
                <w:szCs w:val="19"/>
              </w:rPr>
              <w:t xml:space="preserve">    this.arrivals.push(t);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private rollingVariance(): number {</w:t>
            </w:r>
          </w:p>
          <w:p>
            <w:pPr>
              <w:spacing w:after="0" w:before="0"/>
            </w:pPr>
            <w:r>
              <w:rPr>
                <w:rFonts w:ascii="Courier New" w:cs="Courier New" w:eastAsia="Courier New" w:hAnsi="Courier New"/>
                <w:color w:val="D4D4D4"/>
                <w:sz w:val="19"/>
                <w:szCs w:val="19"/>
              </w:rPr>
              <w:t xml:space="preserve">    const n = this.arrivals.length;</w:t>
            </w:r>
          </w:p>
          <w:p>
            <w:pPr>
              <w:spacing w:after="0" w:before="0"/>
            </w:pPr>
            <w:r>
              <w:rPr>
                <w:rFonts w:ascii="Courier New" w:cs="Courier New" w:eastAsia="Courier New" w:hAnsi="Courier New"/>
                <w:color w:val="D4D4D4"/>
                <w:sz w:val="19"/>
                <w:szCs w:val="19"/>
              </w:rPr>
              <w:t xml:space="preserve">    if (n &lt; 2) return 0;</w:t>
            </w:r>
          </w:p>
          <w:p>
            <w:pPr>
              <w:spacing w:after="0" w:before="0"/>
            </w:pPr>
            <w:r>
              <w:rPr>
                <w:rFonts w:ascii="Courier New" w:cs="Courier New" w:eastAsia="Courier New" w:hAnsi="Courier New"/>
                <w:color w:val="D4D4D4"/>
                <w:sz w:val="19"/>
                <w:szCs w:val="19"/>
              </w:rPr>
              <w:t xml:space="preserve">    const deltas: number[] = [];</w:t>
            </w:r>
          </w:p>
          <w:p>
            <w:pPr>
              <w:spacing w:after="0" w:before="0"/>
            </w:pPr>
            <w:r>
              <w:rPr>
                <w:rFonts w:ascii="Courier New" w:cs="Courier New" w:eastAsia="Courier New" w:hAnsi="Courier New"/>
                <w:color w:val="D4D4D4"/>
                <w:sz w:val="19"/>
                <w:szCs w:val="19"/>
              </w:rPr>
              <w:t xml:space="preserve">    for (let i = 1; i &lt; n; i++)</w:t>
            </w:r>
          </w:p>
          <w:p>
            <w:pPr>
              <w:spacing w:after="0" w:before="0"/>
            </w:pPr>
            <w:r>
              <w:rPr>
                <w:rFonts w:ascii="Courier New" w:cs="Courier New" w:eastAsia="Courier New" w:hAnsi="Courier New"/>
                <w:color w:val="D4D4D4"/>
                <w:sz w:val="19"/>
                <w:szCs w:val="19"/>
              </w:rPr>
              <w:t xml:space="preserve">      deltas.push(this.arrivals[i] - this.arrivals[i-1]);</w:t>
            </w:r>
          </w:p>
          <w:p>
            <w:pPr>
              <w:spacing w:after="0" w:before="0"/>
            </w:pPr>
            <w:r>
              <w:rPr>
                <w:rFonts w:ascii="Courier New" w:cs="Courier New" w:eastAsia="Courier New" w:hAnsi="Courier New"/>
                <w:color w:val="D4D4D4"/>
                <w:sz w:val="19"/>
                <w:szCs w:val="19"/>
              </w:rPr>
              <w:t xml:space="preserve">    const mu = deltas.reduce((s,d) =&gt; s+d, 0) / deltas.length;</w:t>
            </w:r>
          </w:p>
          <w:p>
            <w:pPr>
              <w:spacing w:after="0" w:before="0"/>
            </w:pPr>
            <w:r>
              <w:rPr>
                <w:rFonts w:ascii="Courier New" w:cs="Courier New" w:eastAsia="Courier New" w:hAnsi="Courier New"/>
                <w:color w:val="D4D4D4"/>
                <w:sz w:val="19"/>
                <w:szCs w:val="19"/>
              </w:rPr>
              <w:t xml:space="preserve">    return deltas.reduce((s,d) =&gt; s + Math.pow(d - mu, 2), 0)</w:t>
            </w:r>
          </w:p>
          <w:p>
            <w:pPr>
              <w:spacing w:after="0" w:before="0"/>
            </w:pPr>
            <w:r>
              <w:rPr>
                <w:rFonts w:ascii="Courier New" w:cs="Courier New" w:eastAsia="Courier New" w:hAnsi="Courier New"/>
                <w:color w:val="D4D4D4"/>
                <w:sz w:val="19"/>
                <w:szCs w:val="19"/>
              </w:rPr>
              <w:t xml:space="preserve">           / deltas.length;</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tc>
      </w:tr>
    </w:tbl>
    <w:p>
      <w:pPr>
        <w:spacing w:after="0" w:before="80"/>
      </w:pPr>
      <w:r>
        <w:t xml:space="preserve"/>
      </w:r>
    </w:p>
    <w:p>
      <w:pPr>
        <w:pStyle w:val="Heading2"/>
        <w:spacing w:after="80" w:before="300"/>
      </w:pPr>
      <w:r>
        <w:rPr>
          <w:rFonts w:ascii="Arial" w:cs="Arial" w:eastAsia="Arial" w:hAnsi="Arial"/>
          <w:b/>
          <w:bCs/>
          <w:color w:val="2563A8"/>
          <w:sz w:val="24"/>
          <w:szCs w:val="24"/>
        </w:rPr>
        <w:t xml:space="preserve">10.  Alternative Embodiments</w:t>
      </w:r>
    </w:p>
    <w:p>
      <w:pPr>
        <w:spacing w:after="120" w:before="60"/>
      </w:pPr>
      <w:r>
        <w:rPr>
          <w:rFonts w:ascii="Arial" w:cs="Arial" w:eastAsia="Arial" w:hAnsi="Arial"/>
          <w:color w:val="222222"/>
          <w:sz w:val="22"/>
          <w:szCs w:val="22"/>
        </w:rPr>
        <w:t xml:space="preserve">The following alternative embodiments are within the scope of the claims and are described to ensure that the claims are not limited to the specific parameter values of the preferred embodiment:</w:t>
      </w:r>
    </w:p>
    <w:p>
      <w:pPr>
        <w:spacing w:after="0" w:before="40"/>
      </w:pPr>
      <w:r>
        <w:t xml:space="preserve"/>
      </w:r>
    </w:p>
    <w:p>
      <w:pPr>
        <w:pStyle w:val="ListParagraph"/>
        <w:numPr>
          <w:ilvl w:val="0"/>
          <w:numId w:val="3"/>
        </w:numPr>
        <w:spacing w:after="40" w:before="40"/>
      </w:pPr>
      <w:r>
        <w:rPr>
          <w:rFonts w:ascii="Arial" w:cs="Arial" w:eastAsia="Arial" w:hAnsi="Arial"/>
          <w:color w:val="222222"/>
          <w:sz w:val="22"/>
          <w:szCs w:val="22"/>
        </w:rPr>
        <w:t xml:space="preserve">The burst detection threshold T_burst may be any value in the range of 0.1 to 2.0, configurable by the system operator or derived from an automated profiling procedure applied to the target workload.</w:t>
      </w:r>
    </w:p>
    <w:p>
      <w:pPr>
        <w:pStyle w:val="ListParagraph"/>
        <w:numPr>
          <w:ilvl w:val="0"/>
          <w:numId w:val="3"/>
        </w:numPr>
        <w:spacing w:after="40" w:before="40"/>
      </w:pPr>
      <w:r>
        <w:rPr>
          <w:rFonts w:ascii="Arial" w:cs="Arial" w:eastAsia="Arial" w:hAnsi="Arial"/>
          <w:color w:val="222222"/>
          <w:sz w:val="22"/>
          <w:szCs w:val="22"/>
        </w:rPr>
        <w:t xml:space="preserve">The base prefetch window W_base may be any value determined by empirical characterization of the workload's mean inter-arrival time under non-burst conditions.</w:t>
      </w:r>
    </w:p>
    <w:p>
      <w:pPr>
        <w:pStyle w:val="ListParagraph"/>
        <w:numPr>
          <w:ilvl w:val="0"/>
          <w:numId w:val="3"/>
        </w:numPr>
        <w:spacing w:after="40" w:before="40"/>
      </w:pPr>
      <w:r>
        <w:rPr>
          <w:rFonts w:ascii="Arial" w:cs="Arial" w:eastAsia="Arial" w:hAnsi="Arial"/>
          <w:color w:val="222222"/>
          <w:sz w:val="22"/>
          <w:szCs w:val="22"/>
        </w:rPr>
        <w:t xml:space="preserve">The burst window multiplier may be any value greater than 1.0, determined by empirical measurement of the ratio of burst-period to non-burst-period mean inter-arrival times for the target workload.</w:t>
      </w:r>
    </w:p>
    <w:p>
      <w:pPr>
        <w:pStyle w:val="ListParagraph"/>
        <w:numPr>
          <w:ilvl w:val="0"/>
          <w:numId w:val="3"/>
        </w:numPr>
        <w:spacing w:after="40" w:before="40"/>
      </w:pPr>
      <w:r>
        <w:rPr>
          <w:rFonts w:ascii="Arial" w:cs="Arial" w:eastAsia="Arial" w:hAnsi="Arial"/>
          <w:color w:val="222222"/>
          <w:sz w:val="22"/>
          <w:szCs w:val="22"/>
        </w:rPr>
        <w:t xml:space="preserve">The rolling window size N may be any value in the range of 5 to 100, with larger values providing greater statistical stability at the cost of slower response to emerging burst conditions.</w:t>
      </w:r>
    </w:p>
    <w:p>
      <w:pPr>
        <w:pStyle w:val="ListParagraph"/>
        <w:numPr>
          <w:ilvl w:val="0"/>
          <w:numId w:val="3"/>
        </w:numPr>
        <w:spacing w:after="40" w:before="40"/>
      </w:pPr>
      <w:r>
        <w:rPr>
          <w:rFonts w:ascii="Arial" w:cs="Arial" w:eastAsia="Arial" w:hAnsi="Arial"/>
          <w:color w:val="222222"/>
          <w:sz w:val="22"/>
          <w:szCs w:val="22"/>
        </w:rPr>
        <w:t xml:space="preserve">The queue depth weighting coefficient alpha may be any non-negative value, including zero, in which case the adapted window equals the selected window and the queue depth coupling is disabled.</w:t>
      </w:r>
    </w:p>
    <w:p>
      <w:pPr>
        <w:pStyle w:val="ListParagraph"/>
        <w:numPr>
          <w:ilvl w:val="0"/>
          <w:numId w:val="3"/>
        </w:numPr>
        <w:spacing w:after="40" w:before="40"/>
      </w:pPr>
      <w:r>
        <w:rPr>
          <w:rFonts w:ascii="Arial" w:cs="Arial" w:eastAsia="Arial" w:hAnsi="Arial"/>
          <w:color w:val="222222"/>
          <w:sz w:val="22"/>
          <w:szCs w:val="22"/>
        </w:rPr>
        <w:t xml:space="preserve">The burst condition indicator may be implemented as a continuous probability estimate rather than a binary threshold comparison, in which case the window selection function maps the probability estimate to a window duration through a configurable transfer function.</w:t>
      </w:r>
    </w:p>
    <w:p>
      <w:pPr>
        <w:pStyle w:val="ListParagraph"/>
        <w:numPr>
          <w:ilvl w:val="0"/>
          <w:numId w:val="3"/>
        </w:numPr>
        <w:spacing w:after="40" w:before="40"/>
      </w:pPr>
      <w:r>
        <w:rPr>
          <w:rFonts w:ascii="Arial" w:cs="Arial" w:eastAsia="Arial" w:hAnsi="Arial"/>
          <w:color w:val="222222"/>
          <w:sz w:val="22"/>
          <w:szCs w:val="22"/>
        </w:rPr>
        <w:t xml:space="preserve">The rolling variance computation may be replaced by the standard deviation, the coefficient of variation, the interquartile range, or any other statistical measure of dispersion of the inter-arrival time distribution, provided such measure is sensitive to the bursty arrival patterns the system is designed to detect.</w:t>
      </w:r>
    </w:p>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10"/>
              <w:bottom w:val="single" w:color="B7590A" w:sz="1"/>
              <w:right w:val="single" w:color="B7590A" w:sz="1"/>
            </w:tcBorders>
            <w:shd w:fill="FEF3E2" w:val="clear"/>
            <w:tcMar>
              <w:top w:type="dxa" w:w="140"/>
              <w:left w:type="dxa" w:w="220"/>
              <w:bottom w:type="dxa" w:w="140"/>
              <w:right w:type="dxa" w:w="220"/>
            </w:tcMar>
          </w:tcPr>
          <w:p>
            <w:pPr>
              <w:spacing w:after="40"/>
            </w:pPr>
            <w:r>
              <w:rPr>
                <w:rFonts w:ascii="Arial" w:cs="Arial" w:eastAsia="Arial" w:hAnsi="Arial"/>
                <w:b/>
                <w:bCs/>
                <w:color w:val="B7590A"/>
                <w:sz w:val="18"/>
                <w:szCs w:val="18"/>
              </w:rPr>
              <w:t xml:space="preserve">COUNSEL NOTE — Claim drafting philosophy</w:t>
            </w:r>
          </w:p>
          <w:p>
            <w:pPr>
              <w:spacing w:after="60" w:before="0"/>
            </w:pPr>
            <w:r>
              <w:rPr>
                <w:rFonts w:ascii="Arial" w:cs="Arial" w:eastAsia="Arial" w:hAnsi="Arial"/>
                <w:color w:val="222222"/>
                <w:sz w:val="20"/>
                <w:szCs w:val="20"/>
              </w:rPr>
              <w:t xml:space="preserve">The claims below are drafted in order of decreasing scope. Independent claims 1 (method) and 10 (system) define the broadest scope consistent with the specification and prior art. Dependent claims 2–9 and 11–14 narrow to the specific values and configurations of the preferred embodiment. Counsel should: (1) confirm that each claim element has written description support in the specification; (2) evaluate the claims against identified prior art before filing; (3) consider whether a means-plus-function format is appropriate for any system claim elements (if so, the corresponding structure must be explicitly identified in the specification); and (4) prepare the claims in formal USPTO format with correct claim dependency numbering.</w:t>
            </w:r>
          </w:p>
          <w:p>
            <w:pPr>
              <w:spacing w:after="60" w:before="0"/>
            </w:pPr>
            <w:r>
              <w:rPr>
                <w:rFonts w:ascii="Arial" w:cs="Arial" w:eastAsia="Arial" w:hAnsi="Arial"/>
                <w:color w:val="222222"/>
                <w:sz w:val="20"/>
                <w:szCs w:val="20"/>
              </w:rPr>
              <w:t xml:space="preserve">CRITICAL: Independent claims are drafted to avoid the Recentive/Rensselaer problem. They do not merely recite 'using a statistical measure' or 'applying ML to a new environment.' They recite the specific structural mechanism (rolling variance computation, threshold comparison, discrete window selection, queue depth weighting) that together constitute the claimed improvement.</w:t>
            </w:r>
          </w:p>
        </w:tc>
      </w:tr>
    </w:tbl>
    <w:p>
      <w:pPr>
        <w:spacing w:after="0" w:before="120"/>
      </w:pPr>
      <w:r>
        <w:t xml:space="preserve"/>
      </w:r>
    </w:p>
    <w:p>
      <w:pPr>
        <w:pStyle w:val="Heading2"/>
        <w:spacing w:after="80" w:before="300"/>
      </w:pPr>
      <w:r>
        <w:rPr>
          <w:rFonts w:ascii="Arial" w:cs="Arial" w:eastAsia="Arial" w:hAnsi="Arial"/>
          <w:b/>
          <w:bCs/>
          <w:color w:val="2563A8"/>
          <w:sz w:val="24"/>
          <w:szCs w:val="24"/>
        </w:rPr>
        <w:t xml:space="preserve">Independent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3FC"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1  (Independent method claim)</w:t>
            </w:r>
          </w:p>
          <w:p>
            <w:pPr>
              <w:spacing w:after="40" w:before="40"/>
            </w:pPr>
            <w:r>
              <w:rPr>
                <w:rFonts w:ascii="Arial" w:cs="Arial" w:eastAsia="Arial" w:hAnsi="Arial"/>
                <w:color w:val="111111"/>
                <w:sz w:val="21"/>
                <w:szCs w:val="21"/>
              </w:rPr>
              <w:t xml:space="preserve">A computer-implemented method for adapting a prefetch window duration in a cache system associated with a task queue, the method comprising:</w:t>
            </w:r>
          </w:p>
          <w:p>
            <w:pPr>
              <w:spacing w:after="40" w:before="40"/>
            </w:pPr>
            <w:r>
              <w:rPr>
                <w:rFonts w:ascii="Arial" w:cs="Arial" w:eastAsia="Arial" w:hAnsi="Arial"/>
                <w:color w:val="111111"/>
                <w:sz w:val="21"/>
                <w:szCs w:val="21"/>
              </w:rPr>
              <w:t xml:space="preserve">maintaining, by a processor executing a rolling variance computation module, a record of inter-arrival time intervals between consecutive job arrival events at the task queue, the record comprising the N most recent inter-arrival time intervals, wherein N is a positive integer;</w:t>
            </w:r>
          </w:p>
          <w:p>
            <w:pPr>
              <w:spacing w:after="40" w:before="40"/>
            </w:pPr>
            <w:r>
              <w:rPr>
                <w:rFonts w:ascii="Arial" w:cs="Arial" w:eastAsia="Arial" w:hAnsi="Arial"/>
                <w:color w:val="111111"/>
                <w:sz w:val="21"/>
                <w:szCs w:val="21"/>
              </w:rPr>
              <w:t xml:space="preserve">computing, from the record of inter-arrival time intervals, a rolling variance of the inter-arrival time intervals, the rolling variance being computed as the sample variance of the N most recent inter-arrival time intervals;</w:t>
            </w:r>
          </w:p>
          <w:p>
            <w:pPr>
              <w:spacing w:after="40" w:before="40"/>
            </w:pPr>
            <w:r>
              <w:rPr>
                <w:rFonts w:ascii="Arial" w:cs="Arial" w:eastAsia="Arial" w:hAnsi="Arial"/>
                <w:color w:val="111111"/>
                <w:sz w:val="21"/>
                <w:szCs w:val="21"/>
              </w:rPr>
              <w:t xml:space="preserve">comparing the rolling variance to a burst detection threshold to produce a burst condition indicator, the burst detection threshold being a pre-established value derived from empirical characterization of the bursty arrival behavior of the task queue's workload;</w:t>
            </w:r>
          </w:p>
          <w:p>
            <w:pPr>
              <w:spacing w:after="40" w:before="40"/>
            </w:pPr>
            <w:r>
              <w:rPr>
                <w:rFonts w:ascii="Arial" w:cs="Arial" w:eastAsia="Arial" w:hAnsi="Arial"/>
                <w:color w:val="111111"/>
                <w:sz w:val="21"/>
                <w:szCs w:val="21"/>
              </w:rPr>
              <w:t xml:space="preserve">selecting, based on the burst condition indicator, a prefetch window duration from a set of at least two pre-computed prefetch window configurations, comprising a base prefetch window duration for use when the burst condition indicator indicates a non-burst arrival condition, and a burst prefetch window duration for use when the burst condition indicator indicates a burst arrival condition, the burst prefetch window duration being greater than the base prefetch window duration;</w:t>
            </w:r>
          </w:p>
          <w:p>
            <w:pPr>
              <w:spacing w:after="40" w:before="40"/>
            </w:pPr>
            <w:r>
              <w:rPr>
                <w:rFonts w:ascii="Arial" w:cs="Arial" w:eastAsia="Arial" w:hAnsi="Arial"/>
                <w:color w:val="111111"/>
                <w:sz w:val="21"/>
                <w:szCs w:val="21"/>
              </w:rPr>
              <w:t xml:space="preserve">reading a current queue depth value from the task queue, the current queue depth value representing a count of job records currently present in the task queue;</w:t>
            </w:r>
          </w:p>
          <w:p>
            <w:pPr>
              <w:spacing w:after="40" w:before="40"/>
            </w:pPr>
            <w:r>
              <w:rPr>
                <w:rFonts w:ascii="Arial" w:cs="Arial" w:eastAsia="Arial" w:hAnsi="Arial"/>
                <w:color w:val="111111"/>
                <w:sz w:val="21"/>
                <w:szCs w:val="21"/>
              </w:rPr>
              <w:t xml:space="preserve">computing an adapted prefetch window duration by applying a queue depth weighting function to the selected prefetch window duration, the queue depth weighting function being a monotonically increasing function of the current queue depth value; and</w:t>
            </w:r>
          </w:p>
          <w:p>
            <w:pPr>
              <w:spacing w:after="40" w:before="40"/>
            </w:pPr>
            <w:r>
              <w:rPr>
                <w:rFonts w:ascii="Arial" w:cs="Arial" w:eastAsia="Arial" w:hAnsi="Arial"/>
                <w:color w:val="111111"/>
                <w:sz w:val="21"/>
                <w:szCs w:val="21"/>
              </w:rPr>
              <w:t xml:space="preserve">executing a prefetch operation that loads into a cache storage layer data records associated with jobs expected to arrive at the task queue within the adapted prefetch window duration.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3FC"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10  (Independent system claim)</w:t>
            </w:r>
          </w:p>
          <w:p>
            <w:pPr>
              <w:spacing w:after="40" w:before="40"/>
            </w:pPr>
            <w:r>
              <w:rPr>
                <w:rFonts w:ascii="Arial" w:cs="Arial" w:eastAsia="Arial" w:hAnsi="Arial"/>
                <w:color w:val="111111"/>
                <w:sz w:val="21"/>
                <w:szCs w:val="21"/>
              </w:rPr>
              <w:t xml:space="preserve">A system for variance-adaptive prefetch window sizing in a queue-aware cache environment, the system comprising:</w:t>
            </w:r>
          </w:p>
          <w:p>
            <w:pPr>
              <w:spacing w:after="40" w:before="40"/>
            </w:pPr>
            <w:r>
              <w:rPr>
                <w:rFonts w:ascii="Arial" w:cs="Arial" w:eastAsia="Arial" w:hAnsi="Arial"/>
                <w:color w:val="111111"/>
                <w:sz w:val="21"/>
                <w:szCs w:val="21"/>
              </w:rPr>
              <w:t xml:space="preserve">a task queue configured to receive and hold job records pending processing;</w:t>
            </w:r>
          </w:p>
          <w:p>
            <w:pPr>
              <w:spacing w:after="40" w:before="40"/>
            </w:pPr>
            <w:r>
              <w:rPr>
                <w:rFonts w:ascii="Arial" w:cs="Arial" w:eastAsia="Arial" w:hAnsi="Arial"/>
                <w:color w:val="111111"/>
                <w:sz w:val="21"/>
                <w:szCs w:val="21"/>
              </w:rPr>
              <w:t xml:space="preserve">a cache storage layer configured to store prefetched data records in a fast-access memory;</w:t>
            </w:r>
          </w:p>
          <w:p>
            <w:pPr>
              <w:spacing w:after="40" w:before="40"/>
            </w:pPr>
            <w:r>
              <w:rPr>
                <w:rFonts w:ascii="Arial" w:cs="Arial" w:eastAsia="Arial" w:hAnsi="Arial"/>
                <w:color w:val="111111"/>
                <w:sz w:val="21"/>
                <w:szCs w:val="21"/>
              </w:rPr>
              <w:t xml:space="preserve">one or more processors; and</w:t>
            </w:r>
          </w:p>
          <w:p>
            <w:pPr>
              <w:spacing w:after="40" w:before="40"/>
            </w:pPr>
            <w:r>
              <w:rPr>
                <w:rFonts w:ascii="Arial" w:cs="Arial" w:eastAsia="Arial" w:hAnsi="Arial"/>
                <w:color w:val="111111"/>
                <w:sz w:val="21"/>
                <w:szCs w:val="21"/>
              </w:rPr>
              <w:t xml:space="preserve">a non-transitory computer-readable medium storing instructions that, when executed by the one or more processors, implement:</w:t>
            </w:r>
          </w:p>
          <w:p>
            <w:pPr>
              <w:spacing w:after="40" w:before="40"/>
            </w:pPr>
            <w:r>
              <w:rPr>
                <w:rFonts w:ascii="Arial" w:cs="Arial" w:eastAsia="Arial" w:hAnsi="Arial"/>
                <w:color w:val="111111"/>
                <w:sz w:val="21"/>
                <w:szCs w:val="21"/>
              </w:rPr>
              <w:t xml:space="preserve">an inter-arrival time monitor configured to record, for each job arrival event at the task queue, the time interval elapsed since the immediately preceding job arrival event, and to maintain a sliding record of the N most recent inter-arrival time intervals;</w:t>
            </w:r>
          </w:p>
          <w:p>
            <w:pPr>
              <w:spacing w:after="40" w:before="40"/>
            </w:pPr>
            <w:r>
              <w:rPr>
                <w:rFonts w:ascii="Arial" w:cs="Arial" w:eastAsia="Arial" w:hAnsi="Arial"/>
                <w:color w:val="111111"/>
                <w:sz w:val="21"/>
                <w:szCs w:val="21"/>
              </w:rPr>
              <w:t xml:space="preserve">a rolling variance computation module configured to compute a sample variance of the N inter-arrival time intervals in the record;</w:t>
            </w:r>
          </w:p>
          <w:p>
            <w:pPr>
              <w:spacing w:after="40" w:before="40"/>
            </w:pPr>
            <w:r>
              <w:rPr>
                <w:rFonts w:ascii="Arial" w:cs="Arial" w:eastAsia="Arial" w:hAnsi="Arial"/>
                <w:color w:val="111111"/>
                <w:sz w:val="21"/>
                <w:szCs w:val="21"/>
              </w:rPr>
              <w:t xml:space="preserve">a burst detection comparator configured to compare the sample variance to a burst detection threshold and to produce a burst condition indicator;</w:t>
            </w:r>
          </w:p>
          <w:p>
            <w:pPr>
              <w:spacing w:after="40" w:before="40"/>
            </w:pPr>
            <w:r>
              <w:rPr>
                <w:rFonts w:ascii="Arial" w:cs="Arial" w:eastAsia="Arial" w:hAnsi="Arial"/>
                <w:color w:val="111111"/>
                <w:sz w:val="21"/>
                <w:szCs w:val="21"/>
              </w:rPr>
              <w:t xml:space="preserve">a window selection module configured to select, based on the burst condition indicator, one of a base prefetch window duration or a burst prefetch window duration;</w:t>
            </w:r>
          </w:p>
          <w:p>
            <w:pPr>
              <w:spacing w:after="40" w:before="40"/>
            </w:pPr>
            <w:r>
              <w:rPr>
                <w:rFonts w:ascii="Arial" w:cs="Arial" w:eastAsia="Arial" w:hAnsi="Arial"/>
                <w:color w:val="111111"/>
                <w:sz w:val="21"/>
                <w:szCs w:val="21"/>
              </w:rPr>
              <w:t xml:space="preserve">a queue depth sensor configured to read a current count of job records present in the task queue;</w:t>
            </w:r>
          </w:p>
          <w:p>
            <w:pPr>
              <w:spacing w:after="40" w:before="40"/>
            </w:pPr>
            <w:r>
              <w:rPr>
                <w:rFonts w:ascii="Arial" w:cs="Arial" w:eastAsia="Arial" w:hAnsi="Arial"/>
                <w:color w:val="111111"/>
                <w:sz w:val="21"/>
                <w:szCs w:val="21"/>
              </w:rPr>
              <w:t xml:space="preserve">a window weighting module configured to compute an adapted prefetch window duration by applying a queue depth weighting function to the selected prefetch window duration, the queue depth weighting function being a monotonically increasing function of the current queue depth count; and</w:t>
            </w:r>
          </w:p>
          <w:p>
            <w:pPr>
              <w:spacing w:after="40" w:before="40"/>
            </w:pPr>
            <w:r>
              <w:rPr>
                <w:rFonts w:ascii="Arial" w:cs="Arial" w:eastAsia="Arial" w:hAnsi="Arial"/>
                <w:color w:val="111111"/>
                <w:sz w:val="21"/>
                <w:szCs w:val="21"/>
              </w:rPr>
              <w:t xml:space="preserve">a prefetch executor configured to load into the cache storage layer data records associated with jobs expected to arrive within the adapted prefetch window duration.</w:t>
            </w:r>
          </w:p>
        </w:tc>
      </w:tr>
    </w:tbl>
    <w:p>
      <w:pPr>
        <w:spacing w:after="0" w:before="120"/>
      </w:pPr>
      <w:r>
        <w:t xml:space="preserve"/>
      </w:r>
    </w:p>
    <w:p>
      <w:pPr>
        <w:pStyle w:val="Heading2"/>
        <w:spacing w:after="80" w:before="300"/>
      </w:pPr>
      <w:r>
        <w:rPr>
          <w:rFonts w:ascii="Arial" w:cs="Arial" w:eastAsia="Arial" w:hAnsi="Arial"/>
          <w:b/>
          <w:bCs/>
          <w:color w:val="2563A8"/>
          <w:sz w:val="24"/>
          <w:szCs w:val="24"/>
        </w:rPr>
        <w:t xml:space="preserve">Dependent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2  (Dependent — threshold value)</w:t>
            </w:r>
          </w:p>
          <w:p>
            <w:pPr>
              <w:spacing w:after="40" w:before="40"/>
            </w:pPr>
            <w:r>
              <w:rPr>
                <w:rFonts w:ascii="Arial" w:cs="Arial" w:eastAsia="Arial" w:hAnsi="Arial"/>
                <w:color w:val="111111"/>
                <w:sz w:val="21"/>
                <w:szCs w:val="21"/>
              </w:rPr>
              <w:t xml:space="preserve">The method of claim 1, wherein the burst detection threshold is 0.4, the value being derived from empirical measurement of the inter-arrival time variance distribution of the task queue's workload over a representative sample of production traffic.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3  (Dependent — window values)</w:t>
            </w:r>
          </w:p>
          <w:p>
            <w:pPr>
              <w:spacing w:after="40" w:before="40"/>
            </w:pPr>
            <w:r>
              <w:rPr>
                <w:rFonts w:ascii="Arial" w:cs="Arial" w:eastAsia="Arial" w:hAnsi="Arial"/>
                <w:color w:val="111111"/>
                <w:sz w:val="21"/>
                <w:szCs w:val="21"/>
              </w:rPr>
              <w:t xml:space="preserve">The method of claim 1, wherein the base prefetch window duration is 200 milliseconds and the burst prefetch window duration is 300 milliseconds, the burst prefetch window duration being 1.5 times the base prefetch window duration.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4  (Dependent — queue depth weighting function)</w:t>
            </w:r>
          </w:p>
          <w:p>
            <w:pPr>
              <w:spacing w:after="40" w:before="40"/>
            </w:pPr>
            <w:r>
              <w:rPr>
                <w:rFonts w:ascii="Arial" w:cs="Arial" w:eastAsia="Arial" w:hAnsi="Arial"/>
                <w:color w:val="111111"/>
                <w:sz w:val="21"/>
                <w:szCs w:val="21"/>
              </w:rPr>
              <w:t xml:space="preserve">The method of claim 1, wherein the queue depth weighting function is:</w:t>
            </w:r>
          </w:p>
          <w:p>
            <w:pPr>
              <w:spacing w:after="40" w:before="40"/>
            </w:pPr>
            <w:r>
              <w:rPr>
                <w:rFonts w:ascii="Arial" w:cs="Arial" w:eastAsia="Arial" w:hAnsi="Arial"/>
                <w:color w:val="111111"/>
                <w:sz w:val="21"/>
                <w:szCs w:val="21"/>
              </w:rPr>
              <w:t xml:space="preserve">W_adapted = W_selected * (1 + alpha * depth),</w:t>
            </w:r>
          </w:p>
          <w:p>
            <w:pPr>
              <w:spacing w:after="40" w:before="40"/>
            </w:pPr>
            <w:r>
              <w:rPr>
                <w:rFonts w:ascii="Arial" w:cs="Arial" w:eastAsia="Arial" w:hAnsi="Arial"/>
                <w:color w:val="111111"/>
                <w:sz w:val="21"/>
                <w:szCs w:val="21"/>
              </w:rPr>
              <w:t xml:space="preserve">wherein W_selected is the selected prefetch window duration, depth is the current queue depth count, and alpha is a queue depth sensitivity coefficient.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5  (Dependent — alpha value)</w:t>
            </w:r>
          </w:p>
          <w:p>
            <w:pPr>
              <w:spacing w:after="40" w:before="40"/>
            </w:pPr>
            <w:r>
              <w:rPr>
                <w:rFonts w:ascii="Arial" w:cs="Arial" w:eastAsia="Arial" w:hAnsi="Arial"/>
                <w:color w:val="111111"/>
                <w:sz w:val="21"/>
                <w:szCs w:val="21"/>
              </w:rPr>
              <w:t xml:space="preserve">The method of claim 4, wherein the queue depth sensitivity coefficient alpha is 0.02, the value being derived from a parameter sweep minimizing mean cache miss rate across a representative set of production workload traces.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6  (Dependent — rolling window size)</w:t>
            </w:r>
          </w:p>
          <w:p>
            <w:pPr>
              <w:spacing w:after="40" w:before="40"/>
            </w:pPr>
            <w:r>
              <w:rPr>
                <w:rFonts w:ascii="Arial" w:cs="Arial" w:eastAsia="Arial" w:hAnsi="Arial"/>
                <w:color w:val="111111"/>
                <w:sz w:val="21"/>
                <w:szCs w:val="21"/>
              </w:rPr>
              <w:t xml:space="preserve">The method of claim 1, wherein N is 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7  (Dependent — hysteresis variant)</w:t>
            </w:r>
          </w:p>
          <w:p>
            <w:pPr>
              <w:spacing w:after="40" w:before="40"/>
            </w:pPr>
            <w:r>
              <w:rPr>
                <w:rFonts w:ascii="Arial" w:cs="Arial" w:eastAsia="Arial" w:hAnsi="Arial"/>
                <w:color w:val="111111"/>
                <w:sz w:val="21"/>
                <w:szCs w:val="21"/>
              </w:rPr>
              <w:t xml:space="preserve">The method of claim 1, wherein comparing the rolling variance to a burst detection threshold comprises applying a hysteresis function having a first threshold value for transitioning from a non-burst state to a burst state, and a second threshold value, lower than the first threshold value, for transitioning from a burst state to a non-burst state, thereby preventing high-frequency oscillation between the base prefetch window duration and the burst prefetch window duration when the rolling variance is near the threshold boundary.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8  (Dependent — dispersion measure generalization)</w:t>
            </w:r>
          </w:p>
          <w:p>
            <w:pPr>
              <w:spacing w:after="40" w:before="40"/>
            </w:pPr>
            <w:r>
              <w:rPr>
                <w:rFonts w:ascii="Arial" w:cs="Arial" w:eastAsia="Arial" w:hAnsi="Arial"/>
                <w:color w:val="111111"/>
                <w:sz w:val="21"/>
                <w:szCs w:val="21"/>
              </w:rPr>
              <w:t xml:space="preserve">The method of claim 1, wherein computing a rolling variance comprises computing a measure of statistical dispersion of the inter-arrival time intervals selected from the group consisting of: sample variance, standard deviation, coefficient of variation, and interquartile range.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9  (Dependent — more than two window configurations)</w:t>
            </w:r>
          </w:p>
          <w:p>
            <w:pPr>
              <w:spacing w:after="40" w:before="40"/>
            </w:pPr>
            <w:r>
              <w:rPr>
                <w:rFonts w:ascii="Arial" w:cs="Arial" w:eastAsia="Arial" w:hAnsi="Arial"/>
                <w:color w:val="111111"/>
                <w:sz w:val="21"/>
                <w:szCs w:val="21"/>
              </w:rPr>
              <w:t xml:space="preserve">The method of claim 1, wherein the set of pre-computed prefetch window configurations comprises three or more configurations, and wherein selecting a prefetch window duration comprises selecting the configuration corresponding to the quantile of the burst detection range within which the rolling variance falls.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11  (Dependent system — threshold derivation)</w:t>
            </w:r>
          </w:p>
          <w:p>
            <w:pPr>
              <w:spacing w:after="40" w:before="40"/>
            </w:pPr>
            <w:r>
              <w:rPr>
                <w:rFonts w:ascii="Arial" w:cs="Arial" w:eastAsia="Arial" w:hAnsi="Arial"/>
                <w:color w:val="111111"/>
                <w:sz w:val="21"/>
                <w:szCs w:val="21"/>
              </w:rPr>
              <w:t xml:space="preserve">The system of claim 10, wherein the burst detection threshold is derived by: (a) recording rolling variance values for the task queue's workload over a training period; (b) identifying ground-truth burst arrival periods by direct measurement; and (c) selecting the threshold value that maximizes the F1 score of the burst condition indicator against the ground-truth labels.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12  (Dependent system — real-time recalibration)</w:t>
            </w:r>
          </w:p>
          <w:p>
            <w:pPr>
              <w:spacing w:after="40" w:before="40"/>
            </w:pPr>
            <w:r>
              <w:rPr>
                <w:rFonts w:ascii="Arial" w:cs="Arial" w:eastAsia="Arial" w:hAnsi="Arial"/>
                <w:color w:val="111111"/>
                <w:sz w:val="21"/>
                <w:szCs w:val="21"/>
              </w:rPr>
              <w:t xml:space="preserve">The system of claim 10, further comprising a threshold recalibration module configured to update the burst detection threshold periodically based on rolling measurements of the task queue workload's inter-arrival time variance distribution, thereby adapting the burst detection sensitivity to workload drift over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13  (Dependent system — integration with patent tracking)</w:t>
            </w:r>
          </w:p>
          <w:p>
            <w:pPr>
              <w:spacing w:after="40" w:before="40"/>
            </w:pPr>
            <w:r>
              <w:rPr>
                <w:rFonts w:ascii="Arial" w:cs="Arial" w:eastAsia="Arial" w:hAnsi="Arial"/>
                <w:color w:val="111111"/>
                <w:sz w:val="21"/>
                <w:szCs w:val="21"/>
              </w:rPr>
              <w:t xml:space="preserve">The system of claim 10, further comprising a contribution attribution module configured to record, in a time-stamped contribution record, the human authorship of the rolling variance computation module, the burst detection comparator, and the window weighting module, for use in establishing inventorship and Section 101 patent eligibility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4"/>
              <w:bottom w:val="single" w:color="9DB4D8" w:sz="1"/>
              <w:right w:val="single" w:color="9DB4D8" w:sz="1"/>
            </w:tcBorders>
            <w:shd w:fill="EEF7EE" w:val="clear"/>
            <w:tcMar>
              <w:top w:type="dxa" w:w="160"/>
              <w:left w:type="dxa" w:w="240"/>
              <w:bottom w:type="dxa" w:w="160"/>
              <w:right w:type="dxa" w:w="240"/>
            </w:tcMar>
          </w:tcPr>
          <w:p>
            <w:pPr>
              <w:spacing w:after="60"/>
            </w:pPr>
            <w:r>
              <w:rPr>
                <w:rFonts w:ascii="Arial" w:cs="Arial" w:eastAsia="Arial" w:hAnsi="Arial"/>
                <w:b/>
                <w:bCs/>
                <w:color w:val="2563A8"/>
                <w:sz w:val="19"/>
                <w:szCs w:val="19"/>
              </w:rPr>
              <w:t xml:space="preserve">Claim 14  (Dependent — computer readable medium)</w:t>
            </w:r>
          </w:p>
          <w:p>
            <w:pPr>
              <w:spacing w:after="40" w:before="40"/>
            </w:pPr>
            <w:r>
              <w:rPr>
                <w:rFonts w:ascii="Arial" w:cs="Arial" w:eastAsia="Arial" w:hAnsi="Arial"/>
                <w:color w:val="111111"/>
                <w:sz w:val="21"/>
                <w:szCs w:val="21"/>
              </w:rPr>
              <w:t xml:space="preserve">A non-transitory computer-readable medium storing instructions that, when executed by one or more processors, cause the one or more processors to perform the method of any one of claims 1 through 9.</w:t>
            </w:r>
          </w:p>
        </w:tc>
      </w:tr>
    </w:tbl>
    <w:p>
      <w:pPr>
        <w:pageBreakBefore/>
      </w:pPr>
      <w:r>
        <w:t xml:space="preserve"/>
      </w:r>
    </w:p>
    <w:p>
      <w:pPr>
        <w:pStyle w:val="Heading1"/>
        <w:pBdr>
          <w:bottom w:val="single" w:color="2563A8" w:sz="8" w:space="4"/>
        </w:pBdr>
        <w:spacing w:after="120" w:before="400"/>
      </w:pPr>
      <w:r>
        <w:rPr>
          <w:rFonts w:ascii="Arial" w:cs="Arial" w:eastAsia="Arial" w:hAnsi="Arial"/>
          <w:b/>
          <w:bCs/>
          <w:color w:val="1B3A6B"/>
          <w:sz w:val="30"/>
          <w:szCs w:val="30"/>
        </w:rPr>
        <w:t xml:space="preserve">Abstract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0"/>
              <w:bottom w:val="single" w:color="888888" w:sz="1"/>
              <w:right w:val="single" w:color="888888" w:sz="1"/>
            </w:tcBorders>
            <w:shd w:fill="F4F6FA" w:val="clear"/>
            <w:tcMar>
              <w:top w:type="dxa" w:w="140"/>
              <w:left w:type="dxa" w:w="220"/>
              <w:bottom w:type="dxa" w:w="140"/>
              <w:right w:type="dxa" w:w="220"/>
            </w:tcMar>
          </w:tcPr>
          <w:p>
            <w:pPr>
              <w:spacing w:after="40"/>
            </w:pPr>
            <w:r>
              <w:rPr>
                <w:rFonts w:ascii="Arial" w:cs="Arial" w:eastAsia="Arial" w:hAnsi="Arial"/>
                <w:b/>
                <w:bCs/>
                <w:color w:val="555555"/>
                <w:sz w:val="18"/>
                <w:szCs w:val="18"/>
              </w:rPr>
              <w:t xml:space="preserve">COUNSEL NOTE</w:t>
            </w:r>
          </w:p>
          <w:p>
            <w:pPr>
              <w:spacing w:after="60" w:before="0"/>
            </w:pPr>
            <w:r>
              <w:rPr>
                <w:rFonts w:ascii="Arial" w:cs="Arial" w:eastAsia="Arial" w:hAnsi="Arial"/>
                <w:color w:val="222222"/>
                <w:sz w:val="20"/>
                <w:szCs w:val="20"/>
              </w:rPr>
              <w:t xml:space="preserve">The abstract must be 150 words or fewer under 37 C.F.R. § 1.72(b). The version below is 148 words. It should briefly describe the structural nature of the invention without introducing new claim language. The phrase 'structural improvement to the operation of the cache' is intentional and mirrors the Enfish framing used throughout the specification.</w:t>
            </w:r>
          </w:p>
        </w:tc>
      </w:tr>
    </w:tbl>
    <w:p>
      <w:pPr>
        <w:spacing w:after="0" w:before="80"/>
      </w:pPr>
      <w:r>
        <w:t xml:space="preserve"/>
      </w:r>
    </w:p>
    <w:p>
      <w:pPr>
        <w:spacing w:after="120" w:before="60"/>
      </w:pPr>
      <w:r>
        <w:rPr>
          <w:rFonts w:ascii="Arial" w:cs="Arial" w:eastAsia="Arial" w:hAnsi="Arial"/>
          <w:color w:val="222222"/>
          <w:sz w:val="22"/>
          <w:szCs w:val="22"/>
        </w:rPr>
        <w:t xml:space="preserve">A computer-implemented method and system for variance-adaptive prefetch window sizing in a queue-aware cache system. The system maintains a rolling record of inter-arrival time intervals between job arrival events at an associated task queue, computes a rolling variance of those intervals, and compares the rolling variance against an empirically derived burst detection threshold. Based on the comparison, the system selects a prefetch window duration from a set of pre-computed configurations — a base window for non-burst conditions and an extended burst window — and applies a queue depth weighting function that scales the selected window in proportion to the current depth of the task queue. The adapted window duration drives a prefetch executor that loads anticipated data into the cache ahead of demand. The invention constitutes a structural improvement to the operation of the cache prefetching mechanism itself, enabling accurate prefetching under bursty arrival conditions not achievable by prior art fixed-window or moving-average systems.</w:t>
      </w:r>
    </w:p>
    <w:p>
      <w:pPr>
        <w:spacing w:after="0" w:before="200"/>
      </w:pPr>
      <w:r>
        <w:t xml:space="preserve"/>
      </w:r>
    </w:p>
    <w:p>
      <w:pPr>
        <w:spacing w:after="40" w:before="0"/>
        <w:jc w:val="center"/>
      </w:pPr>
      <w:r>
        <w:rPr>
          <w:rFonts w:ascii="Arial" w:cs="Arial" w:eastAsia="Arial" w:hAnsi="Arial"/>
          <w:i/>
          <w:iCs/>
          <w:color w:val="4A5568"/>
          <w:sz w:val="20"/>
          <w:szCs w:val="20"/>
        </w:rPr>
        <w:t xml:space="preserve">— End of Patent Specification Draft —</w:t>
      </w:r>
    </w:p>
    <w:p>
      <w:pPr>
        <w:jc w:val="center"/>
      </w:pPr>
      <w:r>
        <w:rPr>
          <w:rFonts w:ascii="Arial" w:cs="Arial" w:eastAsia="Arial" w:hAnsi="Arial"/>
          <w:color w:val="4A5568"/>
          <w:sz w:val="18"/>
          <w:szCs w:val="18"/>
        </w:rPr>
        <w:t xml:space="preserve">AI Patentability  |  IDF-2026-0042  |  April 11, 2026  |  For patent counsel review and revision prior to filing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6"/>
      </w:pBdr>
    </w:pPr>
    <w:r>
      <w:rPr>
        <w:rFonts w:ascii="Arial" w:cs="Arial" w:eastAsia="Arial" w:hAnsi="Arial"/>
        <w:color w:val="4A5568"/>
        <w:sz w:val="16"/>
        <w:szCs w:val="16"/>
      </w:rPr>
      <w:t xml:space="preserve">AI Patentability  |  For patent counsel review and revision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6"/>
      </w:pBdr>
    </w:pPr>
    <w:r>
      <w:rPr>
        <w:rFonts w:ascii="Arial" w:cs="Arial" w:eastAsia="Arial" w:hAnsi="Arial"/>
        <w:color w:val="C0392B"/>
        <w:sz w:val="16"/>
        <w:szCs w:val="16"/>
      </w:rPr>
      <w:t xml:space="preserve">CONFIDENTIAL — ATTORNEY WORK PRODUCT   |   Patent Specification Draft — Sliding Prefetch Window   |   SmartQueue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300"/>
      <w:outlineLvl w:val="1"/>
    </w:pPr>
    <w:rPr>
      <w:rFonts w:ascii="Arial" w:cs="Arial" w:eastAsia="Arial" w:hAnsi="Arial"/>
      <w:b/>
      <w:bCs/>
      <w:color w:val="2563A8"/>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2026-04-11T20:15:31.705Z</dcterms:created>
  <dcterms:modified xsi:type="dcterms:W3CDTF">2026-04-11T20:15:31.706Z</dcterms:modified>
</cp:coreProperties>
</file>

<file path=docProps/custom.xml><?xml version="1.0" encoding="utf-8"?>
<Properties xmlns="http://schemas.openxmlformats.org/officeDocument/2006/custom-properties" xmlns:vt="http://schemas.openxmlformats.org/officeDocument/2006/docPropsVTypes"/>
</file>