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1E4D8C"/>
          <w:sz w:val="52"/>
          <w:szCs w:val="52"/>
        </w:rPr>
        <w:t xml:space="preserve">INVENTION DISCLOSURE REPORT</w:t>
      </w:r>
    </w:p>
    <w:p>
      <w:pPr>
        <w:spacing w:after="80" w:before="0"/>
        <w:jc w:val="center"/>
      </w:pPr>
      <w:r>
        <w:rPr>
          <w:rFonts w:ascii="Arial" w:cs="Arial" w:eastAsia="Arial" w:hAnsi="Arial"/>
          <w:color w:val="2E75B6"/>
          <w:sz w:val="28"/>
          <w:szCs w:val="28"/>
        </w:rPr>
        <w:t xml:space="preserve">AI-Assisted Contribution Analysis</w:t>
      </w:r>
    </w:p>
    <w:p>
      <w:pPr>
        <w:spacing w:after="480" w:before="0"/>
        <w:jc w:val="center"/>
      </w:pPr>
      <w:r>
        <w:rPr>
          <w:rFonts w:ascii="Arial" w:cs="Arial" w:eastAsia="Arial" w:hAnsi="Arial"/>
          <w:i/>
          <w:iCs/>
          <w:color w:val="595959"/>
          <w:sz w:val="22"/>
          <w:szCs w:val="22"/>
        </w:rPr>
        <w:t xml:space="preserve">Prepared for Patent Counsel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bottom w:val="single" w:color="2E75B6" w:sz="12"/>
              <w:right w:val="none"/>
            </w:tcBorders>
            <w:shd w:fill="D6E4F0" w:val="clear"/>
            <w:tcMar>
              <w:top w:type="dxa" w:w="240"/>
              <w:left w:type="dxa" w:w="360"/>
              <w:bottom w:type="dxa" w:w="240"/>
              <w:right w:type="dxa" w:w="360"/>
            </w:tcMar>
          </w:tcPr>
          <w:p>
            <w:pPr>
              <w:spacing w:after="60"/>
            </w:pPr>
            <w:r>
              <w:rPr>
                <w:rFonts w:ascii="Arial" w:cs="Arial" w:eastAsia="Arial" w:hAnsi="Arial"/>
                <w:b/>
                <w:bCs/>
                <w:color w:val="1E4D8C"/>
                <w:sz w:val="22"/>
                <w:szCs w:val="22"/>
              </w:rPr>
              <w:t xml:space="preserve">Project:  SmartQueue v2 — Core Engine</w:t>
            </w:r>
          </w:p>
          <w:p>
            <w:pPr>
              <w:spacing w:after="60"/>
            </w:pPr>
            <w:r>
              <w:rPr>
                <w:rFonts w:ascii="Arial" w:cs="Arial" w:eastAsia="Arial" w:hAnsi="Arial"/>
                <w:color w:val="333333"/>
                <w:sz w:val="22"/>
                <w:szCs w:val="22"/>
              </w:rPr>
              <w:t xml:space="preserve">Disclosure ID:  IDF-2026-0041</w:t>
            </w:r>
          </w:p>
          <w:p>
            <w:pPr>
              <w:spacing w:after="60"/>
            </w:pPr>
            <w:r>
              <w:rPr>
                <w:rFonts w:ascii="Arial" w:cs="Arial" w:eastAsia="Arial" w:hAnsi="Arial"/>
                <w:color w:val="333333"/>
                <w:sz w:val="22"/>
                <w:szCs w:val="22"/>
              </w:rPr>
              <w:t xml:space="preserve">Session Date:  April 10, 2026</w:t>
            </w:r>
          </w:p>
          <w:p>
            <w:pPr>
              <w:spacing w:after="60"/>
            </w:pPr>
            <w:r>
              <w:rPr>
                <w:rFonts w:ascii="Arial" w:cs="Arial" w:eastAsia="Arial" w:hAnsi="Arial"/>
                <w:color w:val="333333"/>
                <w:sz w:val="22"/>
                <w:szCs w:val="22"/>
              </w:rPr>
              <w:t xml:space="preserve">Generated by:  PatentTrack AI Contribution Analyzer</w:t>
            </w:r>
          </w:p>
          <w:p>
            <w:pPr>
              <w:spacing w:after="0"/>
            </w:pPr>
            <w:r>
              <w:rPr>
                <w:rFonts w:ascii="Arial" w:cs="Arial" w:eastAsia="Arial" w:hAnsi="Arial"/>
                <w:b/>
                <w:bCs/>
                <w:color w:val="C00000"/>
                <w:sz w:val="22"/>
                <w:szCs w:val="22"/>
              </w:rPr>
              <w:t xml:space="preserve">Classification:  CONFIDENTIAL — Attorney-Client Privileged</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40"/>
            </w:pPr>
            <w:r>
              <w:rPr>
                <w:rFonts w:ascii="Arial" w:cs="Arial" w:eastAsia="Arial" w:hAnsi="Arial"/>
                <w:b/>
                <w:bCs/>
                <w:color w:val="C55A11"/>
                <w:sz w:val="18"/>
                <w:szCs w:val="18"/>
              </w:rPr>
              <w:t xml:space="preserve">IMPORTANT NOTICE</w:t>
            </w:r>
          </w:p>
          <w:p>
            <w:r>
              <w:rPr>
                <w:rFonts w:ascii="Arial" w:cs="Arial" w:eastAsia="Arial" w:hAnsi="Arial"/>
                <w:color w:val="222222"/>
                <w:sz w:val="20"/>
                <w:szCs w:val="20"/>
              </w:rPr>
              <w:t xml:space="preserve">This document is a tool-generated aid for patent counsel. It does not constitute legal advice and does not guarantee patentability of any feature or claim. Contribution percentages are estimates based on automated tracking. A qualified patent attorney must review this disclosure before any filing. Laws governing AI-assisted inventions vary by jurisdiction.</w:t>
            </w:r>
          </w:p>
        </w:tc>
      </w:tr>
    </w:tbl>
    <w:p>
      <w:pPr>
        <w:pageBreakBefore/>
      </w:pPr>
      <w:r>
        <w:t xml:space="preserve"/>
      </w:r>
    </w:p>
    <w:p>
      <w:pPr>
        <w:pStyle w:val="Heading1"/>
        <w:pBdr>
          <w:bottom w:val="single" w:color="2E75B6" w:sz="6" w:space="4"/>
        </w:pBdr>
        <w:spacing w:after="120" w:before="360"/>
      </w:pPr>
      <w:r>
        <w:rPr>
          <w:rFonts w:ascii="Arial" w:cs="Arial" w:eastAsia="Arial" w:hAnsi="Arial"/>
          <w:b/>
          <w:bCs/>
          <w:color w:val="1E4D8C"/>
          <w:sz w:val="28"/>
          <w:szCs w:val="28"/>
        </w:rPr>
        <w:t xml:space="preserve">1. Executive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333333"/>
                <w:sz w:val="20"/>
                <w:szCs w:val="20"/>
              </w:rPr>
              <w:t xml:space="preserve">Overall Patent Readiness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61 / 100   (Moderate — action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Session Period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April 9–10,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Total Human Contribution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43% of codebase in session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Total AI Contribution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57% of codebase in session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Features Analyzed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7</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33333"/>
                <w:sz w:val="20"/>
                <w:szCs w:val="20"/>
              </w:rPr>
              <w:t xml:space="preserve">Claims Likely Supportable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3 of 7 (Adaptive Prioritization, Predictive Cache, Retry Orchestration)</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333333"/>
                <w:sz w:val="20"/>
                <w:szCs w:val="20"/>
              </w:rPr>
              <w:t xml:space="preserve">Claims Requiring Action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4 of 7 (see Section 3)</w:t>
            </w:r>
          </w:p>
        </w:tc>
      </w:tr>
      <w:tr>
        <w:tc>
          <w:tcPr>
            <w:tcW w:type="dxa" w:w="2800"/>
            <w:tcBorders>
              <w:top w:val="single" w:color="CCCCCC" w:sz="1"/>
              <w:left w:val="single" w:color="CCCCCC" w:sz="1"/>
              <w:bottom w:val="single" w:color="CCCCCC" w:sz="1"/>
              <w:right w:val="single" w:color="CCCCCC" w:sz="1"/>
            </w:tcBorders>
            <w:shd w:fill="FADADD" w:val="clear"/>
            <w:tcMar>
              <w:top w:type="dxa" w:w="80"/>
              <w:left w:type="dxa" w:w="160"/>
              <w:bottom w:type="dxa" w:w="80"/>
              <w:right w:type="dxa" w:w="160"/>
            </w:tcMar>
          </w:tcPr>
          <w:p>
            <w:r>
              <w:rPr>
                <w:rFonts w:ascii="Arial" w:cs="Arial" w:eastAsia="Arial" w:hAnsi="Arial"/>
                <w:b/>
                <w:bCs/>
                <w:color w:val="333333"/>
                <w:sz w:val="20"/>
                <w:szCs w:val="20"/>
              </w:rPr>
              <w:t xml:space="preserve">Claims at High Risk</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2 of 7 (NLP Intent Parsing, Load Balancing Algo)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Inventor(s)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[TO BE COMPLETED BY COUNSEL]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333333"/>
                <w:sz w:val="20"/>
                <w:szCs w:val="20"/>
              </w:rPr>
              <w:t xml:space="preserve">Assignee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22222"/>
                <w:sz w:val="20"/>
                <w:szCs w:val="20"/>
              </w:rPr>
              <w:t xml:space="preserve">[TO BE COMPLETED BY COUNSEL]</w:t>
            </w:r>
          </w:p>
        </w:tc>
      </w:tr>
    </w:tbl>
    <w:p>
      <w:pPr>
        <w:spacing w:after="0" w:before="240"/>
      </w:pPr>
      <w:r>
        <w:t xml:space="preserve"/>
      </w:r>
    </w:p>
    <w:p>
      <w:pPr>
        <w:pStyle w:val="Heading2"/>
        <w:spacing w:after="80" w:before="280"/>
      </w:pPr>
      <w:r>
        <w:rPr>
          <w:rFonts w:ascii="Arial" w:cs="Arial" w:eastAsia="Arial" w:hAnsi="Arial"/>
          <w:b/>
          <w:bCs/>
          <w:color w:val="2E75B6"/>
          <w:sz w:val="24"/>
          <w:szCs w:val="24"/>
        </w:rPr>
        <w:t xml:space="preserve">USPTO Inventor Contribution Standard</w:t>
      </w:r>
    </w:p>
    <w:p>
      <w:pPr>
        <w:spacing w:after="100" w:before="60"/>
      </w:pPr>
      <w:r>
        <w:rPr>
          <w:rFonts w:ascii="Arial" w:cs="Arial" w:eastAsia="Arial" w:hAnsi="Arial"/>
          <w:color w:val="222222"/>
          <w:sz w:val="22"/>
          <w:szCs w:val="22"/>
        </w:rPr>
        <w:t xml:space="preserve">Under current USPTO guidance on AI-assisted inventions (February 2024), a human inventor must have made a significant contribution to the conception of each claimed invention. Mere use of an AI system does not disqualify an invention, but the human inventor must have: (a) conceived the problem to be solved, (b) directed the AI in a specific, non-generic manner, or (c) selected and meaningfully adapted AI-generated output based on inventive judgment.</w:t>
      </w:r>
    </w:p>
    <w:p>
      <w:pPr>
        <w:spacing w:after="100" w:before="60"/>
      </w:pPr>
      <w:r>
        <w:rPr>
          <w:rFonts w:ascii="Arial" w:cs="Arial" w:eastAsia="Arial" w:hAnsi="Arial"/>
          <w:color w:val="222222"/>
          <w:sz w:val="22"/>
          <w:szCs w:val="22"/>
        </w:rPr>
        <w:t xml:space="preserve">This report assesses each feature against these criteria based on recorded session data, prompt quality scores, and decision journal entries.</w:t>
      </w:r>
    </w:p>
    <w:p>
      <w:pPr>
        <w:pageBreakBefore/>
      </w:pPr>
      <w:r>
        <w:t xml:space="preserve"/>
      </w:r>
    </w:p>
    <w:p>
      <w:pPr>
        <w:pStyle w:val="Heading1"/>
        <w:pBdr>
          <w:bottom w:val="single" w:color="2E75B6" w:sz="6" w:space="4"/>
        </w:pBdr>
        <w:spacing w:after="120" w:before="360"/>
      </w:pPr>
      <w:r>
        <w:rPr>
          <w:rFonts w:ascii="Arial" w:cs="Arial" w:eastAsia="Arial" w:hAnsi="Arial"/>
          <w:b/>
          <w:bCs/>
          <w:color w:val="1E4D8C"/>
          <w:sz w:val="28"/>
          <w:szCs w:val="28"/>
        </w:rPr>
        <w:t xml:space="preserve">2. Feature Contribution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27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Human %</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Risk Level</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Claim Status</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Adaptive Prioritization</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71%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Ready for disclosure</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NLP Intent Parsing</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28%</w:t>
            </w:r>
          </w:p>
        </w:tc>
        <w:tc>
          <w:tcPr>
            <w:tcW w:type="dxa" w:w="1400"/>
            <w:tcBorders>
              <w:top w:val="single" w:color="CCCCCC" w:sz="1"/>
              <w:left w:val="single" w:color="CCCCCC" w:sz="1"/>
              <w:bottom w:val="single" w:color="CCCCCC" w:sz="1"/>
              <w:right w:val="single" w:color="CCCCCC" w:sz="1"/>
            </w:tcBorders>
            <w:shd w:fill="FADADD"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Action required — see Sec. 4</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Dynamic Scheduler</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55%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55A11"/>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Document AI direction rationale</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Predictive Cache</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82%</w:t>
            </w:r>
          </w:p>
        </w:tc>
        <w:tc>
          <w:tcPr>
            <w:tcW w:type="dxa" w:w="14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Strong — ready for disclosure</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Load Balancing Algo</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19%</w:t>
            </w:r>
          </w:p>
        </w:tc>
        <w:tc>
          <w:tcPr>
            <w:tcW w:type="dxa" w:w="1400"/>
            <w:tcBorders>
              <w:top w:val="single" w:color="CCCCCC" w:sz="1"/>
              <w:left w:val="single" w:color="CCCCCC" w:sz="1"/>
              <w:bottom w:val="single" w:color="CCCCCC" w:sz="1"/>
              <w:right w:val="single" w:color="CCCCCC" w:sz="1"/>
            </w:tcBorders>
            <w:shd w:fill="FADADD"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Action required — see Sec. 4</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Retry Orchestration</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61%</w:t>
            </w:r>
          </w:p>
        </w:tc>
        <w:tc>
          <w:tcPr>
            <w:tcW w:type="dxa" w:w="14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55A11"/>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Strengthen with journal entries</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Telemetry Pipeline</w:t>
            </w:r>
          </w:p>
        </w:tc>
        <w:tc>
          <w:tcPr>
            <w:tcW w:type="dxa" w:w="14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44%</w:t>
            </w:r>
          </w:p>
        </w:tc>
        <w:tc>
          <w:tcPr>
            <w:tcW w:type="dxa" w:w="14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55A11"/>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44444"/>
                <w:sz w:val="20"/>
                <w:szCs w:val="20"/>
              </w:rPr>
              <w:t xml:space="preserve">Document schema decisions</w:t>
            </w:r>
          </w:p>
        </w:tc>
      </w:tr>
    </w:tbl>
    <w:p>
      <w:pPr>
        <w:spacing w:after="0" w:before="240"/>
      </w:pPr>
      <w:r>
        <w:t xml:space="preserve"/>
      </w:r>
    </w:p>
    <w:p>
      <w:pPr>
        <w:pStyle w:val="Heading2"/>
        <w:spacing w:after="80" w:before="280"/>
      </w:pPr>
      <w:r>
        <w:rPr>
          <w:rFonts w:ascii="Arial" w:cs="Arial" w:eastAsia="Arial" w:hAnsi="Arial"/>
          <w:b/>
          <w:bCs/>
          <w:color w:val="2E75B6"/>
          <w:sz w:val="24"/>
          <w:szCs w:val="24"/>
        </w:rPr>
        <w:t xml:space="preserve">Prompt Quality Breakdown</w:t>
      </w:r>
    </w:p>
    <w:p>
      <w:pPr>
        <w:spacing w:after="100" w:before="60"/>
      </w:pPr>
      <w:r>
        <w:rPr>
          <w:rFonts w:ascii="Arial" w:cs="Arial" w:eastAsia="Arial" w:hAnsi="Arial"/>
          <w:color w:val="222222"/>
          <w:sz w:val="22"/>
          <w:szCs w:val="22"/>
        </w:rPr>
        <w:t xml:space="preserve">Prompt quality is a key indicator of inventive direction. A highly specific, novel prompt demonstrates that the human developer meaningfully shaped the AI output. Generic prompts weaken this argument.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Prompt Category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Count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Claim Impact</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Specific / inventive (domain-specific constraints cited)</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bCs/>
                <w:color w:val="37562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color w:val="375623"/>
                <w:sz w:val="20"/>
                <w:szCs w:val="20"/>
              </w:rPr>
              <w:t xml:space="preserve">Strengthens</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Generic / low-direction (no problem framing documented)</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bCs/>
                <w:color w:val="C00000"/>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color w:val="C00000"/>
                <w:sz w:val="20"/>
                <w:szCs w:val="20"/>
              </w:rPr>
              <w:t xml:space="preserve">Weakens</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AI output modified &gt;40% by developer</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bCs/>
                <w:color w:val="375623"/>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color w:val="375623"/>
                <w:sz w:val="20"/>
                <w:szCs w:val="20"/>
              </w:rPr>
              <w:t xml:space="preserve">Strengthens</w:t>
            </w:r>
          </w:p>
        </w:tc>
      </w:tr>
    </w:tbl>
    <w:p>
      <w:pPr>
        <w:pageBreakBefore/>
      </w:pPr>
      <w:r>
        <w:t xml:space="preserve"/>
      </w:r>
    </w:p>
    <w:p>
      <w:pPr>
        <w:pStyle w:val="Heading1"/>
        <w:pBdr>
          <w:bottom w:val="single" w:color="2E75B6" w:sz="6" w:space="4"/>
        </w:pBdr>
        <w:spacing w:after="120" w:before="360"/>
      </w:pPr>
      <w:r>
        <w:rPr>
          <w:rFonts w:ascii="Arial" w:cs="Arial" w:eastAsia="Arial" w:hAnsi="Arial"/>
          <w:b/>
          <w:bCs/>
          <w:color w:val="1E4D8C"/>
          <w:sz w:val="28"/>
          <w:szCs w:val="28"/>
        </w:rPr>
        <w:t xml:space="preserve">3. Feature-Level Analysis</w:t>
      </w:r>
    </w:p>
    <w:p>
      <w:pPr>
        <w:pStyle w:val="Heading2"/>
        <w:spacing w:after="80" w:before="280"/>
      </w:pPr>
      <w:r>
        <w:rPr>
          <w:rFonts w:ascii="Arial" w:cs="Arial" w:eastAsia="Arial" w:hAnsi="Arial"/>
          <w:b/>
          <w:bCs/>
          <w:color w:val="2E75B6"/>
          <w:sz w:val="24"/>
          <w:szCs w:val="24"/>
        </w:rPr>
        <w:t xml:space="preserve">3.1  Adaptive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Human Contribution: 71%   |   Risk Level: LOW   |   Status: Ready for disclosure</w:t>
            </w:r>
          </w:p>
        </w:tc>
      </w:tr>
    </w:tbl>
    <w:p>
      <w:pPr>
        <w:spacing w:after="0" w:before="80"/>
      </w:pPr>
      <w:r>
        <w:t xml:space="preserve"/>
      </w:r>
    </w:p>
    <w:p>
      <w:pPr>
        <w:pStyle w:val="Heading3"/>
        <w:spacing w:after="60" w:before="200"/>
      </w:pPr>
      <w:r>
        <w:rPr>
          <w:rFonts w:ascii="Arial" w:cs="Arial" w:eastAsia="Arial" w:hAnsi="Arial"/>
          <w:b/>
          <w:bCs/>
          <w:color w:val="595959"/>
          <w:sz w:val="22"/>
          <w:szCs w:val="22"/>
        </w:rPr>
        <w:t xml:space="preserve">Human contributions identified:</w:t>
      </w:r>
    </w:p>
    <w:p>
      <w:pPr>
        <w:pStyle w:val="ListParagraph"/>
        <w:numPr>
          <w:ilvl w:val="0"/>
          <w:numId w:val="2"/>
        </w:numPr>
        <w:spacing w:after="40" w:before="40"/>
        <w:ind w:left="720" w:hanging="360"/>
      </w:pPr>
      <w:r>
        <w:rPr>
          <w:rFonts w:ascii="Arial" w:cs="Arial" w:eastAsia="Arial" w:hAnsi="Arial"/>
          <w:color w:val="222222"/>
          <w:sz w:val="22"/>
          <w:szCs w:val="22"/>
        </w:rPr>
        <w:t xml:space="preserve">Conceived decay-weighted scoring model as an alternative to standard FIFO based on observed latency SLA violations during load testing</w:t>
      </w:r>
    </w:p>
    <w:p>
      <w:pPr>
        <w:pStyle w:val="ListParagraph"/>
        <w:numPr>
          <w:ilvl w:val="0"/>
          <w:numId w:val="2"/>
        </w:numPr>
        <w:spacing w:after="40" w:before="40"/>
        <w:ind w:left="720" w:hanging="360"/>
      </w:pPr>
      <w:r>
        <w:rPr>
          <w:rFonts w:ascii="Arial" w:cs="Arial" w:eastAsia="Arial" w:hAnsi="Arial"/>
          <w:color w:val="222222"/>
          <w:sz w:val="22"/>
          <w:szCs w:val="22"/>
        </w:rPr>
        <w:t xml:space="preserve">Rejected AI-suggested exponential backoff due to queue depth variance specific to the project traffic pattern — a domain-specific decision documented in the decision journal</w:t>
      </w:r>
    </w:p>
    <w:p>
      <w:pPr>
        <w:pStyle w:val="ListParagraph"/>
        <w:numPr>
          <w:ilvl w:val="0"/>
          <w:numId w:val="2"/>
        </w:numPr>
        <w:spacing w:after="40" w:before="40"/>
        <w:ind w:left="720" w:hanging="360"/>
      </w:pPr>
      <w:r>
        <w:rPr>
          <w:rFonts w:ascii="Arial" w:cs="Arial" w:eastAsia="Arial" w:hAnsi="Arial"/>
          <w:color w:val="222222"/>
          <w:sz w:val="22"/>
          <w:szCs w:val="22"/>
        </w:rPr>
        <w:t xml:space="preserve">Defined the specific threshold parameters for front-of-queue promotion of retry bursts</w:t>
      </w:r>
    </w:p>
    <w:p>
      <w:pPr>
        <w:spacing w:after="0" w:before="80"/>
      </w:pPr>
      <w:r>
        <w:t xml:space="preserve"/>
      </w:r>
    </w:p>
    <w:p>
      <w:pPr>
        <w:pStyle w:val="Heading3"/>
        <w:spacing w:after="60" w:before="200"/>
      </w:pPr>
      <w:r>
        <w:rPr>
          <w:rFonts w:ascii="Arial" w:cs="Arial" w:eastAsia="Arial" w:hAnsi="Arial"/>
          <w:b/>
          <w:bCs/>
          <w:color w:val="595959"/>
          <w:sz w:val="22"/>
          <w:szCs w:val="22"/>
        </w:rPr>
        <w:t xml:space="preserve">Recommendation:</w:t>
      </w:r>
    </w:p>
    <w:p>
      <w:pPr>
        <w:spacing w:after="100" w:before="60"/>
      </w:pPr>
      <w:r>
        <w:rPr>
          <w:rFonts w:ascii="Arial" w:cs="Arial" w:eastAsia="Arial" w:hAnsi="Arial"/>
          <w:color w:val="222222"/>
          <w:sz w:val="22"/>
          <w:szCs w:val="22"/>
        </w:rPr>
        <w:t xml:space="preserve">This feature demonstrates strong inventive contribution. The developer identified a specific technical problem (FIFO inadequacy under retry-burst conditions) and directed the AI toward a tailored solution. Prepare a patent claim around the decay-weighted scoring mechanism with queue-depth-aware promotion.</w:t>
      </w:r>
    </w:p>
    <w:p>
      <w:pPr>
        <w:spacing w:after="0" w:before="160"/>
      </w:pPr>
      <w:r>
        <w:t xml:space="preserve"/>
      </w:r>
    </w:p>
    <w:p>
      <w:pPr>
        <w:pStyle w:val="Heading2"/>
        <w:spacing w:after="80" w:before="280"/>
      </w:pPr>
      <w:r>
        <w:rPr>
          <w:rFonts w:ascii="Arial" w:cs="Arial" w:eastAsia="Arial" w:hAnsi="Arial"/>
          <w:b/>
          <w:bCs/>
          <w:color w:val="2E75B6"/>
          <w:sz w:val="24"/>
          <w:szCs w:val="24"/>
        </w:rPr>
        <w:t xml:space="preserve">3.2  Predictive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Human Contribution: 82%   |   Risk Level: LOW   |   Status: Strongest claim candidate</w:t>
            </w:r>
          </w:p>
        </w:tc>
      </w:tr>
    </w:tbl>
    <w:p>
      <w:pPr>
        <w:spacing w:after="0" w:before="80"/>
      </w:pPr>
      <w:r>
        <w:t xml:space="preserve"/>
      </w:r>
    </w:p>
    <w:p>
      <w:pPr>
        <w:pStyle w:val="Heading3"/>
        <w:spacing w:after="60" w:before="200"/>
      </w:pPr>
      <w:r>
        <w:rPr>
          <w:rFonts w:ascii="Arial" w:cs="Arial" w:eastAsia="Arial" w:hAnsi="Arial"/>
          <w:b/>
          <w:bCs/>
          <w:color w:val="595959"/>
          <w:sz w:val="22"/>
          <w:szCs w:val="22"/>
        </w:rPr>
        <w:t xml:space="preserve">Human contributions identified:</w:t>
      </w:r>
    </w:p>
    <w:p>
      <w:pPr>
        <w:pStyle w:val="ListParagraph"/>
        <w:numPr>
          <w:ilvl w:val="0"/>
          <w:numId w:val="2"/>
        </w:numPr>
        <w:spacing w:after="40" w:before="40"/>
        <w:ind w:left="720" w:hanging="360"/>
      </w:pPr>
      <w:r>
        <w:rPr>
          <w:rFonts w:ascii="Arial" w:cs="Arial" w:eastAsia="Arial" w:hAnsi="Arial"/>
          <w:color w:val="222222"/>
          <w:sz w:val="22"/>
          <w:szCs w:val="22"/>
        </w:rPr>
        <w:t xml:space="preserve">Conceived the sliding 200ms prefetch window — this design was absent from AI output and was independently developed by the inventor</w:t>
      </w:r>
    </w:p>
    <w:p>
      <w:pPr>
        <w:pStyle w:val="ListParagraph"/>
        <w:numPr>
          <w:ilvl w:val="0"/>
          <w:numId w:val="2"/>
        </w:numPr>
        <w:spacing w:after="40" w:before="40"/>
        <w:ind w:left="720" w:hanging="360"/>
      </w:pPr>
      <w:r>
        <w:rPr>
          <w:rFonts w:ascii="Arial" w:cs="Arial" w:eastAsia="Arial" w:hAnsi="Arial"/>
          <w:color w:val="222222"/>
          <w:sz w:val="22"/>
          <w:szCs w:val="22"/>
        </w:rPr>
        <w:t xml:space="preserve">Identified that bursty inter-arrival times in the specific workload made fixed-TTL caching inadequate — this problem framing was human-originated</w:t>
      </w:r>
    </w:p>
    <w:p>
      <w:pPr>
        <w:pStyle w:val="ListParagraph"/>
        <w:numPr>
          <w:ilvl w:val="0"/>
          <w:numId w:val="2"/>
        </w:numPr>
        <w:spacing w:after="40" w:before="40"/>
        <w:ind w:left="720" w:hanging="360"/>
      </w:pPr>
      <w:r>
        <w:rPr>
          <w:rFonts w:ascii="Arial" w:cs="Arial" w:eastAsia="Arial" w:hAnsi="Arial"/>
          <w:color w:val="222222"/>
          <w:sz w:val="22"/>
          <w:szCs w:val="22"/>
        </w:rPr>
        <w:t xml:space="preserve">Defined the window-adjustment heuristic based on queue depth measurements</w:t>
      </w:r>
    </w:p>
    <w:p>
      <w:pPr>
        <w:spacing w:after="0" w:before="80"/>
      </w:pPr>
      <w:r>
        <w:t xml:space="preserve"/>
      </w:r>
    </w:p>
    <w:p>
      <w:pPr>
        <w:pStyle w:val="Heading3"/>
        <w:spacing w:after="60" w:before="200"/>
      </w:pPr>
      <w:r>
        <w:rPr>
          <w:rFonts w:ascii="Arial" w:cs="Arial" w:eastAsia="Arial" w:hAnsi="Arial"/>
          <w:b/>
          <w:bCs/>
          <w:color w:val="595959"/>
          <w:sz w:val="22"/>
          <w:szCs w:val="22"/>
        </w:rPr>
        <w:t xml:space="preserve">Recommendation:</w:t>
      </w:r>
    </w:p>
    <w:p>
      <w:pPr>
        <w:spacing w:after="100" w:before="60"/>
      </w:pPr>
      <w:r>
        <w:rPr>
          <w:rFonts w:ascii="Arial" w:cs="Arial" w:eastAsia="Arial" w:hAnsi="Arial"/>
          <w:color w:val="222222"/>
          <w:sz w:val="22"/>
          <w:szCs w:val="22"/>
        </w:rPr>
        <w:t xml:space="preserve">This is the disclosure's strongest claim candidate. The sliding prefetch window concept and the inter-arrival-time-aware adjustment heuristic both represent novel, human-conceived contributions not present in AI output. Counsel should consider this feature a primary claim.</w:t>
      </w:r>
    </w:p>
    <w:p>
      <w:pPr>
        <w:spacing w:after="0" w:before="160"/>
      </w:pPr>
      <w:r>
        <w:t xml:space="preserve"/>
      </w:r>
    </w:p>
    <w:p>
      <w:pPr>
        <w:pStyle w:val="Heading2"/>
        <w:spacing w:after="80" w:before="280"/>
      </w:pPr>
      <w:r>
        <w:rPr>
          <w:rFonts w:ascii="Arial" w:cs="Arial" w:eastAsia="Arial" w:hAnsi="Arial"/>
          <w:b/>
          <w:bCs/>
          <w:color w:val="2E75B6"/>
          <w:sz w:val="24"/>
          <w:szCs w:val="24"/>
        </w:rPr>
        <w:t xml:space="preserve">3.3  NLP Intent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ADD" w:val="clear"/>
            <w:tcMar>
              <w:top w:type="dxa" w:w="100"/>
              <w:left w:type="dxa" w:w="200"/>
              <w:bottom w:type="dxa" w:w="100"/>
              <w:right w:type="dxa" w:w="200"/>
            </w:tcMar>
          </w:tcPr>
          <w:p>
            <w:r>
              <w:rPr>
                <w:rFonts w:ascii="Arial" w:cs="Arial" w:eastAsia="Arial" w:hAnsi="Arial"/>
                <w:b/>
                <w:bCs/>
                <w:color w:val="C00000"/>
                <w:sz w:val="20"/>
                <w:szCs w:val="20"/>
              </w:rPr>
              <w:t xml:space="preserve">Human Contribution: 28%   |   Risk Level: HIGH   |   Status: Action required before filing</w:t>
            </w:r>
          </w:p>
        </w:tc>
      </w:tr>
    </w:tbl>
    <w:p>
      <w:pPr>
        <w:spacing w:after="0" w:before="80"/>
      </w:pPr>
      <w:r>
        <w:t xml:space="preserve"/>
      </w:r>
    </w:p>
    <w:p>
      <w:pPr>
        <w:pStyle w:val="Heading3"/>
        <w:spacing w:after="60" w:before="200"/>
      </w:pPr>
      <w:r>
        <w:rPr>
          <w:rFonts w:ascii="Arial" w:cs="Arial" w:eastAsia="Arial" w:hAnsi="Arial"/>
          <w:b/>
          <w:bCs/>
          <w:color w:val="595959"/>
          <w:sz w:val="22"/>
          <w:szCs w:val="22"/>
        </w:rPr>
        <w:t xml:space="preserve">Issues identified:</w:t>
      </w:r>
    </w:p>
    <w:p>
      <w:pPr>
        <w:pStyle w:val="ListParagraph"/>
        <w:numPr>
          <w:ilvl w:val="0"/>
          <w:numId w:val="2"/>
        </w:numPr>
        <w:spacing w:after="40" w:before="40"/>
        <w:ind w:left="720" w:hanging="360"/>
      </w:pPr>
      <w:r>
        <w:rPr>
          <w:rFonts w:ascii="Arial" w:cs="Arial" w:eastAsia="Arial" w:hAnsi="Arial"/>
          <w:color w:val="222222"/>
          <w:sz w:val="22"/>
          <w:szCs w:val="22"/>
        </w:rPr>
        <w:t xml:space="preserve">Only 28% of this feature is attributable to human contribution</w:t>
      </w:r>
    </w:p>
    <w:p>
      <w:pPr>
        <w:pStyle w:val="ListParagraph"/>
        <w:numPr>
          <w:ilvl w:val="0"/>
          <w:numId w:val="2"/>
        </w:numPr>
        <w:spacing w:after="40" w:before="40"/>
        <w:ind w:left="720" w:hanging="360"/>
      </w:pPr>
      <w:r>
        <w:rPr>
          <w:rFonts w:ascii="Arial" w:cs="Arial" w:eastAsia="Arial" w:hAnsi="Arial"/>
          <w:color w:val="222222"/>
          <w:sz w:val="22"/>
          <w:szCs w:val="22"/>
        </w:rPr>
        <w:t xml:space="preserve">No specific problem framing was documented at the time of AI invocation</w:t>
      </w:r>
    </w:p>
    <w:p>
      <w:pPr>
        <w:pStyle w:val="ListParagraph"/>
        <w:numPr>
          <w:ilvl w:val="0"/>
          <w:numId w:val="2"/>
        </w:numPr>
        <w:spacing w:after="40" w:before="40"/>
        <w:ind w:left="720" w:hanging="360"/>
      </w:pPr>
      <w:r>
        <w:rPr>
          <w:rFonts w:ascii="Arial" w:cs="Arial" w:eastAsia="Arial" w:hAnsi="Arial"/>
          <w:color w:val="222222"/>
          <w:sz w:val="22"/>
          <w:szCs w:val="22"/>
        </w:rPr>
        <w:t xml:space="preserve">AI output was accepted with minimal modification — no significant adaptation recorded</w:t>
      </w:r>
    </w:p>
    <w:p>
      <w:pPr>
        <w:spacing w:after="0" w:before="80"/>
      </w:pPr>
      <w:r>
        <w:t xml:space="preserve"/>
      </w:r>
    </w:p>
    <w:p>
      <w:pPr>
        <w:pStyle w:val="Heading3"/>
        <w:spacing w:after="60" w:before="200"/>
      </w:pPr>
      <w:r>
        <w:rPr>
          <w:rFonts w:ascii="Arial" w:cs="Arial" w:eastAsia="Arial" w:hAnsi="Arial"/>
          <w:b/>
          <w:bCs/>
          <w:color w:val="595959"/>
          <w:sz w:val="22"/>
          <w:szCs w:val="22"/>
        </w:rPr>
        <w:t xml:space="preserve">Required actions before this feature can support a claim:</w:t>
      </w:r>
    </w:p>
    <w:p>
      <w:pPr>
        <w:pStyle w:val="ListParagraph"/>
        <w:numPr>
          <w:ilvl w:val="0"/>
          <w:numId w:val="2"/>
        </w:numPr>
        <w:spacing w:after="40" w:before="40"/>
        <w:ind w:left="720" w:hanging="360"/>
      </w:pPr>
      <w:r>
        <w:rPr>
          <w:rFonts w:ascii="Arial" w:cs="Arial" w:eastAsia="Arial" w:hAnsi="Arial"/>
          <w:color w:val="222222"/>
          <w:sz w:val="22"/>
          <w:szCs w:val="22"/>
        </w:rPr>
        <w:t xml:space="preserve">Document in writing why this NLP approach was selected over alternatives (what specific constraints drove the decision?)</w:t>
      </w:r>
    </w:p>
    <w:p>
      <w:pPr>
        <w:pStyle w:val="ListParagraph"/>
        <w:numPr>
          <w:ilvl w:val="0"/>
          <w:numId w:val="2"/>
        </w:numPr>
        <w:spacing w:after="40" w:before="40"/>
        <w:ind w:left="720" w:hanging="360"/>
      </w:pPr>
      <w:r>
        <w:rPr>
          <w:rFonts w:ascii="Arial" w:cs="Arial" w:eastAsia="Arial" w:hAnsi="Arial"/>
          <w:color w:val="222222"/>
          <w:sz w:val="22"/>
          <w:szCs w:val="22"/>
        </w:rPr>
        <w:t xml:space="preserve">If the developer applied domain-specific training data, fine-tuning choices, or integration logic, those must be journaled explicitly</w:t>
      </w:r>
    </w:p>
    <w:p>
      <w:pPr>
        <w:pStyle w:val="ListParagraph"/>
        <w:numPr>
          <w:ilvl w:val="0"/>
          <w:numId w:val="2"/>
        </w:numPr>
        <w:spacing w:after="40" w:before="40"/>
        <w:ind w:left="720" w:hanging="360"/>
      </w:pPr>
      <w:r>
        <w:rPr>
          <w:rFonts w:ascii="Arial" w:cs="Arial" w:eastAsia="Arial" w:hAnsi="Arial"/>
          <w:color w:val="222222"/>
          <w:sz w:val="22"/>
          <w:szCs w:val="22"/>
        </w:rPr>
        <w:t xml:space="preserve">Consider modifying the AI output with novel, application-specific logic to increase human contribution above 50%</w:t>
      </w:r>
    </w:p>
    <w:p>
      <w:pPr>
        <w:spacing w:after="0" w:before="160"/>
      </w:pPr>
      <w:r>
        <w:t xml:space="preserve"/>
      </w:r>
    </w:p>
    <w:p>
      <w:pPr>
        <w:pStyle w:val="Heading2"/>
        <w:spacing w:after="80" w:before="280"/>
      </w:pPr>
      <w:r>
        <w:rPr>
          <w:rFonts w:ascii="Arial" w:cs="Arial" w:eastAsia="Arial" w:hAnsi="Arial"/>
          <w:b/>
          <w:bCs/>
          <w:color w:val="2E75B6"/>
          <w:sz w:val="24"/>
          <w:szCs w:val="24"/>
        </w:rPr>
        <w:t xml:space="preserve">3.4  Load Balancing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ADD" w:val="clear"/>
            <w:tcMar>
              <w:top w:type="dxa" w:w="100"/>
              <w:left w:type="dxa" w:w="200"/>
              <w:bottom w:type="dxa" w:w="100"/>
              <w:right w:type="dxa" w:w="200"/>
            </w:tcMar>
          </w:tcPr>
          <w:p>
            <w:r>
              <w:rPr>
                <w:rFonts w:ascii="Arial" w:cs="Arial" w:eastAsia="Arial" w:hAnsi="Arial"/>
                <w:b/>
                <w:bCs/>
                <w:color w:val="C00000"/>
                <w:sz w:val="20"/>
                <w:szCs w:val="20"/>
              </w:rPr>
              <w:t xml:space="preserve">Human Contribution: 19%   |   Risk Level: HIGH   |   Status: Cannot support claim as-is</w:t>
            </w:r>
          </w:p>
        </w:tc>
      </w:tr>
    </w:tbl>
    <w:p>
      <w:pPr>
        <w:spacing w:after="0" w:before="80"/>
      </w:pPr>
      <w:r>
        <w:t xml:space="preserve"/>
      </w:r>
    </w:p>
    <w:p>
      <w:pPr>
        <w:spacing w:after="100" w:before="60"/>
      </w:pPr>
      <w:r>
        <w:rPr>
          <w:rFonts w:ascii="Arial" w:cs="Arial" w:eastAsia="Arial" w:hAnsi="Arial"/>
          <w:color w:val="222222"/>
          <w:sz w:val="22"/>
          <w:szCs w:val="22"/>
        </w:rPr>
        <w:t xml:space="preserve">Weighted round-robin was accepted from AI suggestion with minimal modification and no documented rationale. This is a well-known algorithm, and accepting it verbatim without specific problem framing does not establish inventive human contribution.</w:t>
      </w:r>
    </w:p>
    <w:p>
      <w:pPr>
        <w:pStyle w:val="Heading3"/>
        <w:spacing w:after="60" w:before="200"/>
      </w:pPr>
      <w:r>
        <w:rPr>
          <w:rFonts w:ascii="Arial" w:cs="Arial" w:eastAsia="Arial" w:hAnsi="Arial"/>
          <w:b/>
          <w:bCs/>
          <w:color w:val="595959"/>
          <w:sz w:val="22"/>
          <w:szCs w:val="22"/>
        </w:rPr>
        <w:t xml:space="preserve">Options:</w:t>
      </w:r>
    </w:p>
    <w:p>
      <w:pPr>
        <w:pStyle w:val="ListParagraph"/>
        <w:numPr>
          <w:ilvl w:val="0"/>
          <w:numId w:val="2"/>
        </w:numPr>
        <w:spacing w:after="40" w:before="40"/>
        <w:ind w:left="720" w:hanging="360"/>
      </w:pPr>
      <w:r>
        <w:rPr>
          <w:rFonts w:ascii="Arial" w:cs="Arial" w:eastAsia="Arial" w:hAnsi="Arial"/>
          <w:color w:val="222222"/>
          <w:sz w:val="22"/>
          <w:szCs w:val="22"/>
        </w:rPr>
        <w:t xml:space="preserve">Option A: Significantly modify the algorithm with novel, application-specific logic and document the inventive contribution</w:t>
      </w:r>
    </w:p>
    <w:p>
      <w:pPr>
        <w:pStyle w:val="ListParagraph"/>
        <w:numPr>
          <w:ilvl w:val="0"/>
          <w:numId w:val="2"/>
        </w:numPr>
        <w:spacing w:after="40" w:before="40"/>
        <w:ind w:left="720" w:hanging="360"/>
      </w:pPr>
      <w:r>
        <w:rPr>
          <w:rFonts w:ascii="Arial" w:cs="Arial" w:eastAsia="Arial" w:hAnsi="Arial"/>
          <w:color w:val="222222"/>
          <w:sz w:val="22"/>
          <w:szCs w:val="22"/>
        </w:rPr>
        <w:t xml:space="preserve">Option B: Journal the specific constraints that made weighted round-robin uniquely correct for this system</w:t>
      </w:r>
    </w:p>
    <w:p>
      <w:pPr>
        <w:pStyle w:val="ListParagraph"/>
        <w:numPr>
          <w:ilvl w:val="0"/>
          <w:numId w:val="2"/>
        </w:numPr>
        <w:spacing w:after="40" w:before="40"/>
        <w:ind w:left="720" w:hanging="360"/>
      </w:pPr>
      <w:r>
        <w:rPr>
          <w:rFonts w:ascii="Arial" w:cs="Arial" w:eastAsia="Arial" w:hAnsi="Arial"/>
          <w:color w:val="222222"/>
          <w:sz w:val="22"/>
          <w:szCs w:val="22"/>
        </w:rPr>
        <w:t xml:space="preserve">Option C: Exclude this feature from patent claims and rely on trade-secret protection instead</w:t>
      </w:r>
    </w:p>
    <w:p>
      <w:pPr>
        <w:spacing w:after="0" w:before="160"/>
      </w:pPr>
      <w:r>
        <w:t xml:space="preserve"/>
      </w:r>
    </w:p>
    <w:p>
      <w:pPr>
        <w:pStyle w:val="Heading2"/>
        <w:spacing w:after="80" w:before="280"/>
      </w:pPr>
      <w:r>
        <w:rPr>
          <w:rFonts w:ascii="Arial" w:cs="Arial" w:eastAsia="Arial" w:hAnsi="Arial"/>
          <w:b/>
          <w:bCs/>
          <w:color w:val="2E75B6"/>
          <w:sz w:val="24"/>
          <w:szCs w:val="24"/>
        </w:rPr>
        <w:t xml:space="preserve">3.5–3.7  Medium Risk Features (Dynamic Scheduler, Retry Orchestration, Telemetry Pipeline)</w:t>
      </w:r>
    </w:p>
    <w:p>
      <w:pPr>
        <w:spacing w:after="100" w:before="60"/>
      </w:pPr>
      <w:r>
        <w:rPr>
          <w:rFonts w:ascii="Arial" w:cs="Arial" w:eastAsia="Arial" w:hAnsi="Arial"/>
          <w:color w:val="222222"/>
          <w:sz w:val="22"/>
          <w:szCs w:val="22"/>
        </w:rPr>
        <w:t xml:space="preserve">These three features show moderate human contribution (44–61%). Each can potentially support a patent claim, but requires additional documentation before filing.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Dynamic Scheduler</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55% human. Document which scheduling parameters were human-set vs. AI defaults. Identify any custom heuristics not present in the AI suggestion.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Retry Orchestration</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61% human. Journal the specific retry timing curves and failure thresholds you defined. Explain why standard retry patterns were insufficient for this workload.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Telemetry Pipeline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44% human. Document custom event schemas and sampling strategies. Differentiate your instrumentation decisions from AI-generated boilerplate.</w:t>
            </w:r>
          </w:p>
        </w:tc>
      </w:tr>
    </w:tbl>
    <w:p>
      <w:pPr>
        <w:pageBreakBefore/>
      </w:pPr>
      <w:r>
        <w:t xml:space="preserve"/>
      </w:r>
    </w:p>
    <w:p>
      <w:pPr>
        <w:pStyle w:val="Heading1"/>
        <w:pBdr>
          <w:bottom w:val="single" w:color="2E75B6" w:sz="6" w:space="4"/>
        </w:pBdr>
        <w:spacing w:after="120" w:before="360"/>
      </w:pPr>
      <w:r>
        <w:rPr>
          <w:rFonts w:ascii="Arial" w:cs="Arial" w:eastAsia="Arial" w:hAnsi="Arial"/>
          <w:b/>
          <w:bCs/>
          <w:color w:val="1E4D8C"/>
          <w:sz w:val="28"/>
          <w:szCs w:val="28"/>
        </w:rPr>
        <w:t xml:space="preserve">4. Decision Journal Excerpts</w:t>
      </w:r>
    </w:p>
    <w:p>
      <w:pPr>
        <w:spacing w:after="100" w:before="60"/>
      </w:pPr>
      <w:r>
        <w:rPr>
          <w:rFonts w:ascii="Arial" w:cs="Arial" w:eastAsia="Arial" w:hAnsi="Arial"/>
          <w:color w:val="222222"/>
          <w:sz w:val="22"/>
          <w:szCs w:val="22"/>
        </w:rPr>
        <w:t xml:space="preserve">The following entries were recorded during the development session. These are primary evidence of inventive human contribution and should be preserved in their original form for patent counsel.</w:t>
      </w:r>
    </w:p>
    <w:p>
      <w:pPr>
        <w:spacing w:after="0" w:before="120"/>
      </w:pPr>
      <w:r>
        <w:t xml:space="preserve"/>
      </w:r>
    </w:p>
    <w:p>
      <w:pPr>
        <w:pStyle w:val="Heading2"/>
        <w:spacing w:after="80" w:before="280"/>
      </w:pPr>
      <w:r>
        <w:rPr>
          <w:rFonts w:ascii="Arial" w:cs="Arial" w:eastAsia="Arial" w:hAnsi="Arial"/>
          <w:b/>
          <w:bCs/>
          <w:color w:val="2E75B6"/>
          <w:sz w:val="24"/>
          <w:szCs w:val="24"/>
        </w:rPr>
        <w:t xml:space="preserve">Entry 1 — Adaptive Prioritization: Scoring Model Choice</w:t>
      </w:r>
    </w:p>
    <w:p>
      <w:pPr>
        <w:spacing w:after="100" w:before="60"/>
      </w:pPr>
      <w:r>
        <w:rPr>
          <w:rFonts w:ascii="Arial" w:cs="Arial" w:eastAsia="Arial" w:hAnsi="Arial"/>
          <w:i/>
          <w:iCs/>
          <w:color w:val="595959"/>
          <w:sz w:val="22"/>
          <w:szCs w:val="22"/>
        </w:rPr>
        <w:t xml:space="preserve">Date: April 10, 2026, 10:42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i/>
                <w:iCs/>
                <w:sz w:val="20"/>
                <w:szCs w:val="20"/>
              </w:rPr>
              <w:t xml:space="preserve">Chose decay-weighted scoring over standard FIFO because latency SLA requires front-of-queue promotion for retry bursts. AI suggested exponential backoff — rejected as it does not account for queue depth variance in our traffic pattern.</w:t>
            </w:r>
          </w:p>
        </w:tc>
      </w:tr>
    </w:tbl>
    <w:p>
      <w:pPr>
        <w:spacing w:after="100" w:before="60"/>
      </w:pPr>
      <w:r>
        <w:rPr>
          <w:rFonts w:ascii="Arial" w:cs="Arial" w:eastAsia="Arial" w:hAnsi="Arial"/>
          <w:color w:val="375623"/>
          <w:sz w:val="22"/>
          <w:szCs w:val="22"/>
        </w:rPr>
        <w:t xml:space="preserve">Assessment: This entry establishes clear inventive direction — the developer identified a specific inadequacy in the AI suggestion and applied domain knowledge to produce a better solution. This is strong evidence of significant human contribution.</w:t>
      </w:r>
    </w:p>
    <w:p>
      <w:pPr>
        <w:spacing w:after="0" w:before="160"/>
      </w:pPr>
      <w:r>
        <w:t xml:space="preserve"/>
      </w:r>
    </w:p>
    <w:p>
      <w:pPr>
        <w:pStyle w:val="Heading2"/>
        <w:spacing w:after="80" w:before="280"/>
      </w:pPr>
      <w:r>
        <w:rPr>
          <w:rFonts w:ascii="Arial" w:cs="Arial" w:eastAsia="Arial" w:hAnsi="Arial"/>
          <w:b/>
          <w:bCs/>
          <w:color w:val="2E75B6"/>
          <w:sz w:val="24"/>
          <w:szCs w:val="24"/>
        </w:rPr>
        <w:t xml:space="preserve">Entry 2 — Predictive Cache: Prefetch Window</w:t>
      </w:r>
    </w:p>
    <w:p>
      <w:pPr>
        <w:spacing w:after="100" w:before="60"/>
      </w:pPr>
      <w:r>
        <w:rPr>
          <w:rFonts w:ascii="Arial" w:cs="Arial" w:eastAsia="Arial" w:hAnsi="Arial"/>
          <w:i/>
          <w:iCs/>
          <w:color w:val="595959"/>
          <w:sz w:val="22"/>
          <w:szCs w:val="22"/>
        </w:rPr>
        <w:t xml:space="preserve">Date: April 10, 2026, 9:15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i/>
                <w:iCs/>
                <w:sz w:val="20"/>
                <w:szCs w:val="20"/>
              </w:rPr>
              <w:t xml:space="preserve">Identified that a sliding 200ms prefetch window — not a fixed TTL — was necessary due to bursty inter-arrival times specific to our workload. This was not present in AI output; I conceived and implemented it directly.</w:t>
            </w:r>
          </w:p>
        </w:tc>
      </w:tr>
    </w:tbl>
    <w:p>
      <w:pPr>
        <w:spacing w:after="100" w:before="60"/>
      </w:pPr>
      <w:r>
        <w:rPr>
          <w:rFonts w:ascii="Arial" w:cs="Arial" w:eastAsia="Arial" w:hAnsi="Arial"/>
          <w:color w:val="375623"/>
          <w:sz w:val="22"/>
          <w:szCs w:val="22"/>
        </w:rPr>
        <w:t xml:space="preserve">Assessment: This entry documents independent conception of the sliding window mechanism. The explicit statement that the design was absent from AI output and was developer-originated is especially valuable for patent counsel.</w:t>
      </w:r>
    </w:p>
    <w:p>
      <w:pPr>
        <w:spacing w:after="0" w:before="160"/>
      </w:pPr>
      <w:r>
        <w:t xml:space="preserve"/>
      </w:r>
    </w:p>
    <w:p>
      <w:pPr>
        <w:pStyle w:val="Heading2"/>
        <w:spacing w:after="80" w:before="280"/>
      </w:pPr>
      <w:r>
        <w:rPr>
          <w:rFonts w:ascii="Arial" w:cs="Arial" w:eastAsia="Arial" w:hAnsi="Arial"/>
          <w:b/>
          <w:bCs/>
          <w:color w:val="2E75B6"/>
          <w:sz w:val="24"/>
          <w:szCs w:val="24"/>
        </w:rPr>
        <w:t xml:space="preserve">Entry 3 — Load Balancing: Accepted AI Output (No Rationale)</w:t>
      </w:r>
    </w:p>
    <w:p>
      <w:pPr>
        <w:spacing w:after="100" w:before="60"/>
      </w:pPr>
      <w:r>
        <w:rPr>
          <w:rFonts w:ascii="Arial" w:cs="Arial" w:eastAsia="Arial" w:hAnsi="Arial"/>
          <w:i/>
          <w:iCs/>
          <w:color w:val="595959"/>
          <w:sz w:val="22"/>
          <w:szCs w:val="22"/>
        </w:rPr>
        <w:t xml:space="preserve">Date: April 9, 2026, 4:30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ADD" w:val="clear"/>
            <w:tcMar>
              <w:top w:type="dxa" w:w="120"/>
              <w:left w:type="dxa" w:w="200"/>
              <w:bottom w:type="dxa" w:w="120"/>
              <w:right w:type="dxa" w:w="200"/>
            </w:tcMar>
          </w:tcPr>
          <w:p>
            <w:r>
              <w:rPr>
                <w:rFonts w:ascii="Arial" w:cs="Arial" w:eastAsia="Arial" w:hAnsi="Arial"/>
                <w:i/>
                <w:iCs/>
                <w:sz w:val="20"/>
                <w:szCs w:val="20"/>
              </w:rPr>
              <w:t xml:space="preserve">Accepted weighted round-robin from Copilot with minimal modification. No specific problem framing documented.</w:t>
            </w:r>
          </w:p>
        </w:tc>
      </w:tr>
    </w:tbl>
    <w:p>
      <w:pPr>
        <w:spacing w:after="100" w:before="60"/>
      </w:pPr>
      <w:r>
        <w:rPr>
          <w:rFonts w:ascii="Arial" w:cs="Arial" w:eastAsia="Arial" w:hAnsi="Arial"/>
          <w:color w:val="C00000"/>
          <w:sz w:val="22"/>
          <w:szCs w:val="22"/>
        </w:rPr>
        <w:t xml:space="preserve">Assessment: This entry weakens the patent position for load balancing. The lack of documented rationale and minimal modification make it difficult to argue significant human contribution. See Section 3.4 for remediation options.</w:t>
      </w:r>
    </w:p>
    <w:p>
      <w:pPr>
        <w:pageBreakBefore/>
      </w:pPr>
      <w:r>
        <w:t xml:space="preserve"/>
      </w:r>
    </w:p>
    <w:p>
      <w:pPr>
        <w:pStyle w:val="Heading1"/>
        <w:pBdr>
          <w:bottom w:val="single" w:color="2E75B6" w:sz="6" w:space="4"/>
        </w:pBdr>
        <w:spacing w:after="120" w:before="360"/>
      </w:pPr>
      <w:r>
        <w:rPr>
          <w:rFonts w:ascii="Arial" w:cs="Arial" w:eastAsia="Arial" w:hAnsi="Arial"/>
          <w:b/>
          <w:bCs/>
          <w:color w:val="1E4D8C"/>
          <w:sz w:val="28"/>
          <w:szCs w:val="28"/>
        </w:rPr>
        <w:t xml:space="preserve">5. Recommended Action Plan</w:t>
      </w:r>
    </w:p>
    <w:p>
      <w:pPr>
        <w:spacing w:after="100" w:before="60"/>
      </w:pPr>
      <w:r>
        <w:rPr>
          <w:rFonts w:ascii="Arial" w:cs="Arial" w:eastAsia="Arial" w:hAnsi="Arial"/>
          <w:color w:val="222222"/>
          <w:sz w:val="22"/>
          <w:szCs w:val="22"/>
        </w:rPr>
        <w:t xml:space="preserve">The following steps should be completed before this disclosure is submitted to patent counsel for filing.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760"/>
        <w:gridCol w:w="180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Action Required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NLP Intent Parsing</w:t>
            </w:r>
          </w:p>
        </w:tc>
        <w:tc>
          <w:tcPr>
            <w:tcW w:type="dxa" w:w="4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Document problem framing and selection rationale in decision journal. Modify AI output with domain-specific logic.</w:t>
            </w:r>
          </w:p>
        </w:tc>
        <w:tc>
          <w:tcPr>
            <w:tcW w:type="dxa" w:w="1800"/>
            <w:tcBorders>
              <w:top w:val="single" w:color="CCCCCC" w:sz="1"/>
              <w:left w:val="single" w:color="CCCCCC" w:sz="1"/>
              <w:bottom w:val="single" w:color="CCCCCC" w:sz="1"/>
              <w:right w:val="single" w:color="CCCCCC" w:sz="1"/>
            </w:tcBorders>
            <w:shd w:fill="FADADD"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Load Balancing Algo</w:t>
            </w:r>
          </w:p>
        </w:tc>
        <w:tc>
          <w:tcPr>
            <w:tcW w:type="dxa" w:w="4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Choose: add novel logic, journal constraints, or exclude from claims and protect as trade secret.</w:t>
            </w:r>
          </w:p>
        </w:tc>
        <w:tc>
          <w:tcPr>
            <w:tcW w:type="dxa" w:w="1800"/>
            <w:tcBorders>
              <w:top w:val="single" w:color="CCCCCC" w:sz="1"/>
              <w:left w:val="single" w:color="CCCCCC" w:sz="1"/>
              <w:bottom w:val="single" w:color="CCCCCC" w:sz="1"/>
              <w:right w:val="single" w:color="CCCCCC" w:sz="1"/>
            </w:tcBorders>
            <w:shd w:fill="FADADD"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Dynamic Scheduler</w:t>
            </w:r>
          </w:p>
        </w:tc>
        <w:tc>
          <w:tcPr>
            <w:tcW w:type="dxa" w:w="4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Identify and document which scheduling parameters were human decisions vs. AI defaults.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55A11"/>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Telemetry Pipeline</w:t>
            </w:r>
          </w:p>
        </w:tc>
        <w:tc>
          <w:tcPr>
            <w:tcW w:type="dxa" w:w="4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Journal custom event schema choices and explain why AI-generated boilerplate was insufficient.</w:t>
            </w:r>
          </w:p>
        </w:tc>
        <w:tc>
          <w:tcPr>
            <w:tcW w:type="dxa" w:w="18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55A11"/>
                <w:sz w:val="20"/>
                <w:szCs w:val="20"/>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Retry Orchestration</w:t>
            </w:r>
          </w:p>
        </w:tc>
        <w:tc>
          <w:tcPr>
            <w:tcW w:type="dxa" w:w="4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Document specific timing curves and failure thresholds. Explain deviation from standard retry patterns.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color w:val="2E75B6"/>
                <w:sz w:val="20"/>
                <w:szCs w:val="20"/>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All Features</w:t>
            </w:r>
          </w:p>
        </w:tc>
        <w:tc>
          <w:tcPr>
            <w:tcW w:type="dxa" w:w="4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Increase specificity of future prompts. Include problem framing, constraints, and why AI defaults were inadequate.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color w:val="595959"/>
                <w:sz w:val="20"/>
                <w:szCs w:val="20"/>
              </w:rPr>
              <w:t xml:space="preserve">Ongoing</w:t>
            </w:r>
          </w:p>
        </w:tc>
      </w:tr>
    </w:tbl>
    <w:p>
      <w:pPr>
        <w:spacing w:after="0" w:before="240"/>
      </w:pPr>
      <w:r>
        <w:t xml:space="preserve"/>
      </w:r>
    </w:p>
    <w:p>
      <w:pPr>
        <w:pStyle w:val="Heading2"/>
        <w:spacing w:after="80" w:before="280"/>
      </w:pPr>
      <w:r>
        <w:rPr>
          <w:rFonts w:ascii="Arial" w:cs="Arial" w:eastAsia="Arial" w:hAnsi="Arial"/>
          <w:b/>
          <w:bCs/>
          <w:color w:val="2E75B6"/>
          <w:sz w:val="24"/>
          <w:szCs w:val="24"/>
        </w:rPr>
        <w:t xml:space="preserve">Jurisdiction Note</w:t>
      </w:r>
    </w:p>
    <w:p>
      <w:pPr>
        <w:spacing w:after="100" w:before="60"/>
      </w:pPr>
      <w:r>
        <w:rPr>
          <w:rFonts w:ascii="Arial" w:cs="Arial" w:eastAsia="Arial" w:hAnsi="Arial"/>
          <w:color w:val="222222"/>
          <w:sz w:val="22"/>
          <w:szCs w:val="22"/>
        </w:rPr>
        <w:t xml:space="preserve">This analysis applies primarily to USPTO standards (United States). If international protection is sought, note that:</w:t>
      </w:r>
    </w:p>
    <w:p>
      <w:pPr>
        <w:pStyle w:val="ListParagraph"/>
        <w:numPr>
          <w:ilvl w:val="0"/>
          <w:numId w:val="2"/>
        </w:numPr>
        <w:spacing w:after="40" w:before="40"/>
        <w:ind w:left="720" w:hanging="360"/>
      </w:pPr>
      <w:r>
        <w:rPr>
          <w:rFonts w:ascii="Arial" w:cs="Arial" w:eastAsia="Arial" w:hAnsi="Arial"/>
          <w:color w:val="222222"/>
          <w:sz w:val="22"/>
          <w:szCs w:val="22"/>
        </w:rPr>
        <w:t xml:space="preserve">European Patent Office (EPO): Similar human-conception requirements apply. AI-generated contributions may be disclaimed.</w:t>
      </w:r>
    </w:p>
    <w:p>
      <w:pPr>
        <w:pStyle w:val="ListParagraph"/>
        <w:numPr>
          <w:ilvl w:val="0"/>
          <w:numId w:val="2"/>
        </w:numPr>
        <w:spacing w:after="40" w:before="40"/>
        <w:ind w:left="720" w:hanging="360"/>
      </w:pPr>
      <w:r>
        <w:rPr>
          <w:rFonts w:ascii="Arial" w:cs="Arial" w:eastAsia="Arial" w:hAnsi="Arial"/>
          <w:color w:val="222222"/>
          <w:sz w:val="22"/>
          <w:szCs w:val="22"/>
        </w:rPr>
        <w:t xml:space="preserve">China CNIPA: Guidelines on AI-assisted inventions are evolving; consult local counsel.</w:t>
      </w:r>
    </w:p>
    <w:p>
      <w:pPr>
        <w:pStyle w:val="ListParagraph"/>
        <w:numPr>
          <w:ilvl w:val="0"/>
          <w:numId w:val="2"/>
        </w:numPr>
        <w:spacing w:after="40" w:before="40"/>
        <w:ind w:left="720" w:hanging="360"/>
      </w:pPr>
      <w:r>
        <w:rPr>
          <w:rFonts w:ascii="Arial" w:cs="Arial" w:eastAsia="Arial" w:hAnsi="Arial"/>
          <w:color w:val="222222"/>
          <w:sz w:val="22"/>
          <w:szCs w:val="22"/>
        </w:rPr>
        <w:t xml:space="preserve">United Kingdom IPO: Following Thaler v Comptroller, AI cannot be named as inventor; human director must be identified.</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40"/>
            </w:pPr>
            <w:r>
              <w:rPr>
                <w:rFonts w:ascii="Arial" w:cs="Arial" w:eastAsia="Arial" w:hAnsi="Arial"/>
                <w:b/>
                <w:bCs/>
                <w:color w:val="C55A11"/>
                <w:sz w:val="18"/>
                <w:szCs w:val="18"/>
              </w:rPr>
              <w:t xml:space="preserve">LEGAL DISCLAIMER</w:t>
            </w:r>
          </w:p>
          <w:p>
            <w:r>
              <w:rPr>
                <w:rFonts w:ascii="Arial" w:cs="Arial" w:eastAsia="Arial" w:hAnsi="Arial"/>
                <w:color w:val="222222"/>
                <w:sz w:val="20"/>
                <w:szCs w:val="20"/>
              </w:rPr>
              <w:t xml:space="preserve">This report was generated by an automated contribution tracking tool and does not constitute legal advice. Patentability determinations require assessment by a qualified patent attorney. Contribution percentages are estimates based on session data and may not reflect all relevant factors. This document should be treated as attorney-client privileged work product once submitted to counsel.</w:t>
            </w:r>
          </w:p>
        </w:tc>
      </w:tr>
    </w:tbl>
    <w:p>
      <w:pPr>
        <w:spacing w:after="0" w:before="240"/>
      </w:pPr>
      <w:r>
        <w:t xml:space="preserve"/>
      </w:r>
    </w:p>
    <w:p>
      <w:pPr>
        <w:jc w:val="center"/>
      </w:pPr>
      <w:r>
        <w:rPr>
          <w:rFonts w:ascii="Arial" w:cs="Arial" w:eastAsia="Arial" w:hAnsi="Arial"/>
          <w:i/>
          <w:iCs/>
          <w:color w:val="595959"/>
          <w:sz w:val="20"/>
          <w:szCs w:val="20"/>
        </w:rPr>
        <w:t xml:space="preserve">— End of Invention Disclosure Report —</w:t>
      </w:r>
    </w:p>
    <w:p>
      <w:pPr>
        <w:jc w:val="center"/>
      </w:pPr>
      <w:r>
        <w:rPr>
          <w:rFonts w:ascii="Arial" w:cs="Arial" w:eastAsia="Arial" w:hAnsi="Arial"/>
          <w:color w:val="595959"/>
          <w:sz w:val="18"/>
          <w:szCs w:val="18"/>
        </w:rPr>
        <w:t xml:space="preserve">IDF-2026-0041  |  Generated April 10, 2026  |  PatentTrack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pPr>
    <w:r>
      <w:rPr>
        <w:rFonts w:ascii="Arial" w:cs="Arial" w:eastAsia="Arial" w:hAnsi="Arial"/>
        <w:color w:val="595959"/>
        <w:sz w:val="16"/>
        <w:szCs w:val="16"/>
      </w:rPr>
      <w:t xml:space="preserve">Generated by PatentTrack  |  For patent counsel review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pPr>
    <w:r>
      <w:rPr>
        <w:rFonts w:ascii="Arial" w:cs="Arial" w:eastAsia="Arial" w:hAnsi="Arial"/>
        <w:b/>
        <w:bCs/>
        <w:color w:val="C00000"/>
        <w:sz w:val="16"/>
        <w:szCs w:val="16"/>
      </w:rPr>
      <w:t xml:space="preserve">CONFIDENTIAL — ATTORNEY-CLIENT PRIVILEGED</w:t>
    </w:r>
    <w:r>
      <w:rPr>
        <w:rFonts w:ascii="Arial" w:cs="Arial" w:eastAsia="Arial" w:hAnsi="Arial"/>
        <w:color w:val="595959"/>
        <w:sz w:val="16"/>
        <w:szCs w:val="16"/>
      </w:rPr>
      <w:t xml:space="preserve">   |   SmartQueue v2 — Invention Disclosure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D8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2026-04-11T04:21:56.003Z</dcterms:created>
  <dcterms:modified xsi:type="dcterms:W3CDTF">2026-04-11T04:21:56.004Z</dcterms:modified>
</cp:coreProperties>
</file>

<file path=docProps/custom.xml><?xml version="1.0" encoding="utf-8"?>
<Properties xmlns="http://schemas.openxmlformats.org/officeDocument/2006/custom-properties" xmlns:vt="http://schemas.openxmlformats.org/officeDocument/2006/docPropsVTypes"/>
</file>