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b/>
          <w:bCs/>
          <w:caps/>
          <w:color w:val="595959"/>
          <w:sz w:val="26"/>
          <w:szCs w:val="26"/>
        </w:rPr>
        <w:t xml:space="preserve">NOTE CONCEPTUELLE DE PROJET</w:t>
      </w:r>
    </w:p>
    <w:p>
      <w:pPr>
        <w:spacing w:after="240"/>
        <w:jc w:val="center"/>
      </w:pPr>
      <w:r>
        <w:rPr>
          <w:b/>
          <w:bCs/>
          <w:color w:val="1F3A5F"/>
          <w:sz w:val="44"/>
          <w:szCs w:val="44"/>
        </w:rPr>
        <w:t xml:space="preserve">INTERNATIONAL MEDICAL SECOND OPINION PLATFORM (IMSOP)</w:t>
      </w:r>
    </w:p>
    <w:p>
      <w:pPr>
        <w:spacing w:after="900"/>
        <w:jc w:val="center"/>
      </w:pPr>
      <w:r>
        <w:rPr>
          <w:i/>
          <w:iCs/>
          <w:color w:val="B08D57"/>
          <w:sz w:val="24"/>
          <w:szCs w:val="24"/>
        </w:rPr>
        <w:t xml:space="preserve">Programme africain de deuxième avis médical et de télé-expertise médicale internationale</w:t>
      </w:r>
    </w:p>
    <w:p>
      <w:pPr>
        <w:pBdr>
          <w:top w:val="single" w:color="B08D57" w:sz="6" w:space="8"/>
        </w:pBdr>
        <w:spacing w:after="260"/>
      </w:pPr>
    </w:p>
    <w:p>
      <w:pPr>
        <w:spacing w:after="160"/>
        <w:jc w:val="center"/>
      </w:pPr>
      <w:r>
        <w:rPr>
          <w:b/>
          <w:bCs/>
        </w:rPr>
        <w:t xml:space="preserve">Pays pilote : </w:t>
      </w:r>
      <w:r>
        <w:t xml:space="preserve">Cameroun</w:t>
      </w:r>
    </w:p>
    <w:p>
      <w:pPr>
        <w:spacing w:after="160"/>
        <w:jc w:val="center"/>
      </w:pPr>
      <w:r>
        <w:rPr>
          <w:b/>
          <w:bCs/>
        </w:rPr>
        <w:t xml:space="preserve">Zone d'intervention envisagée : </w:t>
      </w:r>
      <w:r>
        <w:t xml:space="preserve">Cameroun, avec extension progressive à d'autres pays africains</w:t>
      </w:r>
    </w:p>
    <w:p>
      <w:pPr>
        <w:spacing w:after="160"/>
        <w:jc w:val="center"/>
      </w:pPr>
      <w:r>
        <w:rPr>
          <w:b/>
          <w:bCs/>
        </w:rPr>
        <w:t xml:space="preserve">Partenaires envisagés : </w:t>
      </w:r>
      <w:r>
        <w:t xml:space="preserve">établissements hospitaliers africains, hôpitaux et centres médicaux européens, médecins spécialistes, plateformes technologiques de santé, compagnies d'assurance, institutions financières et partenaires techniques et financiers.</w:t>
      </w:r>
    </w:p>
    <w:p>
      <w:r>
        <w:br w:type="page"/>
      </w:r>
    </w:p>
    <w:p>
      <w:pPr>
        <w:pStyle w:val="Heading1"/>
        <w:spacing w:after="240"/>
      </w:pPr>
      <w:r>
        <w:t xml:space="preserve">SOMMAIRE</w:t>
      </w:r>
    </w:p>
    <w:p>
      <w:pPr>
        <w:tabs>
          <w:tab w:val="right" w:pos="9026" w:leader="dot"/>
        </w:tabs>
        <w:spacing w:after="120"/>
        <w:ind w:left="0"/>
      </w:pPr>
      <w:r>
        <w:rPr>
          <w:color w:val="1F3A5F"/>
        </w:rPr>
        <w:t xml:space="preserve">1. Contexte</w:t>
      </w:r>
      <w:r>
        <w:t xml:space="preserve">	3</w:t>
      </w:r>
    </w:p>
    <w:p>
      <w:pPr>
        <w:tabs>
          <w:tab w:val="right" w:pos="9026" w:leader="dot"/>
        </w:tabs>
        <w:spacing w:after="120"/>
        <w:ind w:left="0"/>
      </w:pPr>
      <w:r>
        <w:rPr>
          <w:color w:val="1F3A5F"/>
        </w:rPr>
        <w:t xml:space="preserve">2. Problématique</w:t>
      </w:r>
      <w:r>
        <w:t xml:space="preserve">	3</w:t>
      </w:r>
    </w:p>
    <w:p>
      <w:pPr>
        <w:tabs>
          <w:tab w:val="right" w:pos="9026" w:leader="dot"/>
        </w:tabs>
        <w:spacing w:after="120"/>
        <w:ind w:left="0"/>
      </w:pPr>
      <w:r>
        <w:rPr>
          <w:color w:val="1F3A5F"/>
        </w:rPr>
        <w:t xml:space="preserve">3. Justification du projet</w:t>
      </w:r>
      <w:r>
        <w:t xml:space="preserve">	4</w:t>
      </w:r>
    </w:p>
    <w:p>
      <w:pPr>
        <w:tabs>
          <w:tab w:val="right" w:pos="9026" w:leader="dot"/>
        </w:tabs>
        <w:spacing w:after="120"/>
        <w:ind w:left="0"/>
      </w:pPr>
      <w:r>
        <w:rPr>
          <w:color w:val="1F3A5F"/>
        </w:rPr>
        <w:t xml:space="preserve">4. Vision</w:t>
      </w:r>
      <w:r>
        <w:t xml:space="preserve">	4</w:t>
      </w:r>
    </w:p>
    <w:p>
      <w:pPr>
        <w:tabs>
          <w:tab w:val="right" w:pos="9026" w:leader="dot"/>
        </w:tabs>
        <w:spacing w:after="120"/>
        <w:ind w:left="0"/>
      </w:pPr>
      <w:r>
        <w:rPr>
          <w:color w:val="1F3A5F"/>
        </w:rPr>
        <w:t xml:space="preserve">5. Mission</w:t>
      </w:r>
      <w:r>
        <w:t xml:space="preserve">	5</w:t>
      </w:r>
    </w:p>
    <w:p>
      <w:pPr>
        <w:tabs>
          <w:tab w:val="right" w:pos="9026" w:leader="dot"/>
        </w:tabs>
        <w:spacing w:after="120"/>
        <w:ind w:left="0"/>
      </w:pPr>
      <w:r>
        <w:rPr>
          <w:color w:val="1F3A5F"/>
        </w:rPr>
        <w:t xml:space="preserve">6. Objectif général</w:t>
      </w:r>
      <w:r>
        <w:t xml:space="preserve">	5</w:t>
      </w:r>
    </w:p>
    <w:p>
      <w:pPr>
        <w:tabs>
          <w:tab w:val="right" w:pos="9026" w:leader="dot"/>
        </w:tabs>
        <w:spacing w:after="120"/>
        <w:ind w:left="0"/>
      </w:pPr>
      <w:r>
        <w:rPr>
          <w:color w:val="1F3A5F"/>
        </w:rPr>
        <w:t xml:space="preserve">7. Objectifs spécifiques</w:t>
      </w:r>
      <w:r>
        <w:t xml:space="preserve">	5</w:t>
      </w:r>
    </w:p>
    <w:p>
      <w:pPr>
        <w:tabs>
          <w:tab w:val="right" w:pos="9026" w:leader="dot"/>
        </w:tabs>
        <w:spacing w:after="120"/>
        <w:ind w:left="0"/>
      </w:pPr>
      <w:r>
        <w:rPr>
          <w:color w:val="1F3A5F"/>
        </w:rPr>
        <w:t xml:space="preserve">8. Principales cibles</w:t>
      </w:r>
      <w:r>
        <w:t xml:space="preserve">	5</w:t>
      </w:r>
    </w:p>
    <w:p>
      <w:pPr>
        <w:tabs>
          <w:tab w:val="right" w:pos="9026" w:leader="dot"/>
        </w:tabs>
        <w:spacing w:after="120"/>
        <w:ind w:left="0"/>
      </w:pPr>
      <w:r>
        <w:rPr>
          <w:color w:val="1F3A5F"/>
        </w:rPr>
        <w:t xml:space="preserve">9. Domaines médicaux prioritaires</w:t>
      </w:r>
      <w:r>
        <w:t xml:space="preserve">	6</w:t>
      </w:r>
    </w:p>
    <w:p>
      <w:pPr>
        <w:tabs>
          <w:tab w:val="right" w:pos="9026" w:leader="dot"/>
        </w:tabs>
        <w:spacing w:after="120"/>
        <w:ind w:left="0"/>
      </w:pPr>
      <w:r>
        <w:rPr>
          <w:color w:val="1F3A5F"/>
        </w:rPr>
        <w:t xml:space="preserve">10. Modèle opérationnel</w:t>
      </w:r>
      <w:r>
        <w:t xml:space="preserve">	6</w:t>
      </w:r>
    </w:p>
    <w:p>
      <w:pPr>
        <w:tabs>
          <w:tab w:val="right" w:pos="9026" w:leader="dot"/>
        </w:tabs>
        <w:spacing w:after="120"/>
        <w:ind w:left="0"/>
      </w:pPr>
      <w:r>
        <w:rPr>
          <w:color w:val="1F3A5F"/>
        </w:rPr>
        <w:t xml:space="preserve">11. Principe fondamental : complémentarité médicale</w:t>
      </w:r>
      <w:r>
        <w:t xml:space="preserve">	8</w:t>
      </w:r>
    </w:p>
    <w:p>
      <w:pPr>
        <w:tabs>
          <w:tab w:val="right" w:pos="9026" w:leader="dot"/>
        </w:tabs>
        <w:spacing w:after="120"/>
        <w:ind w:left="0"/>
      </w:pPr>
      <w:r>
        <w:rPr>
          <w:color w:val="1F3A5F"/>
        </w:rPr>
        <w:t xml:space="preserve">12. Composante technologique</w:t>
      </w:r>
      <w:r>
        <w:t xml:space="preserve">	8</w:t>
      </w:r>
    </w:p>
    <w:p>
      <w:pPr>
        <w:tabs>
          <w:tab w:val="right" w:pos="9026" w:leader="dot"/>
        </w:tabs>
        <w:spacing w:after="120"/>
        <w:ind w:left="0"/>
      </w:pPr>
      <w:r>
        <w:rPr>
          <w:color w:val="1F3A5F"/>
        </w:rPr>
        <w:t xml:space="preserve">13. Partenariats internationaux</w:t>
      </w:r>
      <w:r>
        <w:t xml:space="preserve">	9</w:t>
      </w:r>
    </w:p>
    <w:p>
      <w:pPr>
        <w:tabs>
          <w:tab w:val="right" w:pos="9026" w:leader="dot"/>
        </w:tabs>
        <w:spacing w:after="120"/>
        <w:ind w:left="0"/>
      </w:pPr>
      <w:r>
        <w:rPr>
          <w:color w:val="1F3A5F"/>
        </w:rPr>
        <w:t xml:space="preserve">14. Modèle économique</w:t>
      </w:r>
      <w:r>
        <w:t xml:space="preserve">	9</w:t>
      </w:r>
    </w:p>
    <w:p>
      <w:pPr>
        <w:tabs>
          <w:tab w:val="right" w:pos="9026" w:leader="dot"/>
        </w:tabs>
        <w:spacing w:after="120"/>
        <w:ind w:left="0"/>
      </w:pPr>
      <w:r>
        <w:rPr>
          <w:color w:val="1F3A5F"/>
        </w:rPr>
        <w:t xml:space="preserve">15. Dimension sociale du projet</w:t>
      </w:r>
      <w:r>
        <w:t xml:space="preserve">	10</w:t>
      </w:r>
    </w:p>
    <w:p>
      <w:pPr>
        <w:tabs>
          <w:tab w:val="right" w:pos="9026" w:leader="dot"/>
        </w:tabs>
        <w:spacing w:after="120"/>
        <w:ind w:left="0"/>
      </w:pPr>
      <w:r>
        <w:rPr>
          <w:color w:val="1F3A5F"/>
        </w:rPr>
        <w:t xml:space="preserve">16. Impact attendu</w:t>
      </w:r>
      <w:r>
        <w:t xml:space="preserve">	10</w:t>
      </w:r>
    </w:p>
    <w:p>
      <w:pPr>
        <w:tabs>
          <w:tab w:val="right" w:pos="9026" w:leader="dot"/>
        </w:tabs>
        <w:spacing w:after="120"/>
        <w:ind w:left="0"/>
      </w:pPr>
      <w:r>
        <w:rPr>
          <w:color w:val="1F3A5F"/>
        </w:rPr>
        <w:t xml:space="preserve">17. Indicateurs de performance</w:t>
      </w:r>
      <w:r>
        <w:t xml:space="preserve">	11</w:t>
      </w:r>
    </w:p>
    <w:p>
      <w:pPr>
        <w:tabs>
          <w:tab w:val="right" w:pos="9026" w:leader="dot"/>
        </w:tabs>
        <w:spacing w:after="120"/>
        <w:ind w:left="0"/>
      </w:pPr>
      <w:r>
        <w:rPr>
          <w:color w:val="1F3A5F"/>
        </w:rPr>
        <w:t xml:space="preserve">18. Gouvernance du programme</w:t>
      </w:r>
      <w:r>
        <w:t xml:space="preserve">	11</w:t>
      </w:r>
    </w:p>
    <w:p>
      <w:pPr>
        <w:tabs>
          <w:tab w:val="right" w:pos="9026" w:leader="dot"/>
        </w:tabs>
        <w:spacing w:after="120"/>
        <w:ind w:left="0"/>
      </w:pPr>
      <w:r>
        <w:rPr>
          <w:color w:val="1F3A5F"/>
        </w:rPr>
        <w:t xml:space="preserve">19. Gestion des risques</w:t>
      </w:r>
      <w:r>
        <w:t xml:space="preserve">	12</w:t>
      </w:r>
    </w:p>
    <w:p>
      <w:pPr>
        <w:tabs>
          <w:tab w:val="right" w:pos="9026" w:leader="dot"/>
        </w:tabs>
        <w:spacing w:after="120"/>
        <w:ind w:left="0"/>
      </w:pPr>
      <w:r>
        <w:rPr>
          <w:color w:val="1F3A5F"/>
        </w:rPr>
        <w:t xml:space="preserve">20. Phases de mise en œuvre</w:t>
      </w:r>
      <w:r>
        <w:t xml:space="preserve">	12</w:t>
      </w:r>
    </w:p>
    <w:p>
      <w:pPr>
        <w:tabs>
          <w:tab w:val="right" w:pos="9026" w:leader="dot"/>
        </w:tabs>
        <w:spacing w:after="120"/>
        <w:ind w:left="0"/>
      </w:pPr>
      <w:r>
        <w:rPr>
          <w:color w:val="1F3A5F"/>
        </w:rPr>
        <w:t xml:space="preserve">21. Besoins de financement</w:t>
      </w:r>
      <w:r>
        <w:t xml:space="preserve">	13</w:t>
      </w:r>
    </w:p>
    <w:p>
      <w:pPr>
        <w:tabs>
          <w:tab w:val="right" w:pos="9026" w:leader="dot"/>
        </w:tabs>
        <w:spacing w:after="120"/>
        <w:ind w:left="0"/>
      </w:pPr>
      <w:r>
        <w:rPr>
          <w:color w:val="1F3A5F"/>
        </w:rPr>
        <w:t xml:space="preserve">22. Partenaires techniques et financiers potentiels</w:t>
      </w:r>
      <w:r>
        <w:t xml:space="preserve">	13</w:t>
      </w:r>
    </w:p>
    <w:p>
      <w:pPr>
        <w:tabs>
          <w:tab w:val="right" w:pos="9026" w:leader="dot"/>
        </w:tabs>
        <w:spacing w:after="120"/>
        <w:ind w:left="0"/>
      </w:pPr>
      <w:r>
        <w:rPr>
          <w:color w:val="1F3A5F"/>
        </w:rPr>
        <w:t xml:space="preserve">23. Valeur ajoutée du projet</w:t>
      </w:r>
      <w:r>
        <w:t xml:space="preserve">	14</w:t>
      </w:r>
    </w:p>
    <w:p>
      <w:pPr>
        <w:tabs>
          <w:tab w:val="right" w:pos="9026" w:leader="dot"/>
        </w:tabs>
        <w:spacing w:after="120"/>
        <w:ind w:left="0"/>
      </w:pPr>
      <w:r>
        <w:rPr>
          <w:color w:val="1F3A5F"/>
        </w:rPr>
        <w:t xml:space="preserve">24. Résultat ultime recherché</w:t>
      </w:r>
      <w:r>
        <w:t xml:space="preserve">	15</w:t>
      </w:r>
    </w:p>
    <w:p>
      <w:pPr>
        <w:tabs>
          <w:tab w:val="right" w:pos="9026" w:leader="dot"/>
        </w:tabs>
        <w:spacing w:after="120"/>
        <w:ind w:left="0"/>
      </w:pPr>
      <w:r>
        <w:rPr>
          <w:color w:val="1F3A5F"/>
        </w:rPr>
        <w:t xml:space="preserve">25. Conclusion</w:t>
      </w:r>
      <w:r>
        <w:t xml:space="preserve">	15</w:t>
      </w:r>
    </w:p>
    <w:p>
      <w:r>
        <w:br w:type="page"/>
      </w:r>
    </w:p>
    <w:p>
      <w:pPr>
        <w:pStyle w:val="Heading1"/>
        <w:spacing w:after="200" w:before="480"/>
      </w:pPr>
      <w:r>
        <w:t xml:space="preserve">1. Contexte</w:t>
      </w:r>
    </w:p>
    <w:p>
      <w:pPr>
        <w:spacing w:after="160" w:line="276"/>
        <w:jc w:val="both"/>
      </w:pPr>
      <w:r>
        <w:t xml:space="preserve">L'accès à des soins de santé de qualité constitue l'un des principaux enjeux du développement humain en Afrique.</w:t>
      </w:r>
    </w:p>
    <w:p>
      <w:pPr>
        <w:spacing w:after="160" w:line="276"/>
        <w:jc w:val="both"/>
      </w:pPr>
      <w:r>
        <w:t xml:space="preserve">Au Cameroun comme dans de nombreux pays africains, les patients peuvent être confrontés à plusieurs difficultés lorsqu'ils doivent faire face à une situation médicale complexe : disponibilité limitée de certaines spécialités médicales, accès insuffisant à certaines technologies diagnostiques, délais d'obtention d'examens spécialisés, difficultés d'interprétation de certains résultats et possibilités limitées d'accès à une expertise médicale internationale.</w:t>
      </w:r>
    </w:p>
    <w:p>
      <w:pPr>
        <w:spacing w:after="160" w:line="276"/>
        <w:jc w:val="both"/>
      </w:pPr>
      <w:r>
        <w:t xml:space="preserve">Dans certaines situations, le patient et sa famille souhaitent obtenir un deuxième avis médical avant de prendre une décision thérapeutique importante, notamment lorsqu'il s'agit :</w:t>
      </w:r>
    </w:p>
    <w:p>
      <w:pPr>
        <w:pStyle w:val="ListParagraph"/>
        <w:numPr>
          <w:ilvl w:val="0"/>
          <w:numId w:val="1"/>
        </w:numPr>
        <w:spacing w:after="100"/>
      </w:pPr>
      <w:r>
        <w:t xml:space="preserve">d'une intervention chirurgicale majeure ;</w:t>
      </w:r>
    </w:p>
    <w:p>
      <w:pPr>
        <w:pStyle w:val="ListParagraph"/>
        <w:numPr>
          <w:ilvl w:val="0"/>
          <w:numId w:val="1"/>
        </w:numPr>
        <w:spacing w:after="100"/>
      </w:pPr>
      <w:r>
        <w:t xml:space="preserve">d'une pathologie grave ou complexe ;</w:t>
      </w:r>
    </w:p>
    <w:p>
      <w:pPr>
        <w:pStyle w:val="ListParagraph"/>
        <w:numPr>
          <w:ilvl w:val="0"/>
          <w:numId w:val="1"/>
        </w:numPr>
        <w:spacing w:after="100"/>
      </w:pPr>
      <w:r>
        <w:t xml:space="preserve">d'un diagnostic présentant une incertitude ;</w:t>
      </w:r>
    </w:p>
    <w:p>
      <w:pPr>
        <w:pStyle w:val="ListParagraph"/>
        <w:numPr>
          <w:ilvl w:val="0"/>
          <w:numId w:val="1"/>
        </w:numPr>
        <w:spacing w:after="100"/>
      </w:pPr>
      <w:r>
        <w:t xml:space="preserve">d'une maladie rare ;</w:t>
      </w:r>
    </w:p>
    <w:p>
      <w:pPr>
        <w:pStyle w:val="ListParagraph"/>
        <w:numPr>
          <w:ilvl w:val="0"/>
          <w:numId w:val="1"/>
        </w:numPr>
        <w:spacing w:after="100"/>
      </w:pPr>
      <w:r>
        <w:t xml:space="preserve">d'un cancer ou d'une suspicion de cancer ;</w:t>
      </w:r>
    </w:p>
    <w:p>
      <w:pPr>
        <w:pStyle w:val="ListParagraph"/>
        <w:numPr>
          <w:ilvl w:val="0"/>
          <w:numId w:val="1"/>
        </w:numPr>
        <w:spacing w:after="100"/>
      </w:pPr>
      <w:r>
        <w:t xml:space="preserve">d'une maladie neurologique ou cardiovasculaire complexe ;</w:t>
      </w:r>
    </w:p>
    <w:p>
      <w:pPr>
        <w:pStyle w:val="ListParagraph"/>
        <w:numPr>
          <w:ilvl w:val="0"/>
          <w:numId w:val="1"/>
        </w:numPr>
        <w:spacing w:after="100"/>
      </w:pPr>
      <w:r>
        <w:t xml:space="preserve">d'une situation nécessitant une expertise spécialisée indisponible localement ;</w:t>
      </w:r>
    </w:p>
    <w:p>
      <w:pPr>
        <w:pStyle w:val="ListParagraph"/>
        <w:numPr>
          <w:ilvl w:val="0"/>
          <w:numId w:val="1"/>
        </w:numPr>
        <w:spacing w:after="100"/>
      </w:pPr>
      <w:r>
        <w:t xml:space="preserve">d'un traitement lourd ou présentant des conséquences importantes pour le patient.</w:t>
      </w:r>
    </w:p>
    <w:p>
      <w:pPr>
        <w:spacing w:after="160" w:line="276"/>
        <w:jc w:val="both"/>
      </w:pPr>
      <w:r>
        <w:t xml:space="preserve">Aujourd'hui, les patients disposant de moyens financiers suffisants peuvent parfois se déplacer en Europe, en Amérique du Nord, au Moyen-Orient ou dans d'autres pays afin d'obtenir une expertise complémentaire.</w:t>
      </w:r>
    </w:p>
    <w:p>
      <w:pPr>
        <w:spacing w:after="160" w:line="276"/>
        <w:jc w:val="both"/>
      </w:pPr>
      <w:r>
        <w:t xml:space="preserve">Cependant, cette démarche est généralement coûteuse, complexe et difficilement accessible à la majorité de la population.</w:t>
      </w:r>
    </w:p>
    <w:p>
      <w:pPr>
        <w:spacing w:after="160" w:line="276"/>
        <w:jc w:val="both"/>
      </w:pPr>
      <w:r>
        <w:t xml:space="preserve">Le développement des technologies numériques offre désormais la possibilité de rapprocher les patients africains de centres d'expertise internationaux sans nécessiter systématiquement leur déplacement physique.</w:t>
      </w:r>
    </w:p>
    <w:p>
      <w:pPr>
        <w:spacing w:after="160" w:line="276"/>
        <w:jc w:val="both"/>
      </w:pPr>
      <w:r>
        <w:t xml:space="preserve">Le projet propose donc de mettre en place au Cameroun une plateforme et un réseau permettant à un patient, après sa consultation et son évaluation médicale initiales, de solliciter, lorsque cela est médicalement pertinent, un deuxième avis auprès d'un médecin spécialiste ou d'un établissement médical partenaire situé en Europe ou dans un autre centre international de référence.</w:t>
      </w:r>
    </w:p>
    <w:p>
      <w:pPr>
        <w:pStyle w:val="Heading1"/>
        <w:spacing w:after="200" w:before="480"/>
      </w:pPr>
      <w:r>
        <w:t xml:space="preserve">2. Problématique</w:t>
      </w:r>
    </w:p>
    <w:p>
      <w:pPr>
        <w:spacing w:after="160" w:line="276"/>
        <w:jc w:val="both"/>
      </w:pPr>
      <w:r>
        <w:t xml:space="preserve">La problématique à laquelle le projet souhaite répondre peut être résumée ainsi :</w:t>
      </w:r>
    </w:p>
    <w:p>
      <w:pPr>
        <w:pBdr>
          <w:left w:val="single" w:color="B08D57" w:sz="18" w:space="12"/>
        </w:pBdr>
        <w:spacing w:after="200" w:before="120" w:line="276"/>
        <w:ind w:left="720" w:right="720"/>
        <w:jc w:val="both"/>
      </w:pPr>
      <w:r>
        <w:rPr>
          <w:i/>
          <w:iCs/>
          <w:color w:val="1F3A5F"/>
        </w:rPr>
        <w:t xml:space="preserve">« Comment permettre aux patients africains confrontés à des situations médicales complexes d'accéder rapidement, de manière sécurisée, abordable et encadrée, à une expertise médicale spécialisée internationale afin de réduire l'incertitude diagnostique et d'améliorer la pertinence des décisions thérapeutiques ? »</w:t>
      </w:r>
    </w:p>
    <w:p>
      <w:pPr>
        <w:spacing w:after="160" w:line="276"/>
        <w:jc w:val="both"/>
      </w:pPr>
      <w:r>
        <w:t xml:space="preserve">Le problème n'est pas nécessairement l'absence de compétence médicale locale.</w:t>
      </w:r>
    </w:p>
    <w:p>
      <w:pPr>
        <w:spacing w:after="160" w:line="276"/>
        <w:jc w:val="both"/>
      </w:pPr>
      <w:r>
        <w:t xml:space="preserve">Il résulte plutôt d'un ensemble de facteurs pouvant affecter la qualité de la prise en charge :</w:t>
      </w:r>
    </w:p>
    <w:p>
      <w:pPr>
        <w:pStyle w:val="ListParagraph"/>
        <w:numPr>
          <w:ilvl w:val="0"/>
          <w:numId w:val="1"/>
        </w:numPr>
        <w:spacing w:after="100"/>
      </w:pPr>
      <w:r>
        <w:t xml:space="preserve">disponibilité inégale des spécialistes ;</w:t>
      </w:r>
    </w:p>
    <w:p>
      <w:pPr>
        <w:pStyle w:val="ListParagraph"/>
        <w:numPr>
          <w:ilvl w:val="0"/>
          <w:numId w:val="1"/>
        </w:numPr>
        <w:spacing w:after="100"/>
      </w:pPr>
      <w:r>
        <w:t xml:space="preserve">accès limité à certaines technologies médicales ;</w:t>
      </w:r>
    </w:p>
    <w:p>
      <w:pPr>
        <w:pStyle w:val="ListParagraph"/>
        <w:numPr>
          <w:ilvl w:val="0"/>
          <w:numId w:val="1"/>
        </w:numPr>
        <w:spacing w:after="100"/>
      </w:pPr>
      <w:r>
        <w:t xml:space="preserve">insuffisance ou concentration géographique de certaines infrastructures spécialisées ;</w:t>
      </w:r>
    </w:p>
    <w:p>
      <w:pPr>
        <w:pStyle w:val="ListParagraph"/>
        <w:numPr>
          <w:ilvl w:val="0"/>
          <w:numId w:val="1"/>
        </w:numPr>
        <w:spacing w:after="100"/>
      </w:pPr>
      <w:r>
        <w:t xml:space="preserve">difficultés d'accès à certaines expertises rares ;</w:t>
      </w:r>
    </w:p>
    <w:p>
      <w:pPr>
        <w:pStyle w:val="ListParagraph"/>
        <w:numPr>
          <w:ilvl w:val="0"/>
          <w:numId w:val="1"/>
        </w:numPr>
        <w:spacing w:after="100"/>
      </w:pPr>
      <w:r>
        <w:t xml:space="preserve">nécessité d'une interprétation complémentaire dans des situations complexes ;</w:t>
      </w:r>
    </w:p>
    <w:p>
      <w:pPr>
        <w:pStyle w:val="ListParagraph"/>
        <w:numPr>
          <w:ilvl w:val="0"/>
          <w:numId w:val="1"/>
        </w:numPr>
        <w:spacing w:after="100"/>
      </w:pPr>
      <w:r>
        <w:t xml:space="preserve">coût élevé des déplacements médicaux internationaux ;</w:t>
      </w:r>
    </w:p>
    <w:p>
      <w:pPr>
        <w:pStyle w:val="ListParagraph"/>
        <w:numPr>
          <w:ilvl w:val="0"/>
          <w:numId w:val="1"/>
        </w:numPr>
        <w:spacing w:after="100"/>
      </w:pPr>
      <w:r>
        <w:t xml:space="preserve">absence de mécanisme structuré permettant de solliciter facilement une expertise étrangère ;</w:t>
      </w:r>
    </w:p>
    <w:p>
      <w:pPr>
        <w:pStyle w:val="ListParagraph"/>
        <w:numPr>
          <w:ilvl w:val="0"/>
          <w:numId w:val="1"/>
        </w:numPr>
        <w:spacing w:after="100"/>
      </w:pPr>
      <w:r>
        <w:t xml:space="preserve">manque de coordination entre médecins, patients, laboratoires, établissements hospitaliers et spécialistes internationaux.</w:t>
      </w:r>
    </w:p>
    <w:p>
      <w:pPr>
        <w:spacing w:after="160" w:line="276"/>
        <w:jc w:val="both"/>
      </w:pPr>
      <w:r>
        <w:t xml:space="preserve">Le projet entend ainsi créer un pont médical organisé entre l'Afrique et les centres d'expertise internationaux.</w:t>
      </w:r>
    </w:p>
    <w:p>
      <w:pPr>
        <w:pStyle w:val="Heading1"/>
        <w:spacing w:after="200" w:before="480"/>
      </w:pPr>
      <w:r>
        <w:t xml:space="preserve">3. Justification du projet</w:t>
      </w:r>
    </w:p>
    <w:p>
      <w:pPr>
        <w:spacing w:after="160" w:line="276"/>
        <w:jc w:val="both"/>
      </w:pPr>
      <w:r>
        <w:t xml:space="preserve">Le deuxième avis médical constitue un outil important de sécurisation de certaines décisions médicales.</w:t>
      </w:r>
    </w:p>
    <w:p>
      <w:pPr>
        <w:spacing w:after="160" w:line="276"/>
        <w:jc w:val="both"/>
      </w:pPr>
      <w:r>
        <w:t xml:space="preserve">Dans les situations complexes, obtenir l'avis complémentaire d'un autre spécialiste peut permettre :</w:t>
      </w:r>
    </w:p>
    <w:p>
      <w:pPr>
        <w:pStyle w:val="ListParagraph"/>
        <w:numPr>
          <w:ilvl w:val="0"/>
          <w:numId w:val="1"/>
        </w:numPr>
        <w:spacing w:after="100"/>
      </w:pPr>
      <w:r>
        <w:t xml:space="preserve">de confirmer ou de remettre en question une hypothèse diagnostique ;</w:t>
      </w:r>
    </w:p>
    <w:p>
      <w:pPr>
        <w:pStyle w:val="ListParagraph"/>
        <w:numPr>
          <w:ilvl w:val="0"/>
          <w:numId w:val="1"/>
        </w:numPr>
        <w:spacing w:after="100"/>
      </w:pPr>
      <w:r>
        <w:t xml:space="preserve">d'identifier des examens complémentaires pertinents ;</w:t>
      </w:r>
    </w:p>
    <w:p>
      <w:pPr>
        <w:pStyle w:val="ListParagraph"/>
        <w:numPr>
          <w:ilvl w:val="0"/>
          <w:numId w:val="1"/>
        </w:numPr>
        <w:spacing w:after="100"/>
      </w:pPr>
      <w:r>
        <w:t xml:space="preserve">de comparer plusieurs options thérapeutiques ;</w:t>
      </w:r>
    </w:p>
    <w:p>
      <w:pPr>
        <w:pStyle w:val="ListParagraph"/>
        <w:numPr>
          <w:ilvl w:val="0"/>
          <w:numId w:val="1"/>
        </w:numPr>
        <w:spacing w:after="100"/>
      </w:pPr>
      <w:r>
        <w:t xml:space="preserve">de mieux apprécier les bénéfices et les risques d'une intervention ;</w:t>
      </w:r>
    </w:p>
    <w:p>
      <w:pPr>
        <w:pStyle w:val="ListParagraph"/>
        <w:numPr>
          <w:ilvl w:val="0"/>
          <w:numId w:val="1"/>
        </w:numPr>
        <w:spacing w:after="100"/>
      </w:pPr>
      <w:r>
        <w:t xml:space="preserve">d'éviter certaines interventions ou traitements qui pourraient être inappropriés ;</w:t>
      </w:r>
    </w:p>
    <w:p>
      <w:pPr>
        <w:pStyle w:val="ListParagraph"/>
        <w:numPr>
          <w:ilvl w:val="0"/>
          <w:numId w:val="1"/>
        </w:numPr>
        <w:spacing w:after="100"/>
      </w:pPr>
      <w:r>
        <w:t xml:space="preserve">d'améliorer l'information du patient ;</w:t>
      </w:r>
    </w:p>
    <w:p>
      <w:pPr>
        <w:pStyle w:val="ListParagraph"/>
        <w:numPr>
          <w:ilvl w:val="0"/>
          <w:numId w:val="1"/>
        </w:numPr>
        <w:spacing w:after="100"/>
      </w:pPr>
      <w:r>
        <w:t xml:space="preserve">de renforcer la confiance du patient dans son parcours de soins.</w:t>
      </w:r>
    </w:p>
    <w:p>
      <w:pPr>
        <w:spacing w:after="160" w:line="276"/>
        <w:jc w:val="both"/>
      </w:pPr>
      <w:r>
        <w:t xml:space="preserve">Le projet répond également à un enjeu d'équité d'accès à l'expertise médicale internationale.</w:t>
      </w:r>
    </w:p>
    <w:p>
      <w:pPr>
        <w:spacing w:after="160" w:line="276"/>
        <w:jc w:val="both"/>
      </w:pPr>
      <w:r>
        <w:t xml:space="preserve">Aujourd'hui, l'accès à une expertise européenne est souvent lié à la capacité financière du patient à voyager.</w:t>
      </w:r>
    </w:p>
    <w:p>
      <w:pPr>
        <w:spacing w:after="160" w:line="276"/>
        <w:jc w:val="both"/>
      </w:pPr>
      <w:r>
        <w:t xml:space="preserve">Le programme propose de transformer cette situation en permettant au patient d'accéder à cette expertise à distance, à travers un dispositif professionnel, sécurisé et réglementé.</w:t>
      </w:r>
    </w:p>
    <w:p>
      <w:pPr>
        <w:pStyle w:val="Heading1"/>
        <w:spacing w:after="200" w:before="480"/>
      </w:pPr>
      <w:r>
        <w:t xml:space="preserve">4. Vision</w:t>
      </w:r>
    </w:p>
    <w:p>
      <w:pPr>
        <w:spacing w:after="160" w:line="276"/>
        <w:jc w:val="both"/>
      </w:pPr>
      <w:r>
        <w:t xml:space="preserve">La vision du programme est de devenir une plateforme africaine de référence permettant aux patients d'accéder à une expertise médicale spécialisée internationale fiable, indépendante et accessible, tout en renforçant la collaboration entre les systèmes de santé africains et les centres médicaux internationaux.</w:t>
      </w:r>
    </w:p>
    <w:p>
      <w:pPr>
        <w:pStyle w:val="Heading1"/>
        <w:spacing w:after="200" w:before="480"/>
      </w:pPr>
      <w:r>
        <w:t xml:space="preserve">5. Mission</w:t>
      </w:r>
    </w:p>
    <w:p>
      <w:pPr>
        <w:spacing w:after="160" w:line="276"/>
        <w:jc w:val="both"/>
      </w:pPr>
      <w:r>
        <w:t xml:space="preserve">La mission du programme consiste à :</w:t>
      </w:r>
    </w:p>
    <w:p>
      <w:pPr>
        <w:pBdr>
          <w:left w:val="single" w:color="B08D57" w:sz="18" w:space="12"/>
        </w:pBdr>
        <w:spacing w:after="200" w:before="120" w:line="276"/>
        <w:ind w:left="720" w:right="720"/>
        <w:jc w:val="both"/>
      </w:pPr>
      <w:r>
        <w:rPr>
          <w:i/>
          <w:iCs/>
          <w:color w:val="1F3A5F"/>
        </w:rPr>
        <w:t xml:space="preserve">« Faciliter l'accès des patients africains à un deuxième avis médical spécialisé auprès de médecins et d'établissements de référence internationaux, grâce à un dispositif de télé-expertise sécurisé, professionnel et accessible financièrement. »</w:t>
      </w:r>
    </w:p>
    <w:p>
      <w:pPr>
        <w:pStyle w:val="Heading1"/>
        <w:spacing w:after="200" w:before="480"/>
      </w:pPr>
      <w:r>
        <w:t xml:space="preserve">6. Objectif général</w:t>
      </w:r>
    </w:p>
    <w:p>
      <w:pPr>
        <w:spacing w:after="160" w:line="276"/>
        <w:jc w:val="both"/>
      </w:pPr>
      <w:r>
        <w:t xml:space="preserve">L'objectif général est de contribuer à l'amélioration de la qualité, de la sécurité et de la pertinence des décisions médicales en Afrique grâce à l'accès à une expertise médicale spécialisée internationale.</w:t>
      </w:r>
    </w:p>
    <w:p>
      <w:pPr>
        <w:pStyle w:val="Heading1"/>
        <w:spacing w:after="200" w:before="480"/>
      </w:pPr>
      <w:r>
        <w:t xml:space="preserve">7. Objectifs spécifiques</w:t>
      </w:r>
    </w:p>
    <w:p>
      <w:pPr>
        <w:spacing w:after="160" w:line="276"/>
        <w:jc w:val="both"/>
      </w:pPr>
      <w:r>
        <w:t xml:space="preserve">Le programme poursuivra notamment les objectifs suivants :</w:t>
      </w:r>
    </w:p>
    <w:p>
      <w:pPr>
        <w:spacing w:after="100" w:before="200"/>
      </w:pPr>
      <w:r>
        <w:rPr>
          <w:b/>
          <w:bCs/>
          <w:color w:val="1F3A5F"/>
        </w:rPr>
        <w:t xml:space="preserve">Objectif spécifique 1</w:t>
      </w:r>
    </w:p>
    <w:p>
      <w:pPr>
        <w:spacing w:after="160" w:line="276"/>
        <w:jc w:val="both"/>
      </w:pPr>
      <w:r>
        <w:t xml:space="preserve">Mettre en place une plateforme numérique permettant la transmission sécurisée des dossiers médicaux vers des médecins et établissements partenaires internationaux.</w:t>
      </w:r>
    </w:p>
    <w:p>
      <w:pPr>
        <w:spacing w:after="100" w:before="200"/>
      </w:pPr>
      <w:r>
        <w:rPr>
          <w:b/>
          <w:bCs/>
          <w:color w:val="1F3A5F"/>
        </w:rPr>
        <w:t xml:space="preserve">Objectif spécifique 2</w:t>
      </w:r>
    </w:p>
    <w:p>
      <w:pPr>
        <w:spacing w:after="160" w:line="276"/>
        <w:jc w:val="both"/>
      </w:pPr>
      <w:r>
        <w:t xml:space="preserve">Constituer un réseau de médecins spécialistes et de centres hospitaliers partenaires en Europe et dans d'autres régions médicalement avancées.</w:t>
      </w:r>
    </w:p>
    <w:p>
      <w:pPr>
        <w:spacing w:after="100" w:before="200"/>
      </w:pPr>
      <w:r>
        <w:rPr>
          <w:b/>
          <w:bCs/>
          <w:color w:val="1F3A5F"/>
        </w:rPr>
        <w:t xml:space="preserve">Objectif spécifique 3</w:t>
      </w:r>
    </w:p>
    <w:p>
      <w:pPr>
        <w:spacing w:after="160" w:line="276"/>
        <w:jc w:val="both"/>
      </w:pPr>
      <w:r>
        <w:t xml:space="preserve">Permettre aux patients africains d'obtenir un deuxième avis médical dans des délais raisonnables.</w:t>
      </w:r>
    </w:p>
    <w:p>
      <w:pPr>
        <w:spacing w:after="100" w:before="200"/>
      </w:pPr>
      <w:r>
        <w:rPr>
          <w:b/>
          <w:bCs/>
          <w:color w:val="1F3A5F"/>
        </w:rPr>
        <w:t xml:space="preserve">Objectif spécifique 4</w:t>
      </w:r>
    </w:p>
    <w:p>
      <w:pPr>
        <w:spacing w:after="160" w:line="276"/>
        <w:jc w:val="both"/>
      </w:pPr>
      <w:r>
        <w:t xml:space="preserve">Réduire le recours systématique au déplacement international pour les situations pouvant être traitées par télé-expertise.</w:t>
      </w:r>
    </w:p>
    <w:p>
      <w:pPr>
        <w:spacing w:after="100" w:before="200"/>
      </w:pPr>
      <w:r>
        <w:rPr>
          <w:b/>
          <w:bCs/>
          <w:color w:val="1F3A5F"/>
        </w:rPr>
        <w:t xml:space="preserve">Objectif spécifique 5</w:t>
      </w:r>
    </w:p>
    <w:p>
      <w:pPr>
        <w:spacing w:after="160" w:line="276"/>
        <w:jc w:val="both"/>
      </w:pPr>
      <w:r>
        <w:t xml:space="preserve">Améliorer la qualité de l'information disponible pour les patients avant les décisions thérapeutiques importantes.</w:t>
      </w:r>
    </w:p>
    <w:p>
      <w:pPr>
        <w:spacing w:after="100" w:before="200"/>
      </w:pPr>
      <w:r>
        <w:rPr>
          <w:b/>
          <w:bCs/>
          <w:color w:val="1F3A5F"/>
        </w:rPr>
        <w:t xml:space="preserve">Objectif spécifique 6</w:t>
      </w:r>
    </w:p>
    <w:p>
      <w:pPr>
        <w:spacing w:after="160" w:line="276"/>
        <w:jc w:val="both"/>
      </w:pPr>
      <w:r>
        <w:t xml:space="preserve">Faciliter la collaboration entre médecins africains et spécialistes internationaux.</w:t>
      </w:r>
    </w:p>
    <w:p>
      <w:pPr>
        <w:spacing w:after="100" w:before="200"/>
      </w:pPr>
      <w:r>
        <w:rPr>
          <w:b/>
          <w:bCs/>
          <w:color w:val="1F3A5F"/>
        </w:rPr>
        <w:t xml:space="preserve">Objectif spécifique 7</w:t>
      </w:r>
    </w:p>
    <w:p>
      <w:pPr>
        <w:spacing w:after="160" w:line="276"/>
        <w:jc w:val="both"/>
      </w:pPr>
      <w:r>
        <w:t xml:space="preserve">Développer progressivement un réseau africain de télé-expertise médicale couvrant plusieurs spécialités.</w:t>
      </w:r>
    </w:p>
    <w:p>
      <w:pPr>
        <w:pStyle w:val="Heading1"/>
        <w:spacing w:after="200" w:before="480"/>
      </w:pPr>
      <w:r>
        <w:t xml:space="preserve">8. Principales cibles</w:t>
      </w:r>
    </w:p>
    <w:p>
      <w:pPr>
        <w:spacing w:after="160" w:line="276"/>
        <w:jc w:val="both"/>
      </w:pPr>
      <w:r>
        <w:t xml:space="preserve">Le programme s'adressera principalement :</w:t>
      </w:r>
    </w:p>
    <w:p>
      <w:pPr>
        <w:pStyle w:val="ListParagraph"/>
        <w:numPr>
          <w:ilvl w:val="0"/>
          <w:numId w:val="1"/>
        </w:numPr>
        <w:spacing w:after="100"/>
      </w:pPr>
      <w:r>
        <w:t xml:space="preserve">aux patients nécessitant un deuxième avis ;</w:t>
      </w:r>
    </w:p>
    <w:p>
      <w:pPr>
        <w:pStyle w:val="ListParagraph"/>
        <w:numPr>
          <w:ilvl w:val="0"/>
          <w:numId w:val="1"/>
        </w:numPr>
        <w:spacing w:after="100"/>
      </w:pPr>
      <w:r>
        <w:t xml:space="preserve">aux familles confrontées à des décisions médicales complexes ;</w:t>
      </w:r>
    </w:p>
    <w:p>
      <w:pPr>
        <w:pStyle w:val="ListParagraph"/>
        <w:numPr>
          <w:ilvl w:val="0"/>
          <w:numId w:val="1"/>
        </w:numPr>
        <w:spacing w:after="100"/>
      </w:pPr>
      <w:r>
        <w:t xml:space="preserve">aux médecins généralistes ;</w:t>
      </w:r>
    </w:p>
    <w:p>
      <w:pPr>
        <w:pStyle w:val="ListParagraph"/>
        <w:numPr>
          <w:ilvl w:val="0"/>
          <w:numId w:val="1"/>
        </w:numPr>
        <w:spacing w:after="100"/>
      </w:pPr>
      <w:r>
        <w:t xml:space="preserve">aux médecins spécialistes ;</w:t>
      </w:r>
    </w:p>
    <w:p>
      <w:pPr>
        <w:pStyle w:val="ListParagraph"/>
        <w:numPr>
          <w:ilvl w:val="0"/>
          <w:numId w:val="1"/>
        </w:numPr>
        <w:spacing w:after="100"/>
      </w:pPr>
      <w:r>
        <w:t xml:space="preserve">aux établissements hospitaliers ;</w:t>
      </w:r>
    </w:p>
    <w:p>
      <w:pPr>
        <w:pStyle w:val="ListParagraph"/>
        <w:numPr>
          <w:ilvl w:val="0"/>
          <w:numId w:val="1"/>
        </w:numPr>
        <w:spacing w:after="100"/>
      </w:pPr>
      <w:r>
        <w:t xml:space="preserve">aux cliniques privées ;</w:t>
      </w:r>
    </w:p>
    <w:p>
      <w:pPr>
        <w:pStyle w:val="ListParagraph"/>
        <w:numPr>
          <w:ilvl w:val="0"/>
          <w:numId w:val="1"/>
        </w:numPr>
        <w:spacing w:after="100"/>
      </w:pPr>
      <w:r>
        <w:t xml:space="preserve">aux compagnies d'assurance maladie ;</w:t>
      </w:r>
    </w:p>
    <w:p>
      <w:pPr>
        <w:pStyle w:val="ListParagraph"/>
        <w:numPr>
          <w:ilvl w:val="0"/>
          <w:numId w:val="1"/>
        </w:numPr>
        <w:spacing w:after="100"/>
      </w:pPr>
      <w:r>
        <w:t xml:space="preserve">aux entreprises disposant de programmes de couverture médicale ;</w:t>
      </w:r>
    </w:p>
    <w:p>
      <w:pPr>
        <w:pStyle w:val="ListParagraph"/>
        <w:numPr>
          <w:ilvl w:val="0"/>
          <w:numId w:val="1"/>
        </w:numPr>
        <w:spacing w:after="100"/>
      </w:pPr>
      <w:r>
        <w:t xml:space="preserve">aux organisations internationales ;</w:t>
      </w:r>
    </w:p>
    <w:p>
      <w:pPr>
        <w:pStyle w:val="ListParagraph"/>
        <w:numPr>
          <w:ilvl w:val="0"/>
          <w:numId w:val="1"/>
        </w:numPr>
        <w:spacing w:after="100"/>
      </w:pPr>
      <w:r>
        <w:t xml:space="preserve">aux organismes publics et parapublics de santé.</w:t>
      </w:r>
    </w:p>
    <w:p>
      <w:pPr>
        <w:spacing w:after="160" w:line="276"/>
        <w:jc w:val="both"/>
      </w:pPr>
      <w:r>
        <w:t xml:space="preserve">Une attention particulière pourra être accordée aux patients souffrant de pathologies complexes, rares ou nécessitant une expertise spécialisée.</w:t>
      </w:r>
    </w:p>
    <w:p>
      <w:pPr>
        <w:pStyle w:val="Heading1"/>
        <w:spacing w:after="200" w:before="480"/>
      </w:pPr>
      <w:r>
        <w:t xml:space="preserve">9. Domaines médicaux prioritaires</w:t>
      </w:r>
    </w:p>
    <w:p>
      <w:pPr>
        <w:spacing w:after="160" w:line="276"/>
        <w:jc w:val="both"/>
      </w:pPr>
      <w:r>
        <w:t xml:space="preserve">Dans une première phase, le programme pourrait cibler un nombre limité de spécialités présentant une forte demande et une forte valeur ajoutée de l'expertise internationale :</w:t>
      </w:r>
    </w:p>
    <w:p>
      <w:pPr>
        <w:pStyle w:val="ListParagraph"/>
        <w:numPr>
          <w:ilvl w:val="0"/>
          <w:numId w:val="1"/>
        </w:numPr>
        <w:spacing w:after="100"/>
      </w:pPr>
      <w:r>
        <w:t xml:space="preserve">oncologie ;</w:t>
      </w:r>
    </w:p>
    <w:p>
      <w:pPr>
        <w:pStyle w:val="ListParagraph"/>
        <w:numPr>
          <w:ilvl w:val="0"/>
          <w:numId w:val="1"/>
        </w:numPr>
        <w:spacing w:after="100"/>
      </w:pPr>
      <w:r>
        <w:t xml:space="preserve">cardiologie et chirurgie cardiovasculaire ;</w:t>
      </w:r>
    </w:p>
    <w:p>
      <w:pPr>
        <w:pStyle w:val="ListParagraph"/>
        <w:numPr>
          <w:ilvl w:val="0"/>
          <w:numId w:val="1"/>
        </w:numPr>
        <w:spacing w:after="100"/>
      </w:pPr>
      <w:r>
        <w:t xml:space="preserve">neurologie et neurochirurgie ;</w:t>
      </w:r>
    </w:p>
    <w:p>
      <w:pPr>
        <w:pStyle w:val="ListParagraph"/>
        <w:numPr>
          <w:ilvl w:val="0"/>
          <w:numId w:val="1"/>
        </w:numPr>
        <w:spacing w:after="100"/>
      </w:pPr>
      <w:r>
        <w:t xml:space="preserve">orthopédie et traumatologie ;</w:t>
      </w:r>
    </w:p>
    <w:p>
      <w:pPr>
        <w:pStyle w:val="ListParagraph"/>
        <w:numPr>
          <w:ilvl w:val="0"/>
          <w:numId w:val="1"/>
        </w:numPr>
        <w:spacing w:after="100"/>
      </w:pPr>
      <w:r>
        <w:t xml:space="preserve">pédiatrie spécialisée ;</w:t>
      </w:r>
    </w:p>
    <w:p>
      <w:pPr>
        <w:pStyle w:val="ListParagraph"/>
        <w:numPr>
          <w:ilvl w:val="0"/>
          <w:numId w:val="1"/>
        </w:numPr>
        <w:spacing w:after="100"/>
      </w:pPr>
      <w:r>
        <w:t xml:space="preserve">gynécologie-obstétrique spécialisée ;</w:t>
      </w:r>
    </w:p>
    <w:p>
      <w:pPr>
        <w:pStyle w:val="ListParagraph"/>
        <w:numPr>
          <w:ilvl w:val="0"/>
          <w:numId w:val="1"/>
        </w:numPr>
        <w:spacing w:after="100"/>
      </w:pPr>
      <w:r>
        <w:t xml:space="preserve">néphrologie ;</w:t>
      </w:r>
    </w:p>
    <w:p>
      <w:pPr>
        <w:pStyle w:val="ListParagraph"/>
        <w:numPr>
          <w:ilvl w:val="0"/>
          <w:numId w:val="1"/>
        </w:numPr>
        <w:spacing w:after="100"/>
      </w:pPr>
      <w:r>
        <w:t xml:space="preserve">maladies infectieuses complexes ;</w:t>
      </w:r>
    </w:p>
    <w:p>
      <w:pPr>
        <w:pStyle w:val="ListParagraph"/>
        <w:numPr>
          <w:ilvl w:val="0"/>
          <w:numId w:val="1"/>
        </w:numPr>
        <w:spacing w:after="100"/>
      </w:pPr>
      <w:r>
        <w:t xml:space="preserve">gastro-entérologie ;</w:t>
      </w:r>
    </w:p>
    <w:p>
      <w:pPr>
        <w:pStyle w:val="ListParagraph"/>
        <w:numPr>
          <w:ilvl w:val="0"/>
          <w:numId w:val="1"/>
        </w:numPr>
        <w:spacing w:after="100"/>
      </w:pPr>
      <w:r>
        <w:t xml:space="preserve">pneumologie ;</w:t>
      </w:r>
    </w:p>
    <w:p>
      <w:pPr>
        <w:pStyle w:val="ListParagraph"/>
        <w:numPr>
          <w:ilvl w:val="0"/>
          <w:numId w:val="1"/>
        </w:numPr>
        <w:spacing w:after="100"/>
      </w:pPr>
      <w:r>
        <w:t xml:space="preserve">radiologie spécialisée ;</w:t>
      </w:r>
    </w:p>
    <w:p>
      <w:pPr>
        <w:pStyle w:val="ListParagraph"/>
        <w:numPr>
          <w:ilvl w:val="0"/>
          <w:numId w:val="1"/>
        </w:numPr>
        <w:spacing w:after="100"/>
      </w:pPr>
      <w:r>
        <w:t xml:space="preserve">anatomopathologie ;</w:t>
      </w:r>
    </w:p>
    <w:p>
      <w:pPr>
        <w:pStyle w:val="ListParagraph"/>
        <w:numPr>
          <w:ilvl w:val="0"/>
          <w:numId w:val="1"/>
        </w:numPr>
        <w:spacing w:after="100"/>
      </w:pPr>
      <w:r>
        <w:t xml:space="preserve">maladies rares.</w:t>
      </w:r>
    </w:p>
    <w:p>
      <w:pPr>
        <w:spacing w:after="160" w:line="276"/>
        <w:jc w:val="both"/>
      </w:pPr>
      <w:r>
        <w:t xml:space="preserve">La sélection définitive devra être réalisée sur la base d'une étude de marché et d'une analyse de la demande médicale.</w:t>
      </w:r>
    </w:p>
    <w:p>
      <w:pPr>
        <w:pStyle w:val="Heading1"/>
        <w:spacing w:after="200" w:before="480"/>
      </w:pPr>
      <w:r>
        <w:t xml:space="preserve">10. Modèle opérationnel</w:t>
      </w:r>
    </w:p>
    <w:p>
      <w:pPr>
        <w:spacing w:after="160" w:line="276"/>
        <w:jc w:val="both"/>
      </w:pPr>
      <w:r>
        <w:t xml:space="preserve">Le parcours du patient pourrait être organisé selon le schéma suivant :</w:t>
      </w:r>
    </w:p>
    <w:p>
      <w:pPr>
        <w:pStyle w:val="Heading2"/>
        <w:spacing w:after="140" w:before="280"/>
      </w:pPr>
      <w:r>
        <w:t xml:space="preserve">Étape 1 – Consultation initiale</w:t>
      </w:r>
    </w:p>
    <w:p>
      <w:pPr>
        <w:spacing w:after="160" w:line="276"/>
        <w:jc w:val="both"/>
      </w:pPr>
      <w:r>
        <w:t xml:space="preserve">Le patient consulte un médecin ou un établissement de santé au Cameroun.</w:t>
      </w:r>
    </w:p>
    <w:p>
      <w:pPr>
        <w:pStyle w:val="Heading2"/>
        <w:spacing w:after="140" w:before="280"/>
      </w:pPr>
      <w:r>
        <w:t xml:space="preserve">Étape 2 – Identification du besoin de deuxième avis</w:t>
      </w:r>
    </w:p>
    <w:p>
      <w:pPr>
        <w:spacing w:after="160" w:line="276"/>
        <w:jc w:val="both"/>
      </w:pPr>
      <w:r>
        <w:t xml:space="preserve">Le médecin, le patient ou la famille identifie la nécessité d'une expertise complémentaire.</w:t>
      </w:r>
    </w:p>
    <w:p>
      <w:pPr>
        <w:pStyle w:val="Heading2"/>
        <w:spacing w:after="140" w:before="280"/>
      </w:pPr>
      <w:r>
        <w:t xml:space="preserve">Étape 3 – Constitution du dossier médical</w:t>
      </w:r>
    </w:p>
    <w:p>
      <w:pPr>
        <w:spacing w:after="160" w:line="276"/>
        <w:jc w:val="both"/>
      </w:pPr>
      <w:r>
        <w:t xml:space="preserve">Le dossier est constitué conformément aux exigences médicales et réglementaires :</w:t>
      </w:r>
    </w:p>
    <w:p>
      <w:pPr>
        <w:pStyle w:val="ListParagraph"/>
        <w:numPr>
          <w:ilvl w:val="0"/>
          <w:numId w:val="1"/>
        </w:numPr>
        <w:spacing w:after="100"/>
      </w:pPr>
      <w:r>
        <w:t xml:space="preserve">antécédents ;</w:t>
      </w:r>
    </w:p>
    <w:p>
      <w:pPr>
        <w:pStyle w:val="ListParagraph"/>
        <w:numPr>
          <w:ilvl w:val="0"/>
          <w:numId w:val="1"/>
        </w:numPr>
        <w:spacing w:after="100"/>
      </w:pPr>
      <w:r>
        <w:t xml:space="preserve">compte rendu médical ;</w:t>
      </w:r>
    </w:p>
    <w:p>
      <w:pPr>
        <w:pStyle w:val="ListParagraph"/>
        <w:numPr>
          <w:ilvl w:val="0"/>
          <w:numId w:val="1"/>
        </w:numPr>
        <w:spacing w:after="100"/>
      </w:pPr>
      <w:r>
        <w:t xml:space="preserve">résultats biologiques ;</w:t>
      </w:r>
    </w:p>
    <w:p>
      <w:pPr>
        <w:pStyle w:val="ListParagraph"/>
        <w:numPr>
          <w:ilvl w:val="0"/>
          <w:numId w:val="1"/>
        </w:numPr>
        <w:spacing w:after="100"/>
      </w:pPr>
      <w:r>
        <w:t xml:space="preserve">imagerie médicale ;</w:t>
      </w:r>
    </w:p>
    <w:p>
      <w:pPr>
        <w:pStyle w:val="ListParagraph"/>
        <w:numPr>
          <w:ilvl w:val="0"/>
          <w:numId w:val="1"/>
        </w:numPr>
        <w:spacing w:after="100"/>
      </w:pPr>
      <w:r>
        <w:t xml:space="preserve">comptes rendus opératoires ;</w:t>
      </w:r>
    </w:p>
    <w:p>
      <w:pPr>
        <w:pStyle w:val="ListParagraph"/>
        <w:numPr>
          <w:ilvl w:val="0"/>
          <w:numId w:val="1"/>
        </w:numPr>
        <w:spacing w:after="100"/>
      </w:pPr>
      <w:r>
        <w:t xml:space="preserve">résultats anatomopathologiques ;</w:t>
      </w:r>
    </w:p>
    <w:p>
      <w:pPr>
        <w:pStyle w:val="ListParagraph"/>
        <w:numPr>
          <w:ilvl w:val="0"/>
          <w:numId w:val="1"/>
        </w:numPr>
        <w:spacing w:after="100"/>
      </w:pPr>
      <w:r>
        <w:t xml:space="preserve">prescriptions ;</w:t>
      </w:r>
    </w:p>
    <w:p>
      <w:pPr>
        <w:pStyle w:val="ListParagraph"/>
        <w:numPr>
          <w:ilvl w:val="0"/>
          <w:numId w:val="1"/>
        </w:numPr>
        <w:spacing w:after="100"/>
      </w:pPr>
      <w:r>
        <w:t xml:space="preserve">traitements en cours ;</w:t>
      </w:r>
    </w:p>
    <w:p>
      <w:pPr>
        <w:pStyle w:val="ListParagraph"/>
        <w:numPr>
          <w:ilvl w:val="0"/>
          <w:numId w:val="1"/>
        </w:numPr>
        <w:spacing w:after="100"/>
      </w:pPr>
      <w:r>
        <w:t xml:space="preserve">autres informations médicales pertinentes.</w:t>
      </w:r>
    </w:p>
    <w:p>
      <w:pPr>
        <w:pStyle w:val="Heading2"/>
        <w:spacing w:after="140" w:before="280"/>
      </w:pPr>
      <w:r>
        <w:t xml:space="preserve">Étape 4 – Consentement du patient</w:t>
      </w:r>
    </w:p>
    <w:p>
      <w:pPr>
        <w:spacing w:after="160" w:line="276"/>
        <w:jc w:val="both"/>
      </w:pPr>
      <w:r>
        <w:t xml:space="preserve">Le patient autorise explicitement le traitement et la transmission de ses données médicales dans le cadre du deuxième avis.</w:t>
      </w:r>
    </w:p>
    <w:p>
      <w:pPr>
        <w:pStyle w:val="Heading2"/>
        <w:spacing w:after="140" w:before="280"/>
      </w:pPr>
      <w:r>
        <w:t xml:space="preserve">Étape 5 – Sélection du spécialiste</w:t>
      </w:r>
    </w:p>
    <w:p>
      <w:pPr>
        <w:spacing w:after="160" w:line="276"/>
        <w:jc w:val="both"/>
      </w:pPr>
      <w:r>
        <w:t xml:space="preserve">La plateforme identifie le spécialiste international correspondant à la pathologie concernée.</w:t>
      </w:r>
    </w:p>
    <w:p>
      <w:pPr>
        <w:pStyle w:val="Heading2"/>
        <w:spacing w:after="140" w:before="280"/>
      </w:pPr>
      <w:r>
        <w:t xml:space="preserve">Étape 6 – Transmission sécurisée</w:t>
      </w:r>
    </w:p>
    <w:p>
      <w:pPr>
        <w:spacing w:after="160" w:line="276"/>
        <w:jc w:val="both"/>
      </w:pPr>
      <w:r>
        <w:t xml:space="preserve">Le dossier est transmis au spécialiste ou au centre médical partenaire à travers une infrastructure numérique sécurisée.</w:t>
      </w:r>
    </w:p>
    <w:p>
      <w:pPr>
        <w:pStyle w:val="Heading2"/>
        <w:spacing w:after="140" w:before="280"/>
      </w:pPr>
      <w:r>
        <w:t xml:space="preserve">Étape 7 – Analyse médicale</w:t>
      </w:r>
    </w:p>
    <w:p>
      <w:pPr>
        <w:spacing w:after="160" w:line="276"/>
        <w:jc w:val="both"/>
      </w:pPr>
      <w:r>
        <w:t xml:space="preserve">Le spécialiste international étudie le dossier et formule son avis.</w:t>
      </w:r>
    </w:p>
    <w:p>
      <w:pPr>
        <w:spacing w:after="160" w:line="276"/>
        <w:jc w:val="both"/>
      </w:pPr>
      <w:r>
        <w:t xml:space="preserve">Lorsque nécessaire, il peut recommander des examens complémentaires.</w:t>
      </w:r>
    </w:p>
    <w:p>
      <w:pPr>
        <w:pStyle w:val="Heading2"/>
        <w:spacing w:after="140" w:before="280"/>
      </w:pPr>
      <w:r>
        <w:t xml:space="preserve">Étape 8 – Rapport de deuxième avis</w:t>
      </w:r>
    </w:p>
    <w:p>
      <w:pPr>
        <w:spacing w:after="160" w:line="276"/>
        <w:jc w:val="both"/>
      </w:pPr>
      <w:r>
        <w:t xml:space="preserve">Un rapport médical structuré est produit.</w:t>
      </w:r>
    </w:p>
    <w:p>
      <w:pPr>
        <w:spacing w:after="160" w:line="276"/>
        <w:jc w:val="both"/>
      </w:pPr>
      <w:r>
        <w:t xml:space="preserve">Il peut notamment préciser :</w:t>
      </w:r>
    </w:p>
    <w:p>
      <w:pPr>
        <w:pStyle w:val="ListParagraph"/>
        <w:numPr>
          <w:ilvl w:val="0"/>
          <w:numId w:val="1"/>
        </w:numPr>
        <w:spacing w:after="100"/>
      </w:pPr>
      <w:r>
        <w:t xml:space="preserve">l'appréciation du diagnostic initial ;</w:t>
      </w:r>
    </w:p>
    <w:p>
      <w:pPr>
        <w:pStyle w:val="ListParagraph"/>
        <w:numPr>
          <w:ilvl w:val="0"/>
          <w:numId w:val="1"/>
        </w:numPr>
        <w:spacing w:after="100"/>
      </w:pPr>
      <w:r>
        <w:t xml:space="preserve">les éventuelles incertitudes ;</w:t>
      </w:r>
    </w:p>
    <w:p>
      <w:pPr>
        <w:pStyle w:val="ListParagraph"/>
        <w:numPr>
          <w:ilvl w:val="0"/>
          <w:numId w:val="1"/>
        </w:numPr>
        <w:spacing w:after="100"/>
      </w:pPr>
      <w:r>
        <w:t xml:space="preserve">les examens complémentaires recommandés ;</w:t>
      </w:r>
    </w:p>
    <w:p>
      <w:pPr>
        <w:pStyle w:val="ListParagraph"/>
        <w:numPr>
          <w:ilvl w:val="0"/>
          <w:numId w:val="1"/>
        </w:numPr>
        <w:spacing w:after="100"/>
      </w:pPr>
      <w:r>
        <w:t xml:space="preserve">les options thérapeutiques possibles ;</w:t>
      </w:r>
    </w:p>
    <w:p>
      <w:pPr>
        <w:pStyle w:val="ListParagraph"/>
        <w:numPr>
          <w:ilvl w:val="0"/>
          <w:numId w:val="1"/>
        </w:numPr>
        <w:spacing w:after="100"/>
      </w:pPr>
      <w:r>
        <w:t xml:space="preserve">les observations concernant le traitement proposé ;</w:t>
      </w:r>
    </w:p>
    <w:p>
      <w:pPr>
        <w:pStyle w:val="ListParagraph"/>
        <w:numPr>
          <w:ilvl w:val="0"/>
          <w:numId w:val="1"/>
        </w:numPr>
        <w:spacing w:after="100"/>
      </w:pPr>
      <w:r>
        <w:t xml:space="preserve">les éléments nécessitant une discussion avec le médecin traitant.</w:t>
      </w:r>
    </w:p>
    <w:p>
      <w:pPr>
        <w:pStyle w:val="Heading2"/>
        <w:spacing w:after="140" w:before="280"/>
      </w:pPr>
      <w:r>
        <w:t xml:space="preserve">Étape 9 – Restitution</w:t>
      </w:r>
    </w:p>
    <w:p>
      <w:pPr>
        <w:spacing w:after="160" w:line="276"/>
        <w:jc w:val="both"/>
      </w:pPr>
      <w:r>
        <w:t xml:space="preserve">Le deuxième avis est communiqué au patient et, avec son accord, au médecin qui assure sa prise en charge.</w:t>
      </w:r>
    </w:p>
    <w:p>
      <w:pPr>
        <w:pStyle w:val="Heading2"/>
        <w:spacing w:after="140" w:before="280"/>
      </w:pPr>
      <w:r>
        <w:t xml:space="preserve">Étape 10 – Suivi</w:t>
      </w:r>
    </w:p>
    <w:p>
      <w:pPr>
        <w:spacing w:after="160" w:line="276"/>
        <w:jc w:val="both"/>
      </w:pPr>
      <w:r>
        <w:t xml:space="preserve">Le programme peut assurer le suivi administratif du dossier et, lorsque le patient le souhaite, faciliter une nouvelle téléconsultation ou une orientation vers un centre médical partenaire.</w:t>
      </w:r>
    </w:p>
    <w:p>
      <w:pPr>
        <w:pStyle w:val="Heading1"/>
        <w:spacing w:after="200" w:before="480"/>
      </w:pPr>
      <w:r>
        <w:t xml:space="preserve">11. Principe fondamental : complémentarité médicale</w:t>
      </w:r>
    </w:p>
    <w:p>
      <w:pPr>
        <w:spacing w:after="160" w:line="276"/>
        <w:jc w:val="both"/>
      </w:pPr>
      <w:r>
        <w:t xml:space="preserve">Le programme ne doit pas être présenté comme un mécanisme destiné à « remplacer » les médecins africains par des médecins européens.</w:t>
      </w:r>
    </w:p>
    <w:p>
      <w:pPr>
        <w:spacing w:after="160" w:line="276"/>
        <w:jc w:val="both"/>
      </w:pPr>
      <w:r>
        <w:t xml:space="preserve">Son positionnement doit être celui de la complémentarité et de la coopération médicale internationale.</w:t>
      </w:r>
    </w:p>
    <w:p>
      <w:pPr>
        <w:spacing w:after="160" w:line="276"/>
        <w:jc w:val="both"/>
      </w:pPr>
      <w:r>
        <w:t xml:space="preserve">Le médecin local demeure un acteur essentiel du parcours du patient.</w:t>
      </w:r>
    </w:p>
    <w:p>
      <w:pPr>
        <w:spacing w:after="160" w:line="276"/>
        <w:jc w:val="both"/>
      </w:pPr>
      <w:r>
        <w:t xml:space="preserve">Le spécialiste international apporte une expertise complémentaire permettant notamment de renforcer la qualité de la décision médicale.</w:t>
      </w:r>
    </w:p>
    <w:p>
      <w:pPr>
        <w:spacing w:after="160" w:line="276"/>
        <w:jc w:val="both"/>
      </w:pPr>
      <w:r>
        <w:t xml:space="preserve">Le programme doit donc promouvoir le principe :</w:t>
      </w:r>
    </w:p>
    <w:p>
      <w:pPr>
        <w:pBdr>
          <w:left w:val="single" w:color="B08D57" w:sz="18" w:space="12"/>
        </w:pBdr>
        <w:spacing w:after="200" w:before="120" w:line="276"/>
        <w:ind w:left="720" w:right="720"/>
        <w:jc w:val="both"/>
      </w:pPr>
      <w:r>
        <w:rPr>
          <w:i/>
          <w:iCs/>
          <w:color w:val="1F3A5F"/>
        </w:rPr>
        <w:t xml:space="preserve">« Un patient africain, un médecin local, une expertise internationale lorsque cela est nécessaire. »</w:t>
      </w:r>
    </w:p>
    <w:p>
      <w:pPr>
        <w:spacing w:after="160" w:line="276"/>
        <w:jc w:val="both"/>
      </w:pPr>
      <w:r>
        <w:t xml:space="preserve">Cette approche sera particulièrement importante pour obtenir l'adhésion des autorités sanitaires, des médecins et des établissements hospitaliers.</w:t>
      </w:r>
    </w:p>
    <w:p>
      <w:pPr>
        <w:pStyle w:val="Heading1"/>
        <w:spacing w:after="200" w:before="480"/>
      </w:pPr>
      <w:r>
        <w:t xml:space="preserve">12. Composante technologique</w:t>
      </w:r>
    </w:p>
    <w:p>
      <w:pPr>
        <w:spacing w:after="160" w:line="276"/>
        <w:jc w:val="both"/>
      </w:pPr>
      <w:r>
        <w:t xml:space="preserve">Le projet nécessitera la mise en place d'une plateforme numérique permettant notamment :</w:t>
      </w:r>
    </w:p>
    <w:p>
      <w:pPr>
        <w:pStyle w:val="ListParagraph"/>
        <w:numPr>
          <w:ilvl w:val="0"/>
          <w:numId w:val="1"/>
        </w:numPr>
        <w:spacing w:after="100"/>
      </w:pPr>
      <w:r>
        <w:t xml:space="preserve">la création des dossiers patients ;</w:t>
      </w:r>
    </w:p>
    <w:p>
      <w:pPr>
        <w:pStyle w:val="ListParagraph"/>
        <w:numPr>
          <w:ilvl w:val="0"/>
          <w:numId w:val="1"/>
        </w:numPr>
        <w:spacing w:after="100"/>
      </w:pPr>
      <w:r>
        <w:t xml:space="preserve">la gestion des rendez-vous ;</w:t>
      </w:r>
    </w:p>
    <w:p>
      <w:pPr>
        <w:pStyle w:val="ListParagraph"/>
        <w:numPr>
          <w:ilvl w:val="0"/>
          <w:numId w:val="1"/>
        </w:numPr>
        <w:spacing w:after="100"/>
      </w:pPr>
      <w:r>
        <w:t xml:space="preserve">le téléchargement sécurisé des documents médicaux ;</w:t>
      </w:r>
    </w:p>
    <w:p>
      <w:pPr>
        <w:pStyle w:val="ListParagraph"/>
        <w:numPr>
          <w:ilvl w:val="0"/>
          <w:numId w:val="1"/>
        </w:numPr>
        <w:spacing w:after="100"/>
      </w:pPr>
      <w:r>
        <w:t xml:space="preserve">la transmission des images médicales ;</w:t>
      </w:r>
    </w:p>
    <w:p>
      <w:pPr>
        <w:pStyle w:val="ListParagraph"/>
        <w:numPr>
          <w:ilvl w:val="0"/>
          <w:numId w:val="1"/>
        </w:numPr>
        <w:spacing w:after="100"/>
      </w:pPr>
      <w:r>
        <w:t xml:space="preserve">la gestion des comptes rendus ;</w:t>
      </w:r>
    </w:p>
    <w:p>
      <w:pPr>
        <w:pStyle w:val="ListParagraph"/>
        <w:numPr>
          <w:ilvl w:val="0"/>
          <w:numId w:val="1"/>
        </w:numPr>
        <w:spacing w:after="100"/>
      </w:pPr>
      <w:r>
        <w:t xml:space="preserve">la communication entre médecins ;</w:t>
      </w:r>
    </w:p>
    <w:p>
      <w:pPr>
        <w:pStyle w:val="ListParagraph"/>
        <w:numPr>
          <w:ilvl w:val="0"/>
          <w:numId w:val="1"/>
        </w:numPr>
        <w:spacing w:after="100"/>
      </w:pPr>
      <w:r>
        <w:t xml:space="preserve">la téléconsultation lorsque celle-ci est autorisée et pertinente ;</w:t>
      </w:r>
    </w:p>
    <w:p>
      <w:pPr>
        <w:pStyle w:val="ListParagraph"/>
        <w:numPr>
          <w:ilvl w:val="0"/>
          <w:numId w:val="1"/>
        </w:numPr>
        <w:spacing w:after="100"/>
      </w:pPr>
      <w:r>
        <w:t xml:space="preserve">la traçabilité des dossiers ;</w:t>
      </w:r>
    </w:p>
    <w:p>
      <w:pPr>
        <w:pStyle w:val="ListParagraph"/>
        <w:numPr>
          <w:ilvl w:val="0"/>
          <w:numId w:val="1"/>
        </w:numPr>
        <w:spacing w:after="100"/>
      </w:pPr>
      <w:r>
        <w:t xml:space="preserve">la gestion des paiements ;</w:t>
      </w:r>
    </w:p>
    <w:p>
      <w:pPr>
        <w:pStyle w:val="ListParagraph"/>
        <w:numPr>
          <w:ilvl w:val="0"/>
          <w:numId w:val="1"/>
        </w:numPr>
        <w:spacing w:after="100"/>
      </w:pPr>
      <w:r>
        <w:t xml:space="preserve">la gestion des consentements ;</w:t>
      </w:r>
    </w:p>
    <w:p>
      <w:pPr>
        <w:pStyle w:val="ListParagraph"/>
        <w:numPr>
          <w:ilvl w:val="0"/>
          <w:numId w:val="1"/>
        </w:numPr>
        <w:spacing w:after="100"/>
      </w:pPr>
      <w:r>
        <w:t xml:space="preserve">la protection des données médicales.</w:t>
      </w:r>
    </w:p>
    <w:p>
      <w:pPr>
        <w:spacing w:after="160" w:line="276"/>
        <w:jc w:val="both"/>
      </w:pPr>
      <w:r>
        <w:t xml:space="preserve">La plateforme devra respecter les exigences applicables en matière de confidentialité, de cybersécurité et de protection des données personnelles et médicales.</w:t>
      </w:r>
    </w:p>
    <w:p>
      <w:pPr>
        <w:pStyle w:val="Heading1"/>
        <w:spacing w:after="200" w:before="480"/>
      </w:pPr>
      <w:r>
        <w:t xml:space="preserve">13. Partenariats internationaux</w:t>
      </w:r>
    </w:p>
    <w:p>
      <w:pPr>
        <w:spacing w:after="160" w:line="276"/>
        <w:jc w:val="both"/>
      </w:pPr>
      <w:r>
        <w:t xml:space="preserve">Le succès du programme dépendra fortement de la constitution d'un réseau international de partenaires.</w:t>
      </w:r>
    </w:p>
    <w:p>
      <w:pPr>
        <w:spacing w:after="160" w:line="276"/>
        <w:jc w:val="both"/>
      </w:pPr>
      <w:r>
        <w:t xml:space="preserve">Les partenaires recherchés pourraient comprendre :</w:t>
      </w:r>
    </w:p>
    <w:p>
      <w:pPr>
        <w:spacing w:after="100" w:before="200"/>
      </w:pPr>
      <w:r>
        <w:rPr>
          <w:b/>
          <w:bCs/>
          <w:color w:val="1F3A5F"/>
        </w:rPr>
        <w:t xml:space="preserve">En Europe</w:t>
      </w:r>
    </w:p>
    <w:p>
      <w:pPr>
        <w:pStyle w:val="ListParagraph"/>
        <w:numPr>
          <w:ilvl w:val="0"/>
          <w:numId w:val="1"/>
        </w:numPr>
        <w:spacing w:after="100"/>
      </w:pPr>
      <w:r>
        <w:t xml:space="preserve">hôpitaux universitaires ;</w:t>
      </w:r>
    </w:p>
    <w:p>
      <w:pPr>
        <w:pStyle w:val="ListParagraph"/>
        <w:numPr>
          <w:ilvl w:val="0"/>
          <w:numId w:val="1"/>
        </w:numPr>
        <w:spacing w:after="100"/>
      </w:pPr>
      <w:r>
        <w:t xml:space="preserve">centres hospitaliers spécialisés ;</w:t>
      </w:r>
    </w:p>
    <w:p>
      <w:pPr>
        <w:pStyle w:val="ListParagraph"/>
        <w:numPr>
          <w:ilvl w:val="0"/>
          <w:numId w:val="1"/>
        </w:numPr>
        <w:spacing w:after="100"/>
      </w:pPr>
      <w:r>
        <w:t xml:space="preserve">cliniques de référence ;</w:t>
      </w:r>
    </w:p>
    <w:p>
      <w:pPr>
        <w:pStyle w:val="ListParagraph"/>
        <w:numPr>
          <w:ilvl w:val="0"/>
          <w:numId w:val="1"/>
        </w:numPr>
        <w:spacing w:after="100"/>
      </w:pPr>
      <w:r>
        <w:t xml:space="preserve">réseaux de médecins spécialistes ;</w:t>
      </w:r>
    </w:p>
    <w:p>
      <w:pPr>
        <w:pStyle w:val="ListParagraph"/>
        <w:numPr>
          <w:ilvl w:val="0"/>
          <w:numId w:val="1"/>
        </w:numPr>
        <w:spacing w:after="100"/>
      </w:pPr>
      <w:r>
        <w:t xml:space="preserve">laboratoires spécialisés ;</w:t>
      </w:r>
    </w:p>
    <w:p>
      <w:pPr>
        <w:pStyle w:val="ListParagraph"/>
        <w:numPr>
          <w:ilvl w:val="0"/>
          <w:numId w:val="1"/>
        </w:numPr>
        <w:spacing w:after="100"/>
      </w:pPr>
      <w:r>
        <w:t xml:space="preserve">centres d'imagerie médicale ;</w:t>
      </w:r>
    </w:p>
    <w:p>
      <w:pPr>
        <w:pStyle w:val="ListParagraph"/>
        <w:numPr>
          <w:ilvl w:val="0"/>
          <w:numId w:val="1"/>
        </w:numPr>
        <w:spacing w:after="100"/>
      </w:pPr>
      <w:r>
        <w:t xml:space="preserve">établissements de recherche médicale.</w:t>
      </w:r>
    </w:p>
    <w:p>
      <w:pPr>
        <w:spacing w:after="100" w:before="200"/>
      </w:pPr>
      <w:r>
        <w:rPr>
          <w:b/>
          <w:bCs/>
          <w:color w:val="1F3A5F"/>
        </w:rPr>
        <w:t xml:space="preserve">En Afrique</w:t>
      </w:r>
    </w:p>
    <w:p>
      <w:pPr>
        <w:pStyle w:val="ListParagraph"/>
        <w:numPr>
          <w:ilvl w:val="0"/>
          <w:numId w:val="1"/>
        </w:numPr>
        <w:spacing w:after="100"/>
      </w:pPr>
      <w:r>
        <w:t xml:space="preserve">hôpitaux publics ;</w:t>
      </w:r>
    </w:p>
    <w:p>
      <w:pPr>
        <w:pStyle w:val="ListParagraph"/>
        <w:numPr>
          <w:ilvl w:val="0"/>
          <w:numId w:val="1"/>
        </w:numPr>
        <w:spacing w:after="100"/>
      </w:pPr>
      <w:r>
        <w:t xml:space="preserve">cliniques privées ;</w:t>
      </w:r>
    </w:p>
    <w:p>
      <w:pPr>
        <w:pStyle w:val="ListParagraph"/>
        <w:numPr>
          <w:ilvl w:val="0"/>
          <w:numId w:val="1"/>
        </w:numPr>
        <w:spacing w:after="100"/>
      </w:pPr>
      <w:r>
        <w:t xml:space="preserve">centres médicaux ;</w:t>
      </w:r>
    </w:p>
    <w:p>
      <w:pPr>
        <w:pStyle w:val="ListParagraph"/>
        <w:numPr>
          <w:ilvl w:val="0"/>
          <w:numId w:val="1"/>
        </w:numPr>
        <w:spacing w:after="100"/>
      </w:pPr>
      <w:r>
        <w:t xml:space="preserve">médecins spécialistes ;</w:t>
      </w:r>
    </w:p>
    <w:p>
      <w:pPr>
        <w:pStyle w:val="ListParagraph"/>
        <w:numPr>
          <w:ilvl w:val="0"/>
          <w:numId w:val="1"/>
        </w:numPr>
        <w:spacing w:after="100"/>
      </w:pPr>
      <w:r>
        <w:t xml:space="preserve">laboratoires ;</w:t>
      </w:r>
    </w:p>
    <w:p>
      <w:pPr>
        <w:pStyle w:val="ListParagraph"/>
        <w:numPr>
          <w:ilvl w:val="0"/>
          <w:numId w:val="1"/>
        </w:numPr>
        <w:spacing w:after="100"/>
      </w:pPr>
      <w:r>
        <w:t xml:space="preserve">compagnies d'assurance.</w:t>
      </w:r>
    </w:p>
    <w:p>
      <w:pPr>
        <w:spacing w:after="160" w:line="276"/>
        <w:jc w:val="both"/>
      </w:pPr>
      <w:r>
        <w:t xml:space="preserve">Le programme pourrait commencer avec quelques centres européens de référence avant d'élargir progressivement le réseau.</w:t>
      </w:r>
    </w:p>
    <w:p>
      <w:pPr>
        <w:pStyle w:val="Heading1"/>
        <w:spacing w:after="200" w:before="480"/>
      </w:pPr>
      <w:r>
        <w:t xml:space="preserve">14. Modèle économique</w:t>
      </w:r>
    </w:p>
    <w:p>
      <w:pPr>
        <w:spacing w:after="160" w:line="276"/>
        <w:jc w:val="both"/>
      </w:pPr>
      <w:r>
        <w:t xml:space="preserve">Le projet pourrait fonctionner selon un modèle hybride.</w:t>
      </w:r>
    </w:p>
    <w:p>
      <w:pPr>
        <w:spacing w:after="160" w:line="276"/>
        <w:jc w:val="both"/>
      </w:pPr>
      <w:r>
        <w:t xml:space="preserve">Les principales sources potentielles de revenus pourraient être :</w:t>
      </w:r>
    </w:p>
    <w:p>
      <w:pPr>
        <w:pStyle w:val="ListParagraph"/>
        <w:numPr>
          <w:ilvl w:val="0"/>
          <w:numId w:val="1"/>
        </w:numPr>
        <w:spacing w:after="100"/>
      </w:pPr>
      <w:r>
        <w:t xml:space="preserve">paiement direct par le patient ;</w:t>
      </w:r>
    </w:p>
    <w:p>
      <w:pPr>
        <w:pStyle w:val="ListParagraph"/>
        <w:numPr>
          <w:ilvl w:val="0"/>
          <w:numId w:val="1"/>
        </w:numPr>
        <w:spacing w:after="100"/>
      </w:pPr>
      <w:r>
        <w:t xml:space="preserve">contrats avec des compagnies d'assurance ;</w:t>
      </w:r>
    </w:p>
    <w:p>
      <w:pPr>
        <w:pStyle w:val="ListParagraph"/>
        <w:numPr>
          <w:ilvl w:val="0"/>
          <w:numId w:val="1"/>
        </w:numPr>
        <w:spacing w:after="100"/>
      </w:pPr>
      <w:r>
        <w:t xml:space="preserve">contrats avec des entreprises ;</w:t>
      </w:r>
    </w:p>
    <w:p>
      <w:pPr>
        <w:pStyle w:val="ListParagraph"/>
        <w:numPr>
          <w:ilvl w:val="0"/>
          <w:numId w:val="1"/>
        </w:numPr>
        <w:spacing w:after="100"/>
      </w:pPr>
      <w:r>
        <w:t xml:space="preserve">contrats avec des établissements hospitaliers ;</w:t>
      </w:r>
    </w:p>
    <w:p>
      <w:pPr>
        <w:pStyle w:val="ListParagraph"/>
        <w:numPr>
          <w:ilvl w:val="0"/>
          <w:numId w:val="1"/>
        </w:numPr>
        <w:spacing w:after="100"/>
      </w:pPr>
      <w:r>
        <w:t xml:space="preserve">abonnements à des services de télé-expertise ;</w:t>
      </w:r>
    </w:p>
    <w:p>
      <w:pPr>
        <w:pStyle w:val="ListParagraph"/>
        <w:numPr>
          <w:ilvl w:val="0"/>
          <w:numId w:val="1"/>
        </w:numPr>
        <w:spacing w:after="100"/>
      </w:pPr>
      <w:r>
        <w:t xml:space="preserve">programmes de santé financés par des partenaires institutionnels ;</w:t>
      </w:r>
    </w:p>
    <w:p>
      <w:pPr>
        <w:pStyle w:val="ListParagraph"/>
        <w:numPr>
          <w:ilvl w:val="0"/>
          <w:numId w:val="1"/>
        </w:numPr>
        <w:spacing w:after="100"/>
      </w:pPr>
      <w:r>
        <w:t xml:space="preserve">financement de projets par des bailleurs de fonds ;</w:t>
      </w:r>
    </w:p>
    <w:p>
      <w:pPr>
        <w:pStyle w:val="ListParagraph"/>
        <w:numPr>
          <w:ilvl w:val="0"/>
          <w:numId w:val="1"/>
        </w:numPr>
        <w:spacing w:after="100"/>
      </w:pPr>
      <w:r>
        <w:t xml:space="preserve">partenariats avec des organisations internationales.</w:t>
      </w:r>
    </w:p>
    <w:p>
      <w:pPr>
        <w:spacing w:after="160" w:line="276"/>
        <w:jc w:val="both"/>
      </w:pPr>
      <w:r>
        <w:t xml:space="preserve">Une tarification différenciée pourrait être envisagée afin de permettre l'accès au service à différentes catégories de patients.</w:t>
      </w:r>
    </w:p>
    <w:p>
      <w:pPr>
        <w:pStyle w:val="Heading1"/>
        <w:spacing w:after="200" w:before="480"/>
      </w:pPr>
      <w:r>
        <w:t xml:space="preserve">15. Dimension sociale du projet</w:t>
      </w:r>
    </w:p>
    <w:p>
      <w:pPr>
        <w:spacing w:after="160" w:line="276"/>
        <w:jc w:val="both"/>
      </w:pPr>
      <w:r>
        <w:t xml:space="preserve">Au-delà de son modèle économique, le programme présente une forte dimension sociale.</w:t>
      </w:r>
    </w:p>
    <w:p>
      <w:pPr>
        <w:spacing w:after="160" w:line="276"/>
        <w:jc w:val="both"/>
      </w:pPr>
      <w:r>
        <w:t xml:space="preserve">Une partie des revenus commerciaux pourrait contribuer au financement de deuxièmes avis pour des patients à faibles revenus.</w:t>
      </w:r>
    </w:p>
    <w:p>
      <w:pPr>
        <w:spacing w:after="160" w:line="276"/>
        <w:jc w:val="both"/>
      </w:pPr>
      <w:r>
        <w:t xml:space="preserve">Un Social Medical Access Fund pourrait ainsi être créé afin de financer les dossiers de patients vulnérables.</w:t>
      </w:r>
    </w:p>
    <w:p>
      <w:pPr>
        <w:spacing w:after="160" w:line="276"/>
        <w:jc w:val="both"/>
      </w:pPr>
      <w:r>
        <w:t xml:space="preserve">Le projet pourrait donc associer :</w:t>
      </w:r>
    </w:p>
    <w:p>
      <w:pPr>
        <w:pBdr>
          <w:left w:val="single" w:color="B08D57" w:sz="18" w:space="12"/>
        </w:pBdr>
        <w:spacing w:after="200" w:before="120" w:line="276"/>
        <w:ind w:left="720" w:right="720"/>
        <w:jc w:val="both"/>
      </w:pPr>
      <w:r>
        <w:rPr>
          <w:i/>
          <w:iCs/>
          <w:color w:val="1F3A5F"/>
        </w:rPr>
        <w:t xml:space="preserve">innovation technologique + expertise médicale + inclusion sociale + coopération internationale.</w:t>
      </w:r>
    </w:p>
    <w:p>
      <w:pPr>
        <w:pStyle w:val="Heading1"/>
        <w:spacing w:after="200" w:before="480"/>
      </w:pPr>
      <w:r>
        <w:t xml:space="preserve">16. Impact attendu</w:t>
      </w:r>
    </w:p>
    <w:p>
      <w:pPr>
        <w:spacing w:after="160" w:line="276"/>
        <w:jc w:val="both"/>
      </w:pPr>
      <w:r>
        <w:t xml:space="preserve">Le programme pourrait produire plusieurs catégories d'impacts.</w:t>
      </w:r>
    </w:p>
    <w:p>
      <w:pPr>
        <w:spacing w:after="100" w:before="200"/>
      </w:pPr>
      <w:r>
        <w:rPr>
          <w:b/>
          <w:bCs/>
          <w:color w:val="1F3A5F"/>
        </w:rPr>
        <w:t xml:space="preserve">Impact médical</w:t>
      </w:r>
    </w:p>
    <w:p>
      <w:pPr>
        <w:pStyle w:val="ListParagraph"/>
        <w:numPr>
          <w:ilvl w:val="0"/>
          <w:numId w:val="1"/>
        </w:numPr>
        <w:spacing w:after="100"/>
      </w:pPr>
      <w:r>
        <w:t xml:space="preserve">amélioration de la qualité des décisions médicales ;</w:t>
      </w:r>
    </w:p>
    <w:p>
      <w:pPr>
        <w:pStyle w:val="ListParagraph"/>
        <w:numPr>
          <w:ilvl w:val="0"/>
          <w:numId w:val="1"/>
        </w:numPr>
        <w:spacing w:after="100"/>
      </w:pPr>
      <w:r>
        <w:t xml:space="preserve">réduction de certaines incertitudes diagnostiques ;</w:t>
      </w:r>
    </w:p>
    <w:p>
      <w:pPr>
        <w:pStyle w:val="ListParagraph"/>
        <w:numPr>
          <w:ilvl w:val="0"/>
          <w:numId w:val="1"/>
        </w:numPr>
        <w:spacing w:after="100"/>
      </w:pPr>
      <w:r>
        <w:t xml:space="preserve">amélioration de l'accès aux spécialistes ;</w:t>
      </w:r>
    </w:p>
    <w:p>
      <w:pPr>
        <w:pStyle w:val="ListParagraph"/>
        <w:numPr>
          <w:ilvl w:val="0"/>
          <w:numId w:val="1"/>
        </w:numPr>
        <w:spacing w:after="100"/>
      </w:pPr>
      <w:r>
        <w:t xml:space="preserve">meilleure orientation des patients ;</w:t>
      </w:r>
    </w:p>
    <w:p>
      <w:pPr>
        <w:pStyle w:val="ListParagraph"/>
        <w:numPr>
          <w:ilvl w:val="0"/>
          <w:numId w:val="1"/>
        </w:numPr>
        <w:spacing w:after="100"/>
      </w:pPr>
      <w:r>
        <w:t xml:space="preserve">réduction potentielle de certaines interventions ou traitements inappropriés.</w:t>
      </w:r>
    </w:p>
    <w:p>
      <w:pPr>
        <w:spacing w:after="100" w:before="200"/>
      </w:pPr>
      <w:r>
        <w:rPr>
          <w:b/>
          <w:bCs/>
          <w:color w:val="1F3A5F"/>
        </w:rPr>
        <w:t xml:space="preserve">Impact économique</w:t>
      </w:r>
    </w:p>
    <w:p>
      <w:pPr>
        <w:pStyle w:val="ListParagraph"/>
        <w:numPr>
          <w:ilvl w:val="0"/>
          <w:numId w:val="1"/>
        </w:numPr>
        <w:spacing w:after="100"/>
      </w:pPr>
      <w:r>
        <w:t xml:space="preserve">réduction des déplacements médicaux internationaux lorsque ceux-ci ne sont pas indispensables ;</w:t>
      </w:r>
    </w:p>
    <w:p>
      <w:pPr>
        <w:pStyle w:val="ListParagraph"/>
        <w:numPr>
          <w:ilvl w:val="0"/>
          <w:numId w:val="1"/>
        </w:numPr>
        <w:spacing w:after="100"/>
      </w:pPr>
      <w:r>
        <w:t xml:space="preserve">réduction des coûts liés à certaines erreurs ou retards diagnostiques ;</w:t>
      </w:r>
    </w:p>
    <w:p>
      <w:pPr>
        <w:pStyle w:val="ListParagraph"/>
        <w:numPr>
          <w:ilvl w:val="0"/>
          <w:numId w:val="1"/>
        </w:numPr>
        <w:spacing w:after="100"/>
      </w:pPr>
      <w:r>
        <w:t xml:space="preserve">développement d'une nouvelle activité de santé numérique ;</w:t>
      </w:r>
    </w:p>
    <w:p>
      <w:pPr>
        <w:pStyle w:val="ListParagraph"/>
        <w:numPr>
          <w:ilvl w:val="0"/>
          <w:numId w:val="1"/>
        </w:numPr>
        <w:spacing w:after="100"/>
      </w:pPr>
      <w:r>
        <w:t xml:space="preserve">création d'emplois qualifiés.</w:t>
      </w:r>
    </w:p>
    <w:p>
      <w:pPr>
        <w:spacing w:after="100" w:before="200"/>
      </w:pPr>
      <w:r>
        <w:rPr>
          <w:b/>
          <w:bCs/>
          <w:color w:val="1F3A5F"/>
        </w:rPr>
        <w:t xml:space="preserve">Impact social</w:t>
      </w:r>
    </w:p>
    <w:p>
      <w:pPr>
        <w:pStyle w:val="ListParagraph"/>
        <w:numPr>
          <w:ilvl w:val="0"/>
          <w:numId w:val="1"/>
        </w:numPr>
        <w:spacing w:after="100"/>
      </w:pPr>
      <w:r>
        <w:t xml:space="preserve">amélioration de l'équité d'accès à l'expertise médicale ;</w:t>
      </w:r>
    </w:p>
    <w:p>
      <w:pPr>
        <w:pStyle w:val="ListParagraph"/>
        <w:numPr>
          <w:ilvl w:val="0"/>
          <w:numId w:val="1"/>
        </w:numPr>
        <w:spacing w:after="100"/>
      </w:pPr>
      <w:r>
        <w:t xml:space="preserve">renforcement de la confiance des patients ;</w:t>
      </w:r>
    </w:p>
    <w:p>
      <w:pPr>
        <w:pStyle w:val="ListParagraph"/>
        <w:numPr>
          <w:ilvl w:val="0"/>
          <w:numId w:val="1"/>
        </w:numPr>
        <w:spacing w:after="100"/>
      </w:pPr>
      <w:r>
        <w:t xml:space="preserve">réduction des inégalités entre patients disposant de ressources financières différentes.</w:t>
      </w:r>
    </w:p>
    <w:p>
      <w:pPr>
        <w:spacing w:after="100" w:before="200"/>
      </w:pPr>
      <w:r>
        <w:rPr>
          <w:b/>
          <w:bCs/>
          <w:color w:val="1F3A5F"/>
        </w:rPr>
        <w:t xml:space="preserve">Impact institutionnel</w:t>
      </w:r>
    </w:p>
    <w:p>
      <w:pPr>
        <w:pStyle w:val="ListParagraph"/>
        <w:numPr>
          <w:ilvl w:val="0"/>
          <w:numId w:val="1"/>
        </w:numPr>
        <w:spacing w:after="100"/>
      </w:pPr>
      <w:r>
        <w:t xml:space="preserve">développement de la coopération médicale Afrique-Europe ;</w:t>
      </w:r>
    </w:p>
    <w:p>
      <w:pPr>
        <w:pStyle w:val="ListParagraph"/>
        <w:numPr>
          <w:ilvl w:val="0"/>
          <w:numId w:val="1"/>
        </w:numPr>
        <w:spacing w:after="100"/>
      </w:pPr>
      <w:r>
        <w:t xml:space="preserve">transfert de connaissances ;</w:t>
      </w:r>
    </w:p>
    <w:p>
      <w:pPr>
        <w:pStyle w:val="ListParagraph"/>
        <w:numPr>
          <w:ilvl w:val="0"/>
          <w:numId w:val="1"/>
        </w:numPr>
        <w:spacing w:after="100"/>
      </w:pPr>
      <w:r>
        <w:t xml:space="preserve">renforcement des capacités des professionnels de santé africains ;</w:t>
      </w:r>
    </w:p>
    <w:p>
      <w:pPr>
        <w:pStyle w:val="ListParagraph"/>
        <w:numPr>
          <w:ilvl w:val="0"/>
          <w:numId w:val="1"/>
        </w:numPr>
        <w:spacing w:after="100"/>
      </w:pPr>
      <w:r>
        <w:t xml:space="preserve">constitution de réseaux médicaux internationaux.</w:t>
      </w:r>
    </w:p>
    <w:p>
      <w:pPr>
        <w:pStyle w:val="Heading1"/>
        <w:spacing w:after="200" w:before="480"/>
      </w:pPr>
      <w:r>
        <w:t xml:space="preserve">17. Indicateurs de performance</w:t>
      </w:r>
    </w:p>
    <w:p>
      <w:pPr>
        <w:spacing w:after="160" w:line="276"/>
        <w:jc w:val="both"/>
      </w:pPr>
      <w:r>
        <w:t xml:space="preserve">Le programme pourrait notamment suivre :</w:t>
      </w:r>
    </w:p>
    <w:p>
      <w:pPr>
        <w:pStyle w:val="ListParagraph"/>
        <w:numPr>
          <w:ilvl w:val="0"/>
          <w:numId w:val="1"/>
        </w:numPr>
        <w:spacing w:after="100"/>
      </w:pPr>
      <w:r>
        <w:t xml:space="preserve">nombre de patients enregistrés ;</w:t>
      </w:r>
    </w:p>
    <w:p>
      <w:pPr>
        <w:pStyle w:val="ListParagraph"/>
        <w:numPr>
          <w:ilvl w:val="0"/>
          <w:numId w:val="1"/>
        </w:numPr>
        <w:spacing w:after="100"/>
      </w:pPr>
      <w:r>
        <w:t xml:space="preserve">nombre de deuxièmes avis réalisés ;</w:t>
      </w:r>
    </w:p>
    <w:p>
      <w:pPr>
        <w:pStyle w:val="ListParagraph"/>
        <w:numPr>
          <w:ilvl w:val="0"/>
          <w:numId w:val="1"/>
        </w:numPr>
        <w:spacing w:after="100"/>
      </w:pPr>
      <w:r>
        <w:t xml:space="preserve">nombre de spécialités couvertes ;</w:t>
      </w:r>
    </w:p>
    <w:p>
      <w:pPr>
        <w:pStyle w:val="ListParagraph"/>
        <w:numPr>
          <w:ilvl w:val="0"/>
          <w:numId w:val="1"/>
        </w:numPr>
        <w:spacing w:after="100"/>
      </w:pPr>
      <w:r>
        <w:t xml:space="preserve">nombre de médecins internationaux partenaires ;</w:t>
      </w:r>
    </w:p>
    <w:p>
      <w:pPr>
        <w:pStyle w:val="ListParagraph"/>
        <w:numPr>
          <w:ilvl w:val="0"/>
          <w:numId w:val="1"/>
        </w:numPr>
        <w:spacing w:after="100"/>
      </w:pPr>
      <w:r>
        <w:t xml:space="preserve">nombre d'établissements partenaires ;</w:t>
      </w:r>
    </w:p>
    <w:p>
      <w:pPr>
        <w:pStyle w:val="ListParagraph"/>
        <w:numPr>
          <w:ilvl w:val="0"/>
          <w:numId w:val="1"/>
        </w:numPr>
        <w:spacing w:after="100"/>
      </w:pPr>
      <w:r>
        <w:t xml:space="preserve">délai moyen de délivrance d'un deuxième avis ;</w:t>
      </w:r>
    </w:p>
    <w:p>
      <w:pPr>
        <w:pStyle w:val="ListParagraph"/>
        <w:numPr>
          <w:ilvl w:val="0"/>
          <w:numId w:val="1"/>
        </w:numPr>
        <w:spacing w:after="100"/>
      </w:pPr>
      <w:r>
        <w:t xml:space="preserve">taux de satisfaction des patients ;</w:t>
      </w:r>
    </w:p>
    <w:p>
      <w:pPr>
        <w:pStyle w:val="ListParagraph"/>
        <w:numPr>
          <w:ilvl w:val="0"/>
          <w:numId w:val="1"/>
        </w:numPr>
        <w:spacing w:after="100"/>
      </w:pPr>
      <w:r>
        <w:t xml:space="preserve">taux de satisfaction des médecins ;</w:t>
      </w:r>
    </w:p>
    <w:p>
      <w:pPr>
        <w:pStyle w:val="ListParagraph"/>
        <w:numPr>
          <w:ilvl w:val="0"/>
          <w:numId w:val="1"/>
        </w:numPr>
        <w:spacing w:after="100"/>
      </w:pPr>
      <w:r>
        <w:t xml:space="preserve">nombre de dossiers nécessitant une orientation vers un centre international ;</w:t>
      </w:r>
    </w:p>
    <w:p>
      <w:pPr>
        <w:pStyle w:val="ListParagraph"/>
        <w:numPr>
          <w:ilvl w:val="0"/>
          <w:numId w:val="1"/>
        </w:numPr>
        <w:spacing w:after="100"/>
      </w:pPr>
      <w:r>
        <w:t xml:space="preserve">nombre de déplacements médicaux évités ;</w:t>
      </w:r>
    </w:p>
    <w:p>
      <w:pPr>
        <w:pStyle w:val="ListParagraph"/>
        <w:numPr>
          <w:ilvl w:val="0"/>
          <w:numId w:val="1"/>
        </w:numPr>
        <w:spacing w:after="100"/>
      </w:pPr>
      <w:r>
        <w:t xml:space="preserve">coût moyen d'un deuxième avis ;</w:t>
      </w:r>
    </w:p>
    <w:p>
      <w:pPr>
        <w:pStyle w:val="ListParagraph"/>
        <w:numPr>
          <w:ilvl w:val="0"/>
          <w:numId w:val="1"/>
        </w:numPr>
        <w:spacing w:after="100"/>
      </w:pPr>
      <w:r>
        <w:t xml:space="preserve">nombre de patients vulnérables pris en charge ;</w:t>
      </w:r>
    </w:p>
    <w:p>
      <w:pPr>
        <w:pStyle w:val="ListParagraph"/>
        <w:numPr>
          <w:ilvl w:val="0"/>
          <w:numId w:val="1"/>
        </w:numPr>
        <w:spacing w:after="100"/>
      </w:pPr>
      <w:r>
        <w:t xml:space="preserve">nombre de pays africains couverts.</w:t>
      </w:r>
    </w:p>
    <w:p>
      <w:pPr>
        <w:pStyle w:val="Heading1"/>
        <w:spacing w:after="200" w:before="480"/>
      </w:pPr>
      <w:r>
        <w:t xml:space="preserve">18. Gouvernance du programme</w:t>
      </w:r>
    </w:p>
    <w:p>
      <w:pPr>
        <w:spacing w:after="160" w:line="276"/>
        <w:jc w:val="both"/>
      </w:pPr>
      <w:r>
        <w:t xml:space="preserve">Une gouvernance indépendante et crédible devra être mise en place.</w:t>
      </w:r>
    </w:p>
    <w:p>
      <w:pPr>
        <w:spacing w:after="160" w:line="276"/>
        <w:jc w:val="both"/>
      </w:pPr>
      <w:r>
        <w:t xml:space="preserve">Elle pourrait comprendre :</w:t>
      </w:r>
    </w:p>
    <w:p>
      <w:pPr>
        <w:spacing w:after="100" w:before="200"/>
      </w:pPr>
      <w:r>
        <w:rPr>
          <w:b/>
          <w:bCs/>
          <w:color w:val="1F3A5F"/>
        </w:rPr>
        <w:t xml:space="preserve">Comité stratégique</w:t>
      </w:r>
    </w:p>
    <w:p>
      <w:pPr>
        <w:spacing w:after="160" w:line="276"/>
        <w:jc w:val="both"/>
      </w:pPr>
      <w:r>
        <w:t xml:space="preserve">Chargé de la vision, des partenariats et des orientations générales.</w:t>
      </w:r>
    </w:p>
    <w:p>
      <w:pPr>
        <w:spacing w:after="100" w:before="200"/>
      </w:pPr>
      <w:r>
        <w:rPr>
          <w:b/>
          <w:bCs/>
          <w:color w:val="1F3A5F"/>
        </w:rPr>
        <w:t xml:space="preserve">Comité médical et scientifique</w:t>
      </w:r>
    </w:p>
    <w:p>
      <w:pPr>
        <w:spacing w:after="160" w:line="276"/>
        <w:jc w:val="both"/>
      </w:pPr>
      <w:r>
        <w:t xml:space="preserve">Composé de médecins africains et internationaux chargés notamment de :</w:t>
      </w:r>
    </w:p>
    <w:p>
      <w:pPr>
        <w:pStyle w:val="ListParagraph"/>
        <w:numPr>
          <w:ilvl w:val="0"/>
          <w:numId w:val="1"/>
        </w:numPr>
        <w:spacing w:after="100"/>
      </w:pPr>
      <w:r>
        <w:t xml:space="preserve">définir les standards médicaux ;</w:t>
      </w:r>
    </w:p>
    <w:p>
      <w:pPr>
        <w:pStyle w:val="ListParagraph"/>
        <w:numPr>
          <w:ilvl w:val="0"/>
          <w:numId w:val="1"/>
        </w:numPr>
        <w:spacing w:after="100"/>
      </w:pPr>
      <w:r>
        <w:t xml:space="preserve">sélectionner les spécialistes partenaires ;</w:t>
      </w:r>
    </w:p>
    <w:p>
      <w:pPr>
        <w:pStyle w:val="ListParagraph"/>
        <w:numPr>
          <w:ilvl w:val="0"/>
          <w:numId w:val="1"/>
        </w:numPr>
        <w:spacing w:after="100"/>
      </w:pPr>
      <w:r>
        <w:t xml:space="preserve">superviser les protocoles de télé-expertise ;</w:t>
      </w:r>
    </w:p>
    <w:p>
      <w:pPr>
        <w:pStyle w:val="ListParagraph"/>
        <w:numPr>
          <w:ilvl w:val="0"/>
          <w:numId w:val="1"/>
        </w:numPr>
        <w:spacing w:after="100"/>
      </w:pPr>
      <w:r>
        <w:t xml:space="preserve">assurer la qualité scientifique du programme.</w:t>
      </w:r>
    </w:p>
    <w:p>
      <w:pPr>
        <w:spacing w:after="100" w:before="200"/>
      </w:pPr>
      <w:r>
        <w:rPr>
          <w:b/>
          <w:bCs/>
          <w:color w:val="1F3A5F"/>
        </w:rPr>
        <w:t xml:space="preserve">Direction opérationnelle</w:t>
      </w:r>
    </w:p>
    <w:p>
      <w:pPr>
        <w:spacing w:after="160" w:line="276"/>
        <w:jc w:val="both"/>
      </w:pPr>
      <w:r>
        <w:t xml:space="preserve">Responsable de la gestion quotidienne du programme.</w:t>
      </w:r>
    </w:p>
    <w:p>
      <w:pPr>
        <w:spacing w:after="100" w:before="200"/>
      </w:pPr>
      <w:r>
        <w:rPr>
          <w:b/>
          <w:bCs/>
          <w:color w:val="1F3A5F"/>
        </w:rPr>
        <w:t xml:space="preserve">Direction technologique</w:t>
      </w:r>
    </w:p>
    <w:p>
      <w:pPr>
        <w:spacing w:after="160" w:line="276"/>
        <w:jc w:val="both"/>
      </w:pPr>
      <w:r>
        <w:t xml:space="preserve">Responsable de la plateforme, de la cybersécurité et de la protection des données.</w:t>
      </w:r>
    </w:p>
    <w:p>
      <w:pPr>
        <w:spacing w:after="100" w:before="200"/>
      </w:pPr>
      <w:r>
        <w:rPr>
          <w:b/>
          <w:bCs/>
          <w:color w:val="1F3A5F"/>
        </w:rPr>
        <w:t xml:space="preserve">Cellule juridique et conformité</w:t>
      </w:r>
    </w:p>
    <w:p>
      <w:pPr>
        <w:spacing w:after="160" w:line="276"/>
        <w:jc w:val="both"/>
      </w:pPr>
      <w:r>
        <w:t xml:space="preserve">Chargée notamment des questions relatives :</w:t>
      </w:r>
    </w:p>
    <w:p>
      <w:pPr>
        <w:pStyle w:val="ListParagraph"/>
        <w:numPr>
          <w:ilvl w:val="0"/>
          <w:numId w:val="1"/>
        </w:numPr>
        <w:spacing w:after="100"/>
      </w:pPr>
      <w:r>
        <w:t xml:space="preserve">à la responsabilité médicale ;</w:t>
      </w:r>
    </w:p>
    <w:p>
      <w:pPr>
        <w:pStyle w:val="ListParagraph"/>
        <w:numPr>
          <w:ilvl w:val="0"/>
          <w:numId w:val="1"/>
        </w:numPr>
        <w:spacing w:after="100"/>
      </w:pPr>
      <w:r>
        <w:t xml:space="preserve">au consentement ;</w:t>
      </w:r>
    </w:p>
    <w:p>
      <w:pPr>
        <w:pStyle w:val="ListParagraph"/>
        <w:numPr>
          <w:ilvl w:val="0"/>
          <w:numId w:val="1"/>
        </w:numPr>
        <w:spacing w:after="100"/>
      </w:pPr>
      <w:r>
        <w:t xml:space="preserve">à la confidentialité ;</w:t>
      </w:r>
    </w:p>
    <w:p>
      <w:pPr>
        <w:pStyle w:val="ListParagraph"/>
        <w:numPr>
          <w:ilvl w:val="0"/>
          <w:numId w:val="1"/>
        </w:numPr>
        <w:spacing w:after="100"/>
      </w:pPr>
      <w:r>
        <w:t xml:space="preserve">à la protection des données ;</w:t>
      </w:r>
    </w:p>
    <w:p>
      <w:pPr>
        <w:pStyle w:val="ListParagraph"/>
        <w:numPr>
          <w:ilvl w:val="0"/>
          <w:numId w:val="1"/>
        </w:numPr>
        <w:spacing w:after="100"/>
      </w:pPr>
      <w:r>
        <w:t xml:space="preserve">aux règles applicables à la télémédecine ;</w:t>
      </w:r>
    </w:p>
    <w:p>
      <w:pPr>
        <w:pStyle w:val="ListParagraph"/>
        <w:numPr>
          <w:ilvl w:val="0"/>
          <w:numId w:val="1"/>
        </w:numPr>
        <w:spacing w:after="100"/>
      </w:pPr>
      <w:r>
        <w:t xml:space="preserve">aux relations contractuelles internationales.</w:t>
      </w:r>
    </w:p>
    <w:p>
      <w:pPr>
        <w:pStyle w:val="Heading1"/>
        <w:spacing w:after="200" w:before="480"/>
      </w:pPr>
      <w:r>
        <w:t xml:space="preserve">19. Gestion des risques</w:t>
      </w:r>
    </w:p>
    <w:p>
      <w:pPr>
        <w:spacing w:after="160" w:line="276"/>
        <w:jc w:val="both"/>
      </w:pPr>
      <w:r>
        <w:t xml:space="preserve">Le projet devra accorder une attention particulière aux risques médicaux, juridiques et technologiques.</w:t>
      </w:r>
    </w:p>
    <w:p>
      <w:pPr>
        <w:spacing w:after="160" w:line="276"/>
        <w:jc w:val="both"/>
      </w:pPr>
      <w:r>
        <w:t xml:space="preserve">Les principaux risques comprennent :</w:t>
      </w:r>
    </w:p>
    <w:p>
      <w:pPr>
        <w:pStyle w:val="ListParagraph"/>
        <w:numPr>
          <w:ilvl w:val="0"/>
          <w:numId w:val="1"/>
        </w:numPr>
        <w:spacing w:after="100"/>
      </w:pPr>
      <w:r>
        <w:t xml:space="preserve">mauvaise interprétation des informations médicales ;</w:t>
      </w:r>
    </w:p>
    <w:p>
      <w:pPr>
        <w:pStyle w:val="ListParagraph"/>
        <w:numPr>
          <w:ilvl w:val="0"/>
          <w:numId w:val="1"/>
        </w:numPr>
        <w:spacing w:after="100"/>
      </w:pPr>
      <w:r>
        <w:t xml:space="preserve">dossier médical incomplet ;</w:t>
      </w:r>
    </w:p>
    <w:p>
      <w:pPr>
        <w:pStyle w:val="ListParagraph"/>
        <w:numPr>
          <w:ilvl w:val="0"/>
          <w:numId w:val="1"/>
        </w:numPr>
        <w:spacing w:after="100"/>
      </w:pPr>
      <w:r>
        <w:t xml:space="preserve">responsabilité médicale transfrontalière ;</w:t>
      </w:r>
    </w:p>
    <w:p>
      <w:pPr>
        <w:pStyle w:val="ListParagraph"/>
        <w:numPr>
          <w:ilvl w:val="0"/>
          <w:numId w:val="1"/>
        </w:numPr>
        <w:spacing w:after="100"/>
      </w:pPr>
      <w:r>
        <w:t xml:space="preserve">transmission non sécurisée de données ;</w:t>
      </w:r>
    </w:p>
    <w:p>
      <w:pPr>
        <w:pStyle w:val="ListParagraph"/>
        <w:numPr>
          <w:ilvl w:val="0"/>
          <w:numId w:val="1"/>
        </w:numPr>
        <w:spacing w:after="100"/>
      </w:pPr>
      <w:r>
        <w:t xml:space="preserve">violation de la confidentialité ;</w:t>
      </w:r>
    </w:p>
    <w:p>
      <w:pPr>
        <w:pStyle w:val="ListParagraph"/>
        <w:numPr>
          <w:ilvl w:val="0"/>
          <w:numId w:val="1"/>
        </w:numPr>
        <w:spacing w:after="100"/>
      </w:pPr>
      <w:r>
        <w:t xml:space="preserve">différences réglementaires entre pays ;</w:t>
      </w:r>
    </w:p>
    <w:p>
      <w:pPr>
        <w:pStyle w:val="ListParagraph"/>
        <w:numPr>
          <w:ilvl w:val="0"/>
          <w:numId w:val="1"/>
        </w:numPr>
        <w:spacing w:after="100"/>
      </w:pPr>
      <w:r>
        <w:t xml:space="preserve">délais excessifs de réponse ;</w:t>
      </w:r>
    </w:p>
    <w:p>
      <w:pPr>
        <w:pStyle w:val="ListParagraph"/>
        <w:numPr>
          <w:ilvl w:val="0"/>
          <w:numId w:val="1"/>
        </w:numPr>
        <w:spacing w:after="100"/>
      </w:pPr>
      <w:r>
        <w:t xml:space="preserve">sélection inadéquate d'un spécialiste ;</w:t>
      </w:r>
    </w:p>
    <w:p>
      <w:pPr>
        <w:pStyle w:val="ListParagraph"/>
        <w:numPr>
          <w:ilvl w:val="0"/>
          <w:numId w:val="1"/>
        </w:numPr>
        <w:spacing w:after="100"/>
      </w:pPr>
      <w:r>
        <w:t xml:space="preserve">mauvaise compréhension du deuxième avis par le patient.</w:t>
      </w:r>
    </w:p>
    <w:p>
      <w:pPr>
        <w:spacing w:after="160" w:line="276"/>
        <w:jc w:val="both"/>
      </w:pPr>
      <w:r>
        <w:t xml:space="preserve">Ces risques devront être traités dans un cadre de gouvernance médicale, juridique et technologique robuste.</w:t>
      </w:r>
    </w:p>
    <w:p>
      <w:pPr>
        <w:pStyle w:val="Heading1"/>
        <w:spacing w:after="200" w:before="480"/>
      </w:pPr>
      <w:r>
        <w:t xml:space="preserve">20. Phases de mise en œuvre</w:t>
      </w:r>
    </w:p>
    <w:p>
      <w:pPr>
        <w:pStyle w:val="Heading2"/>
        <w:spacing w:after="140" w:before="280"/>
      </w:pPr>
      <w:r>
        <w:t xml:space="preserve">Phase 1 – Étude et conception</w:t>
      </w:r>
    </w:p>
    <w:p>
      <w:pPr>
        <w:spacing w:after="160" w:line="276"/>
        <w:jc w:val="both"/>
      </w:pPr>
      <w:r>
        <w:rPr>
          <w:b/>
          <w:bCs/>
        </w:rPr>
        <w:t xml:space="preserve">Durée indicative : 3 à 4 mois.</w:t>
      </w:r>
    </w:p>
    <w:p>
      <w:pPr>
        <w:spacing w:after="160" w:line="276"/>
        <w:jc w:val="both"/>
      </w:pPr>
      <w:r>
        <w:t xml:space="preserve">Activités :</w:t>
      </w:r>
    </w:p>
    <w:p>
      <w:pPr>
        <w:pStyle w:val="ListParagraph"/>
        <w:numPr>
          <w:ilvl w:val="0"/>
          <w:numId w:val="1"/>
        </w:numPr>
        <w:spacing w:after="100"/>
      </w:pPr>
      <w:r>
        <w:t xml:space="preserve">étude de marché ;</w:t>
      </w:r>
    </w:p>
    <w:p>
      <w:pPr>
        <w:pStyle w:val="ListParagraph"/>
        <w:numPr>
          <w:ilvl w:val="0"/>
          <w:numId w:val="1"/>
        </w:numPr>
        <w:spacing w:after="100"/>
      </w:pPr>
      <w:r>
        <w:t xml:space="preserve">analyse de la demande ;</w:t>
      </w:r>
    </w:p>
    <w:p>
      <w:pPr>
        <w:pStyle w:val="ListParagraph"/>
        <w:numPr>
          <w:ilvl w:val="0"/>
          <w:numId w:val="1"/>
        </w:numPr>
        <w:spacing w:after="100"/>
      </w:pPr>
      <w:r>
        <w:t xml:space="preserve">analyse réglementaire ;</w:t>
      </w:r>
    </w:p>
    <w:p>
      <w:pPr>
        <w:pStyle w:val="ListParagraph"/>
        <w:numPr>
          <w:ilvl w:val="0"/>
          <w:numId w:val="1"/>
        </w:numPr>
        <w:spacing w:after="100"/>
      </w:pPr>
      <w:r>
        <w:t xml:space="preserve">étude du modèle économique ;</w:t>
      </w:r>
    </w:p>
    <w:p>
      <w:pPr>
        <w:pStyle w:val="ListParagraph"/>
        <w:numPr>
          <w:ilvl w:val="0"/>
          <w:numId w:val="1"/>
        </w:numPr>
        <w:spacing w:after="100"/>
      </w:pPr>
      <w:r>
        <w:t xml:space="preserve">identification des spécialités prioritaires ;</w:t>
      </w:r>
    </w:p>
    <w:p>
      <w:pPr>
        <w:pStyle w:val="ListParagraph"/>
        <w:numPr>
          <w:ilvl w:val="0"/>
          <w:numId w:val="1"/>
        </w:numPr>
        <w:spacing w:after="100"/>
      </w:pPr>
      <w:r>
        <w:t xml:space="preserve">identification des partenaires européens ;</w:t>
      </w:r>
    </w:p>
    <w:p>
      <w:pPr>
        <w:pStyle w:val="ListParagraph"/>
        <w:numPr>
          <w:ilvl w:val="0"/>
          <w:numId w:val="1"/>
        </w:numPr>
        <w:spacing w:after="100"/>
      </w:pPr>
      <w:r>
        <w:t xml:space="preserve">conception du parcours patient ;</w:t>
      </w:r>
    </w:p>
    <w:p>
      <w:pPr>
        <w:pStyle w:val="ListParagraph"/>
        <w:numPr>
          <w:ilvl w:val="0"/>
          <w:numId w:val="1"/>
        </w:numPr>
        <w:spacing w:after="100"/>
      </w:pPr>
      <w:r>
        <w:t xml:space="preserve">définition des spécifications technologiques ;</w:t>
      </w:r>
    </w:p>
    <w:p>
      <w:pPr>
        <w:pStyle w:val="ListParagraph"/>
        <w:numPr>
          <w:ilvl w:val="0"/>
          <w:numId w:val="1"/>
        </w:numPr>
        <w:spacing w:after="100"/>
      </w:pPr>
      <w:r>
        <w:t xml:space="preserve">élaboration du business plan.</w:t>
      </w:r>
    </w:p>
    <w:p>
      <w:pPr>
        <w:pStyle w:val="Heading2"/>
        <w:spacing w:after="140" w:before="280"/>
      </w:pPr>
      <w:r>
        <w:t xml:space="preserve">Phase 2 – Projet pilote au Cameroun</w:t>
      </w:r>
    </w:p>
    <w:p>
      <w:pPr>
        <w:spacing w:after="160" w:line="276"/>
        <w:jc w:val="both"/>
      </w:pPr>
      <w:r>
        <w:rPr>
          <w:b/>
          <w:bCs/>
        </w:rPr>
        <w:t xml:space="preserve">Durée indicative : 6 à 12 mois.</w:t>
      </w:r>
    </w:p>
    <w:p>
      <w:pPr>
        <w:spacing w:after="160" w:line="276"/>
        <w:jc w:val="both"/>
      </w:pPr>
      <w:r>
        <w:t xml:space="preserve">Le pilote pourrait être limité à quelques spécialités et quelques partenaires internationaux.</w:t>
      </w:r>
    </w:p>
    <w:p>
      <w:pPr>
        <w:spacing w:after="160" w:line="276"/>
        <w:jc w:val="both"/>
      </w:pPr>
      <w:r>
        <w:t xml:space="preserve">L'objectif serait de tester :</w:t>
      </w:r>
    </w:p>
    <w:p>
      <w:pPr>
        <w:pStyle w:val="ListParagraph"/>
        <w:numPr>
          <w:ilvl w:val="0"/>
          <w:numId w:val="1"/>
        </w:numPr>
        <w:spacing w:after="100"/>
      </w:pPr>
      <w:r>
        <w:t xml:space="preserve">le parcours patient ;</w:t>
      </w:r>
    </w:p>
    <w:p>
      <w:pPr>
        <w:pStyle w:val="ListParagraph"/>
        <w:numPr>
          <w:ilvl w:val="0"/>
          <w:numId w:val="1"/>
        </w:numPr>
        <w:spacing w:after="100"/>
      </w:pPr>
      <w:r>
        <w:t xml:space="preserve">la plateforme ;</w:t>
      </w:r>
    </w:p>
    <w:p>
      <w:pPr>
        <w:pStyle w:val="ListParagraph"/>
        <w:numPr>
          <w:ilvl w:val="0"/>
          <w:numId w:val="1"/>
        </w:numPr>
        <w:spacing w:after="100"/>
      </w:pPr>
      <w:r>
        <w:t xml:space="preserve">les délais ;</w:t>
      </w:r>
    </w:p>
    <w:p>
      <w:pPr>
        <w:pStyle w:val="ListParagraph"/>
        <w:numPr>
          <w:ilvl w:val="0"/>
          <w:numId w:val="1"/>
        </w:numPr>
        <w:spacing w:after="100"/>
      </w:pPr>
      <w:r>
        <w:t xml:space="preserve">la qualité des avis ;</w:t>
      </w:r>
    </w:p>
    <w:p>
      <w:pPr>
        <w:pStyle w:val="ListParagraph"/>
        <w:numPr>
          <w:ilvl w:val="0"/>
          <w:numId w:val="1"/>
        </w:numPr>
        <w:spacing w:after="100"/>
      </w:pPr>
      <w:r>
        <w:t xml:space="preserve">le modèle économique ;</w:t>
      </w:r>
    </w:p>
    <w:p>
      <w:pPr>
        <w:pStyle w:val="ListParagraph"/>
        <w:numPr>
          <w:ilvl w:val="0"/>
          <w:numId w:val="1"/>
        </w:numPr>
        <w:spacing w:after="100"/>
      </w:pPr>
      <w:r>
        <w:t xml:space="preserve">la satisfaction des patients et médecins.</w:t>
      </w:r>
    </w:p>
    <w:p>
      <w:pPr>
        <w:pStyle w:val="Heading2"/>
        <w:spacing w:after="140" w:before="280"/>
      </w:pPr>
      <w:r>
        <w:t xml:space="preserve">Phase 3 – Extension nationale</w:t>
      </w:r>
    </w:p>
    <w:p>
      <w:pPr>
        <w:spacing w:after="160" w:line="276"/>
        <w:jc w:val="both"/>
      </w:pPr>
      <w:r>
        <w:t xml:space="preserve">Extension progressive à plusieurs établissements et régions du Cameroun.</w:t>
      </w:r>
    </w:p>
    <w:p>
      <w:pPr>
        <w:pStyle w:val="Heading2"/>
        <w:spacing w:after="140" w:before="280"/>
      </w:pPr>
      <w:r>
        <w:t xml:space="preserve">Phase 4 – Extension africaine</w:t>
      </w:r>
    </w:p>
    <w:p>
      <w:pPr>
        <w:spacing w:after="160" w:line="276"/>
        <w:jc w:val="both"/>
      </w:pPr>
      <w:r>
        <w:t xml:space="preserve">Déploiement progressif dans d'autres pays africains.</w:t>
      </w:r>
    </w:p>
    <w:p>
      <w:pPr>
        <w:pStyle w:val="Heading1"/>
        <w:spacing w:after="200" w:before="480"/>
      </w:pPr>
      <w:r>
        <w:t xml:space="preserve">21. Besoins de financement</w:t>
      </w:r>
    </w:p>
    <w:p>
      <w:pPr>
        <w:spacing w:after="160" w:line="276"/>
        <w:jc w:val="both"/>
      </w:pPr>
      <w:r>
        <w:t xml:space="preserve">Le financement initial pourrait être consacré notamment à :</w:t>
      </w:r>
    </w:p>
    <w:p>
      <w:pPr>
        <w:pStyle w:val="ListParagraph"/>
        <w:numPr>
          <w:ilvl w:val="0"/>
          <w:numId w:val="1"/>
        </w:numPr>
        <w:spacing w:after="100"/>
      </w:pPr>
      <w:r>
        <w:t xml:space="preserve">l'étude de faisabilité ;</w:t>
      </w:r>
    </w:p>
    <w:p>
      <w:pPr>
        <w:pStyle w:val="ListParagraph"/>
        <w:numPr>
          <w:ilvl w:val="0"/>
          <w:numId w:val="1"/>
        </w:numPr>
        <w:spacing w:after="100"/>
      </w:pPr>
      <w:r>
        <w:t xml:space="preserve">les études juridiques et réglementaires ;</w:t>
      </w:r>
    </w:p>
    <w:p>
      <w:pPr>
        <w:pStyle w:val="ListParagraph"/>
        <w:numPr>
          <w:ilvl w:val="0"/>
          <w:numId w:val="1"/>
        </w:numPr>
        <w:spacing w:after="100"/>
      </w:pPr>
      <w:r>
        <w:t xml:space="preserve">la conception de la plateforme ;</w:t>
      </w:r>
    </w:p>
    <w:p>
      <w:pPr>
        <w:pStyle w:val="ListParagraph"/>
        <w:numPr>
          <w:ilvl w:val="0"/>
          <w:numId w:val="1"/>
        </w:numPr>
        <w:spacing w:after="100"/>
      </w:pPr>
      <w:r>
        <w:t xml:space="preserve">la cybersécurité ;</w:t>
      </w:r>
    </w:p>
    <w:p>
      <w:pPr>
        <w:pStyle w:val="ListParagraph"/>
        <w:numPr>
          <w:ilvl w:val="0"/>
          <w:numId w:val="1"/>
        </w:numPr>
        <w:spacing w:after="100"/>
      </w:pPr>
      <w:r>
        <w:t xml:space="preserve">le recrutement de l'équipe ;</w:t>
      </w:r>
    </w:p>
    <w:p>
      <w:pPr>
        <w:pStyle w:val="ListParagraph"/>
        <w:numPr>
          <w:ilvl w:val="0"/>
          <w:numId w:val="1"/>
        </w:numPr>
        <w:spacing w:after="100"/>
      </w:pPr>
      <w:r>
        <w:t xml:space="preserve">la constitution du réseau médical international ;</w:t>
      </w:r>
    </w:p>
    <w:p>
      <w:pPr>
        <w:pStyle w:val="ListParagraph"/>
        <w:numPr>
          <w:ilvl w:val="0"/>
          <w:numId w:val="1"/>
        </w:numPr>
        <w:spacing w:after="100"/>
      </w:pPr>
      <w:r>
        <w:t xml:space="preserve">le marketing et la sensibilisation ;</w:t>
      </w:r>
    </w:p>
    <w:p>
      <w:pPr>
        <w:pStyle w:val="ListParagraph"/>
        <w:numPr>
          <w:ilvl w:val="0"/>
          <w:numId w:val="1"/>
        </w:numPr>
        <w:spacing w:after="100"/>
      </w:pPr>
      <w:r>
        <w:t xml:space="preserve">le développement des partenariats ;</w:t>
      </w:r>
    </w:p>
    <w:p>
      <w:pPr>
        <w:pStyle w:val="ListParagraph"/>
        <w:numPr>
          <w:ilvl w:val="0"/>
          <w:numId w:val="1"/>
        </w:numPr>
        <w:spacing w:after="100"/>
      </w:pPr>
      <w:r>
        <w:t xml:space="preserve">la phase pilote ;</w:t>
      </w:r>
    </w:p>
    <w:p>
      <w:pPr>
        <w:pStyle w:val="ListParagraph"/>
        <w:numPr>
          <w:ilvl w:val="0"/>
          <w:numId w:val="1"/>
        </w:numPr>
        <w:spacing w:after="100"/>
      </w:pPr>
      <w:r>
        <w:t xml:space="preserve">la création du mécanisme d'accès social.</w:t>
      </w:r>
    </w:p>
    <w:p>
      <w:pPr>
        <w:spacing w:after="160" w:line="276"/>
        <w:jc w:val="both"/>
      </w:pPr>
      <w:r>
        <w:t xml:space="preserve">Le montant définitif devra être déterminé après réalisation de l'étude de faisabilité et du business plan.</w:t>
      </w:r>
    </w:p>
    <w:p>
      <w:pPr>
        <w:pStyle w:val="Heading1"/>
        <w:spacing w:after="200" w:before="480"/>
      </w:pPr>
      <w:r>
        <w:t xml:space="preserve">22. Partenaires techniques et financiers potentiels</w:t>
      </w:r>
    </w:p>
    <w:p>
      <w:pPr>
        <w:spacing w:after="160" w:line="276"/>
        <w:jc w:val="both"/>
      </w:pPr>
      <w:r>
        <w:t xml:space="preserve">Le projet pourrait intéresser plusieurs catégories de partenaires :</w:t>
      </w:r>
    </w:p>
    <w:p>
      <w:pPr>
        <w:spacing w:after="100" w:before="200"/>
      </w:pPr>
      <w:r>
        <w:rPr>
          <w:b/>
          <w:bCs/>
          <w:color w:val="1F3A5F"/>
        </w:rPr>
        <w:t xml:space="preserve">Partenaires institutionnels</w:t>
      </w:r>
    </w:p>
    <w:p>
      <w:pPr>
        <w:pStyle w:val="ListParagraph"/>
        <w:numPr>
          <w:ilvl w:val="0"/>
          <w:numId w:val="1"/>
        </w:numPr>
        <w:spacing w:after="100"/>
      </w:pPr>
      <w:r>
        <w:t xml:space="preserve">Ministères de la Santé ;</w:t>
      </w:r>
    </w:p>
    <w:p>
      <w:pPr>
        <w:pStyle w:val="ListParagraph"/>
        <w:numPr>
          <w:ilvl w:val="0"/>
          <w:numId w:val="1"/>
        </w:numPr>
        <w:spacing w:after="100"/>
      </w:pPr>
      <w:r>
        <w:t xml:space="preserve">organismes publics de santé ;</w:t>
      </w:r>
    </w:p>
    <w:p>
      <w:pPr>
        <w:pStyle w:val="ListParagraph"/>
        <w:numPr>
          <w:ilvl w:val="0"/>
          <w:numId w:val="1"/>
        </w:numPr>
        <w:spacing w:after="100"/>
      </w:pPr>
      <w:r>
        <w:t xml:space="preserve">institutions de coopération internationale ;</w:t>
      </w:r>
    </w:p>
    <w:p>
      <w:pPr>
        <w:pStyle w:val="ListParagraph"/>
        <w:numPr>
          <w:ilvl w:val="0"/>
          <w:numId w:val="1"/>
        </w:numPr>
        <w:spacing w:after="100"/>
      </w:pPr>
      <w:r>
        <w:t xml:space="preserve">organisations régionales africaines.</w:t>
      </w:r>
    </w:p>
    <w:p>
      <w:pPr>
        <w:spacing w:after="100" w:before="200"/>
      </w:pPr>
      <w:r>
        <w:rPr>
          <w:b/>
          <w:bCs/>
          <w:color w:val="1F3A5F"/>
        </w:rPr>
        <w:t xml:space="preserve">Partenaires techniques</w:t>
      </w:r>
    </w:p>
    <w:p>
      <w:pPr>
        <w:pStyle w:val="ListParagraph"/>
        <w:numPr>
          <w:ilvl w:val="0"/>
          <w:numId w:val="1"/>
        </w:numPr>
        <w:spacing w:after="100"/>
      </w:pPr>
      <w:r>
        <w:t xml:space="preserve">hôpitaux européens ;</w:t>
      </w:r>
    </w:p>
    <w:p>
      <w:pPr>
        <w:pStyle w:val="ListParagraph"/>
        <w:numPr>
          <w:ilvl w:val="0"/>
          <w:numId w:val="1"/>
        </w:numPr>
        <w:spacing w:after="100"/>
      </w:pPr>
      <w:r>
        <w:t xml:space="preserve">universités médicales ;</w:t>
      </w:r>
    </w:p>
    <w:p>
      <w:pPr>
        <w:pStyle w:val="ListParagraph"/>
        <w:numPr>
          <w:ilvl w:val="0"/>
          <w:numId w:val="1"/>
        </w:numPr>
        <w:spacing w:after="100"/>
      </w:pPr>
      <w:r>
        <w:t xml:space="preserve">centres de recherche ;</w:t>
      </w:r>
    </w:p>
    <w:p>
      <w:pPr>
        <w:pStyle w:val="ListParagraph"/>
        <w:numPr>
          <w:ilvl w:val="0"/>
          <w:numId w:val="1"/>
        </w:numPr>
        <w:spacing w:after="100"/>
      </w:pPr>
      <w:r>
        <w:t xml:space="preserve">sociétés de technologies médicales ;</w:t>
      </w:r>
    </w:p>
    <w:p>
      <w:pPr>
        <w:pStyle w:val="ListParagraph"/>
        <w:numPr>
          <w:ilvl w:val="0"/>
          <w:numId w:val="1"/>
        </w:numPr>
        <w:spacing w:after="100"/>
      </w:pPr>
      <w:r>
        <w:t xml:space="preserve">entreprises de cybersécurité ;</w:t>
      </w:r>
    </w:p>
    <w:p>
      <w:pPr>
        <w:pStyle w:val="ListParagraph"/>
        <w:numPr>
          <w:ilvl w:val="0"/>
          <w:numId w:val="1"/>
        </w:numPr>
        <w:spacing w:after="100"/>
      </w:pPr>
      <w:r>
        <w:t xml:space="preserve">plateformes de santé numérique.</w:t>
      </w:r>
    </w:p>
    <w:p>
      <w:pPr>
        <w:spacing w:after="100" w:before="200"/>
      </w:pPr>
      <w:r>
        <w:rPr>
          <w:b/>
          <w:bCs/>
          <w:color w:val="1F3A5F"/>
        </w:rPr>
        <w:t xml:space="preserve">Partenaires financiers</w:t>
      </w:r>
    </w:p>
    <w:p>
      <w:pPr>
        <w:pStyle w:val="ListParagraph"/>
        <w:numPr>
          <w:ilvl w:val="0"/>
          <w:numId w:val="1"/>
        </w:numPr>
        <w:spacing w:after="100"/>
      </w:pPr>
      <w:r>
        <w:t xml:space="preserve">banques ;</w:t>
      </w:r>
    </w:p>
    <w:p>
      <w:pPr>
        <w:pStyle w:val="ListParagraph"/>
        <w:numPr>
          <w:ilvl w:val="0"/>
          <w:numId w:val="1"/>
        </w:numPr>
        <w:spacing w:after="100"/>
      </w:pPr>
      <w:r>
        <w:t xml:space="preserve">fonds d'investissement spécialisés dans la santé ;</w:t>
      </w:r>
    </w:p>
    <w:p>
      <w:pPr>
        <w:pStyle w:val="ListParagraph"/>
        <w:numPr>
          <w:ilvl w:val="0"/>
          <w:numId w:val="1"/>
        </w:numPr>
        <w:spacing w:after="100"/>
      </w:pPr>
      <w:r>
        <w:t xml:space="preserve">fonds d'impact ;</w:t>
      </w:r>
    </w:p>
    <w:p>
      <w:pPr>
        <w:pStyle w:val="ListParagraph"/>
        <w:numPr>
          <w:ilvl w:val="0"/>
          <w:numId w:val="1"/>
        </w:numPr>
        <w:spacing w:after="100"/>
      </w:pPr>
      <w:r>
        <w:t xml:space="preserve">fondations ;</w:t>
      </w:r>
    </w:p>
    <w:p>
      <w:pPr>
        <w:pStyle w:val="ListParagraph"/>
        <w:numPr>
          <w:ilvl w:val="0"/>
          <w:numId w:val="1"/>
        </w:numPr>
        <w:spacing w:after="100"/>
      </w:pPr>
      <w:r>
        <w:t xml:space="preserve">bailleurs de fonds internationaux ;</w:t>
      </w:r>
    </w:p>
    <w:p>
      <w:pPr>
        <w:pStyle w:val="ListParagraph"/>
        <w:numPr>
          <w:ilvl w:val="0"/>
          <w:numId w:val="1"/>
        </w:numPr>
        <w:spacing w:after="100"/>
      </w:pPr>
      <w:r>
        <w:t xml:space="preserve">programmes de financement de la transformation numérique ;</w:t>
      </w:r>
    </w:p>
    <w:p>
      <w:pPr>
        <w:pStyle w:val="ListParagraph"/>
        <w:numPr>
          <w:ilvl w:val="0"/>
          <w:numId w:val="1"/>
        </w:numPr>
        <w:spacing w:after="100"/>
      </w:pPr>
      <w:r>
        <w:t xml:space="preserve">programmes de développement de la santé.</w:t>
      </w:r>
    </w:p>
    <w:p>
      <w:pPr>
        <w:pStyle w:val="Heading1"/>
        <w:spacing w:after="200" w:before="480"/>
      </w:pPr>
      <w:r>
        <w:t xml:space="preserve">23. Valeur ajoutée du projet</w:t>
      </w:r>
    </w:p>
    <w:p>
      <w:pPr>
        <w:spacing w:after="160" w:line="276"/>
        <w:jc w:val="both"/>
      </w:pPr>
      <w:r>
        <w:t xml:space="preserve">Le projet présente une proposition de valeur reposant sur cinq piliers :</w:t>
      </w:r>
    </w:p>
    <w:p>
      <w:pPr>
        <w:spacing w:after="100" w:before="200"/>
      </w:pPr>
      <w:r>
        <w:rPr>
          <w:b/>
          <w:bCs/>
          <w:color w:val="1F3A5F"/>
        </w:rPr>
        <w:t xml:space="preserve">1. Accessibilité</w:t>
      </w:r>
    </w:p>
    <w:p>
      <w:pPr>
        <w:spacing w:after="160" w:line="276"/>
        <w:jc w:val="both"/>
      </w:pPr>
      <w:r>
        <w:t xml:space="preserve">Permettre à un patient africain d'accéder à une expertise internationale sans devoir nécessairement voyager.</w:t>
      </w:r>
    </w:p>
    <w:p>
      <w:pPr>
        <w:spacing w:after="100" w:before="200"/>
      </w:pPr>
      <w:r>
        <w:rPr>
          <w:b/>
          <w:bCs/>
          <w:color w:val="1F3A5F"/>
        </w:rPr>
        <w:t xml:space="preserve">2. Rapidité</w:t>
      </w:r>
    </w:p>
    <w:p>
      <w:pPr>
        <w:spacing w:after="160" w:line="276"/>
        <w:jc w:val="both"/>
      </w:pPr>
      <w:r>
        <w:t xml:space="preserve">Réduire le délai nécessaire pour obtenir une expertise spécialisée.</w:t>
      </w:r>
    </w:p>
    <w:p>
      <w:pPr>
        <w:spacing w:after="100" w:before="200"/>
      </w:pPr>
      <w:r>
        <w:rPr>
          <w:b/>
          <w:bCs/>
          <w:color w:val="1F3A5F"/>
        </w:rPr>
        <w:t xml:space="preserve">3. Qualité</w:t>
      </w:r>
    </w:p>
    <w:p>
      <w:pPr>
        <w:spacing w:after="160" w:line="276"/>
        <w:jc w:val="both"/>
      </w:pPr>
      <w:r>
        <w:t xml:space="preserve">Mettre en relation les patients avec des spécialistes et centres de référence sélectionnés.</w:t>
      </w:r>
    </w:p>
    <w:p>
      <w:pPr>
        <w:spacing w:after="100" w:before="200"/>
      </w:pPr>
      <w:r>
        <w:rPr>
          <w:b/>
          <w:bCs/>
          <w:color w:val="1F3A5F"/>
        </w:rPr>
        <w:t xml:space="preserve">4. Sécurité</w:t>
      </w:r>
    </w:p>
    <w:p>
      <w:pPr>
        <w:spacing w:after="160" w:line="276"/>
        <w:jc w:val="both"/>
      </w:pPr>
      <w:r>
        <w:t xml:space="preserve">Garantir la confidentialité et la sécurisation des données médicales.</w:t>
      </w:r>
    </w:p>
    <w:p>
      <w:pPr>
        <w:spacing w:after="100" w:before="200"/>
      </w:pPr>
      <w:r>
        <w:rPr>
          <w:b/>
          <w:bCs/>
          <w:color w:val="1F3A5F"/>
        </w:rPr>
        <w:t xml:space="preserve">5. Inclusion</w:t>
      </w:r>
    </w:p>
    <w:p>
      <w:pPr>
        <w:spacing w:after="160" w:line="276"/>
        <w:jc w:val="both"/>
      </w:pPr>
      <w:r>
        <w:t xml:space="preserve">Créer un mécanisme permettant également aux patients à faibles revenus d'accéder à cette expertise.</w:t>
      </w:r>
    </w:p>
    <w:p>
      <w:pPr>
        <w:pStyle w:val="Heading1"/>
        <w:spacing w:after="200" w:before="480"/>
      </w:pPr>
      <w:r>
        <w:t xml:space="preserve">24. Résultat ultime recherché</w:t>
      </w:r>
    </w:p>
    <w:p>
      <w:pPr>
        <w:spacing w:after="160" w:line="276"/>
        <w:jc w:val="both"/>
      </w:pPr>
      <w:r>
        <w:t xml:space="preserve">Le résultat ultime recherché est de contribuer à créer un système dans lequel :</w:t>
      </w:r>
    </w:p>
    <w:p>
      <w:pPr>
        <w:pBdr>
          <w:left w:val="single" w:color="B08D57" w:sz="18" w:space="12"/>
        </w:pBdr>
        <w:spacing w:after="200" w:before="120" w:line="276"/>
        <w:ind w:left="720" w:right="720"/>
        <w:jc w:val="both"/>
      </w:pPr>
      <w:r>
        <w:rPr>
          <w:i/>
          <w:iCs/>
          <w:color w:val="1F3A5F"/>
        </w:rPr>
        <w:t xml:space="preserve">« Un patient au Cameroun ou ailleurs en Afrique ne soit plus obligé de voyager à l'étranger simplement pour obtenir un deuxième avis médical spécialisé lorsque cet avis peut être obtenu à distance. »</w:t>
      </w:r>
    </w:p>
    <w:p>
      <w:pPr>
        <w:spacing w:after="160" w:line="276"/>
        <w:jc w:val="both"/>
      </w:pPr>
      <w:r>
        <w:t xml:space="preserve">Lorsque le déplacement physique est effectivement nécessaire, le programme pourra alors jouer un rôle complémentaire d'orientation vers le centre médical approprié.</w:t>
      </w:r>
    </w:p>
    <w:p>
      <w:pPr>
        <w:pStyle w:val="Heading1"/>
        <w:spacing w:after="200" w:before="480"/>
      </w:pPr>
      <w:r>
        <w:t xml:space="preserve">25. Conclusion</w:t>
      </w:r>
    </w:p>
    <w:p>
      <w:pPr>
        <w:spacing w:after="160" w:line="276"/>
        <w:jc w:val="both"/>
      </w:pPr>
      <w:r>
        <w:t xml:space="preserve">La plateforme International Medical Second Opinion Platform (IMSOP) ambitionne de créer un véritable pont entre les systèmes de santé africains et l'expertise médicale internationale.</w:t>
      </w:r>
    </w:p>
    <w:p>
      <w:pPr>
        <w:spacing w:after="160" w:line="276"/>
        <w:jc w:val="both"/>
      </w:pPr>
      <w:r>
        <w:t xml:space="preserve">Il ne s'agit pas de substituer l'expertise étrangère à l'expertise africaine, mais de mettre en place un mécanisme de coopération permettant, lorsque la situation médicale le justifie, de confronter les analyses, de mobiliser des compétences spécialisées et d'améliorer la sécurité des décisions thérapeutiques.</w:t>
      </w:r>
    </w:p>
    <w:p>
      <w:pPr>
        <w:spacing w:after="160" w:line="276"/>
        <w:jc w:val="both"/>
      </w:pPr>
      <w:r>
        <w:t xml:space="preserve">Le projet associe ainsi trois dimensions complémentaires :</w:t>
      </w:r>
    </w:p>
    <w:p>
      <w:pPr>
        <w:pBdr>
          <w:left w:val="single" w:color="B08D57" w:sz="18" w:space="12"/>
        </w:pBdr>
        <w:spacing w:after="200" w:before="120" w:line="276"/>
        <w:ind w:left="720" w:right="720"/>
        <w:jc w:val="both"/>
      </w:pPr>
      <w:r>
        <w:rPr>
          <w:i/>
          <w:iCs/>
          <w:color w:val="1F3A5F"/>
        </w:rPr>
        <w:t xml:space="preserve">SANTÉ – TECHNOLOGIE – COOPÉRATION INTERNATIONALE</w:t>
      </w:r>
    </w:p>
    <w:p>
      <w:pPr>
        <w:spacing w:after="160" w:line="276"/>
        <w:jc w:val="both"/>
      </w:pPr>
      <w:r>
        <w:t xml:space="preserve">À terme, le programme pourrait devenir une infrastructure régionale de santé numérique permettant à des millions de patients africains d'accéder à une expertise médicale spécialisée internationale, tout en contribuant au renforcement des capacités des professionnels de santé africains.</w:t>
      </w:r>
    </w:p>
    <w:p>
      <w:pPr>
        <w:spacing w:after="160" w:line="276"/>
        <w:jc w:val="both"/>
      </w:pPr>
      <w:r>
        <w:t xml:space="preserve">Le projet est donc susceptible de présenter à la fois une forte valeur médicale, sociale, institutionnelle et technologique pour ses partenaires techniques et financiers.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International Medical Second Opinion Platform (IMSOP)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200" w:before="480"/>
    </w:pPr>
    <w:rPr>
      <w:rFonts w:ascii="Calibri" w:cs="Calibri" w:eastAsia="Calibri" w:hAnsi="Calibri"/>
      <w:b/>
      <w:bCs/>
      <w:color w:val="1F3A5F"/>
      <w:sz w:val="30"/>
      <w:szCs w:val="30"/>
    </w:rPr>
  </w:style>
  <w:style w:type="paragraph" w:styleId="Heading2">
    <w:name w:val="Heading 2"/>
    <w:basedOn w:val="Normal"/>
    <w:next w:val="Normal"/>
    <w:qFormat/>
    <w:pPr>
      <w:spacing w:after="140" w:before="280"/>
    </w:pPr>
    <w:rPr>
      <w:rFonts w:ascii="Calibri" w:cs="Calibri" w:eastAsia="Calibri" w:hAnsi="Calibri"/>
      <w:b/>
      <w:bCs/>
      <w:color w:val="B08D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2026-08-18T12:27:43.327Z</dcterms:created>
  <dcterms:modified xsi:type="dcterms:W3CDTF">2026-08-18T12:27:43.341Z</dcterms:modified>
</cp:coreProperties>
</file>

<file path=docProps/custom.xml><?xml version="1.0" encoding="utf-8"?>
<Properties xmlns="http://schemas.openxmlformats.org/officeDocument/2006/custom-properties" xmlns:vt="http://schemas.openxmlformats.org/officeDocument/2006/docPropsVTypes"/>
</file>