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ED4C" w14:textId="77777777" w:rsidR="00FF0B4E" w:rsidRPr="00FF0B4E" w:rsidRDefault="00FF0B4E" w:rsidP="00FF0B4E">
      <w:r w:rsidRPr="00FF0B4E">
        <w:t>That's your reference architecture. To rebuild it in Miro:</w:t>
      </w:r>
    </w:p>
    <w:p w14:paraId="77F64117" w14:textId="77777777" w:rsidR="00FF0B4E" w:rsidRPr="00FF0B4E" w:rsidRDefault="00FF0B4E" w:rsidP="00FF0B4E">
      <w:pPr>
        <w:numPr>
          <w:ilvl w:val="0"/>
          <w:numId w:val="1"/>
        </w:numPr>
      </w:pPr>
      <w:r w:rsidRPr="00FF0B4E">
        <w:rPr>
          <w:b/>
          <w:bCs/>
        </w:rPr>
        <w:t>Four horizontal swim-lanes</w:t>
      </w:r>
      <w:r w:rsidRPr="00FF0B4E">
        <w:t xml:space="preserve"> (top to bottom): Source → ETL pipeline → Storage (Databricks) → Analysis &amp; presentation</w:t>
      </w:r>
    </w:p>
    <w:p w14:paraId="3D2C104F" w14:textId="77777777" w:rsidR="00FF0B4E" w:rsidRPr="00FF0B4E" w:rsidRDefault="00FF0B4E" w:rsidP="00FF0B4E">
      <w:pPr>
        <w:numPr>
          <w:ilvl w:val="0"/>
          <w:numId w:val="1"/>
        </w:numPr>
      </w:pPr>
      <w:r w:rsidRPr="00FF0B4E">
        <w:t xml:space="preserve">Use </w:t>
      </w:r>
      <w:r w:rsidRPr="00FF0B4E">
        <w:rPr>
          <w:b/>
          <w:bCs/>
        </w:rPr>
        <w:t>frames</w:t>
      </w:r>
      <w:r w:rsidRPr="00FF0B4E">
        <w:t xml:space="preserve"> for the ETL and Storage lanes, each containing three sticky notes/boxes side by side (Ingest/Clean/Transform, and Bronze/Silver/Gold)</w:t>
      </w:r>
    </w:p>
    <w:p w14:paraId="5E7A7167" w14:textId="77777777" w:rsidR="00FF0B4E" w:rsidRPr="00FF0B4E" w:rsidRDefault="00FF0B4E" w:rsidP="00FF0B4E">
      <w:pPr>
        <w:numPr>
          <w:ilvl w:val="0"/>
          <w:numId w:val="1"/>
        </w:numPr>
      </w:pPr>
      <w:r w:rsidRPr="00FF0B4E">
        <w:t xml:space="preserve">Connect lanes with </w:t>
      </w:r>
      <w:r w:rsidRPr="00FF0B4E">
        <w:rPr>
          <w:b/>
          <w:bCs/>
        </w:rPr>
        <w:t>straight arrows</w:t>
      </w:r>
      <w:r w:rsidRPr="00FF0B4E">
        <w:t xml:space="preserve"> flowing top to bottom</w:t>
      </w:r>
    </w:p>
    <w:p w14:paraId="1A5D59EE" w14:textId="77777777" w:rsidR="00FF0B4E" w:rsidRPr="00FF0B4E" w:rsidRDefault="00FF0B4E" w:rsidP="00FF0B4E">
      <w:pPr>
        <w:numPr>
          <w:ilvl w:val="0"/>
          <w:numId w:val="1"/>
        </w:numPr>
      </w:pPr>
      <w:r w:rsidRPr="00FF0B4E">
        <w:t xml:space="preserve">Add a short label under each box — this diagram intentionally keeps labels terse; put the fuller explanation (e.g. "compute </w:t>
      </w:r>
      <w:proofErr w:type="spellStart"/>
      <w:r w:rsidRPr="00FF0B4E">
        <w:t>total_amount</w:t>
      </w:r>
      <w:proofErr w:type="spellEnd"/>
      <w:r w:rsidRPr="00FF0B4E">
        <w:t xml:space="preserve"> = </w:t>
      </w:r>
      <w:proofErr w:type="spellStart"/>
      <w:r w:rsidRPr="00FF0B4E">
        <w:t>unit_price</w:t>
      </w:r>
      <w:proofErr w:type="spellEnd"/>
      <w:r w:rsidRPr="00FF0B4E">
        <w:t xml:space="preserve"> * </w:t>
      </w:r>
      <w:proofErr w:type="spellStart"/>
      <w:r w:rsidRPr="00FF0B4E">
        <w:t>transaction_qty</w:t>
      </w:r>
      <w:proofErr w:type="spellEnd"/>
      <w:r w:rsidRPr="00FF0B4E">
        <w:t>") in a Miro sticky note or comment attached to the relevant box, so the board stays clean and the detail lives one click away</w:t>
      </w:r>
    </w:p>
    <w:p w14:paraId="0A4FCD51" w14:textId="77777777" w:rsidR="00FF0B4E" w:rsidRPr="00FF0B4E" w:rsidRDefault="00FF0B4E" w:rsidP="00FF0B4E">
      <w:r w:rsidRPr="00FF0B4E">
        <w:t>A few Miro-specific tips:</w:t>
      </w:r>
    </w:p>
    <w:p w14:paraId="32844556" w14:textId="77777777" w:rsidR="00FF0B4E" w:rsidRPr="00FF0B4E" w:rsidRDefault="00FF0B4E" w:rsidP="00FF0B4E">
      <w:pPr>
        <w:numPr>
          <w:ilvl w:val="0"/>
          <w:numId w:val="2"/>
        </w:numPr>
      </w:pPr>
      <w:r w:rsidRPr="00FF0B4E">
        <w:t xml:space="preserve">Use the </w:t>
      </w:r>
      <w:r w:rsidRPr="00FF0B4E">
        <w:rPr>
          <w:b/>
          <w:bCs/>
        </w:rPr>
        <w:t>frame</w:t>
      </w:r>
      <w:r w:rsidRPr="00FF0B4E">
        <w:t xml:space="preserve"> tool for each lane so you can label and collapse sections</w:t>
      </w:r>
    </w:p>
    <w:p w14:paraId="1764D4D4" w14:textId="77777777" w:rsidR="00FF0B4E" w:rsidRPr="00FF0B4E" w:rsidRDefault="00FF0B4E" w:rsidP="00FF0B4E">
      <w:pPr>
        <w:numPr>
          <w:ilvl w:val="0"/>
          <w:numId w:val="2"/>
        </w:numPr>
      </w:pPr>
      <w:proofErr w:type="spellStart"/>
      <w:r w:rsidRPr="00FF0B4E">
        <w:t>Color</w:t>
      </w:r>
      <w:proofErr w:type="spellEnd"/>
      <w:r w:rsidRPr="00FF0B4E">
        <w:t xml:space="preserve">-code by function: source = warm </w:t>
      </w:r>
      <w:proofErr w:type="spellStart"/>
      <w:r w:rsidRPr="00FF0B4E">
        <w:t>color</w:t>
      </w:r>
      <w:proofErr w:type="spellEnd"/>
      <w:r w:rsidRPr="00FF0B4E">
        <w:t xml:space="preserve">, ETL = one accent, storage = another accent, analysis = neutral </w:t>
      </w:r>
      <w:proofErr w:type="spellStart"/>
      <w:r w:rsidRPr="00FF0B4E">
        <w:t>gray</w:t>
      </w:r>
      <w:proofErr w:type="spellEnd"/>
      <w:r w:rsidRPr="00FF0B4E">
        <w:t xml:space="preserve"> — matches what's in the diagram</w:t>
      </w:r>
    </w:p>
    <w:p w14:paraId="124581AA" w14:textId="77777777" w:rsidR="00FF0B4E" w:rsidRPr="00FF0B4E" w:rsidRDefault="00FF0B4E" w:rsidP="00FF0B4E">
      <w:pPr>
        <w:numPr>
          <w:ilvl w:val="0"/>
          <w:numId w:val="2"/>
        </w:numPr>
      </w:pPr>
      <w:r w:rsidRPr="00FF0B4E">
        <w:t xml:space="preserve">Add a small legend note in the corner explaining </w:t>
      </w:r>
      <w:proofErr w:type="spellStart"/>
      <w:r w:rsidRPr="00FF0B4E">
        <w:t>color</w:t>
      </w:r>
      <w:proofErr w:type="spellEnd"/>
      <w:r w:rsidRPr="00FF0B4E">
        <w:t xml:space="preserve"> meaning if you want it to be self-explanatory for teammates</w:t>
      </w:r>
    </w:p>
    <w:p w14:paraId="0F8C1686" w14:textId="77777777" w:rsidR="00FF0B4E" w:rsidRPr="00FF0B4E" w:rsidRDefault="00FF0B4E" w:rsidP="00FF0B4E">
      <w:r w:rsidRPr="00FF0B4E">
        <w:t>If it'd help, I can also draft the actual text content for your Key Insights and Calculations sections as sticky-note-ready bullet points you can paste directly into Miro — just say the word.</w:t>
      </w:r>
    </w:p>
    <w:p w14:paraId="63012C9B" w14:textId="73A19784" w:rsidR="004C710A" w:rsidRDefault="00FF0B4E">
      <w:r w:rsidRPr="00FF0B4E">
        <w:lastRenderedPageBreak/>
        <w:drawing>
          <wp:inline distT="0" distB="0" distL="0" distR="0" wp14:anchorId="065A0F5F" wp14:editId="33AC64A3">
            <wp:extent cx="5731510" cy="3800475"/>
            <wp:effectExtent l="0" t="0" r="2540" b="9525"/>
            <wp:docPr id="126462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29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B4E">
        <w:drawing>
          <wp:inline distT="0" distB="0" distL="0" distR="0" wp14:anchorId="193E9C90" wp14:editId="6CD4441A">
            <wp:extent cx="5731510" cy="2567305"/>
            <wp:effectExtent l="0" t="0" r="2540" b="4445"/>
            <wp:docPr id="71473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33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158E3"/>
    <w:multiLevelType w:val="multilevel"/>
    <w:tmpl w:val="8A0A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542852"/>
    <w:multiLevelType w:val="multilevel"/>
    <w:tmpl w:val="FA1EE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2672088">
    <w:abstractNumId w:val="1"/>
  </w:num>
  <w:num w:numId="2" w16cid:durableId="57397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4E"/>
    <w:rsid w:val="002E09C1"/>
    <w:rsid w:val="004C710A"/>
    <w:rsid w:val="00C8501E"/>
    <w:rsid w:val="00FF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ABECB"/>
  <w15:chartTrackingRefBased/>
  <w15:docId w15:val="{65422B7D-E246-4F38-89E3-EE678BA94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egoe U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hAnsi="Segoe UI" w:cs="Segoe UI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B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B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B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B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B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B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B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B4E"/>
    <w:rPr>
      <w:rFonts w:eastAsiaTheme="majorEastAsia" w:cstheme="majorBidi"/>
      <w:i/>
      <w:iCs/>
      <w:color w:val="0F4761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B4E"/>
    <w:rPr>
      <w:rFonts w:eastAsiaTheme="majorEastAsia" w:cstheme="majorBidi"/>
      <w:color w:val="0F4761" w:themeColor="accent1" w:themeShade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B4E"/>
    <w:rPr>
      <w:rFonts w:eastAsiaTheme="majorEastAsia" w:cstheme="majorBidi"/>
      <w:i/>
      <w:iCs/>
      <w:color w:val="595959" w:themeColor="text1" w:themeTint="A6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B4E"/>
    <w:rPr>
      <w:rFonts w:eastAsiaTheme="majorEastAsia" w:cstheme="majorBidi"/>
      <w:color w:val="595959" w:themeColor="text1" w:themeTint="A6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B4E"/>
    <w:rPr>
      <w:rFonts w:eastAsiaTheme="majorEastAsia" w:cstheme="majorBidi"/>
      <w:i/>
      <w:iCs/>
      <w:color w:val="272727" w:themeColor="text1" w:themeTint="D8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B4E"/>
    <w:rPr>
      <w:rFonts w:eastAsiaTheme="majorEastAsia" w:cstheme="majorBidi"/>
      <w:color w:val="272727" w:themeColor="text1" w:themeTint="D8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F0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B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B4E"/>
    <w:rPr>
      <w:rFonts w:ascii="Segoe UI" w:hAnsi="Segoe UI" w:cs="Segoe U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FF0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B4E"/>
    <w:rPr>
      <w:rFonts w:ascii="Segoe UI" w:hAnsi="Segoe UI" w:cs="Segoe UI"/>
      <w:i/>
      <w:iCs/>
      <w:color w:val="0F4761" w:themeColor="accent1" w:themeShade="BF"/>
      <w:sz w:val="20"/>
      <w:szCs w:val="20"/>
    </w:rPr>
  </w:style>
  <w:style w:type="character" w:styleId="IntenseReference">
    <w:name w:val="Intense Reference"/>
    <w:basedOn w:val="DefaultParagraphFont"/>
    <w:uiPriority w:val="32"/>
    <w:qFormat/>
    <w:rsid w:val="00FF0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182</Words>
  <Characters>1041</Characters>
  <Application>Microsoft Office Word</Application>
  <DocSecurity>0</DocSecurity>
  <Lines>8</Lines>
  <Paragraphs>2</Paragraphs>
  <ScaleCrop>false</ScaleCrop>
  <Company>IIE Advtech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Tsoili</dc:creator>
  <cp:keywords/>
  <dc:description/>
  <cp:lastModifiedBy>Jeffrey Tsoili</cp:lastModifiedBy>
  <cp:revision>1</cp:revision>
  <dcterms:created xsi:type="dcterms:W3CDTF">2026-08-23T23:23:00Z</dcterms:created>
  <dcterms:modified xsi:type="dcterms:W3CDTF">2026-08-23T23:26:00Z</dcterms:modified>
</cp:coreProperties>
</file>