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40"/>
      </w:pPr>
      <w:r>
        <w:rPr>
          <w:rFonts w:ascii="Calibri" w:hAnsi="Calibri"/>
          <w:b/>
          <w:color w:val="000000"/>
          <w:sz w:val="46"/>
        </w:rPr>
        <w:t>Stacklings MVP Parking Lot</w:t>
      </w:r>
    </w:p>
    <w:p>
      <w:r>
        <w:rPr>
          <w:rFonts w:ascii="Calibri" w:hAnsi="Calibri"/>
          <w:b w:val="0"/>
          <w:sz w:val="22"/>
        </w:rPr>
        <w:t>Version 0.1</w:t>
      </w:r>
    </w:p>
    <w:p>
      <w:r>
        <w:rPr>
          <w:rFonts w:ascii="Calibri" w:hAnsi="Calibri"/>
          <w:b w:val="0"/>
          <w:sz w:val="22"/>
        </w:rPr>
        <w:t>Date: July 15, 2026</w:t>
      </w:r>
    </w:p>
    <w:p>
      <w:r>
        <w:rPr>
          <w:rFonts w:ascii="Calibri" w:hAnsi="Calibri"/>
          <w:b w:val="0"/>
          <w:sz w:val="22"/>
        </w:rPr>
        <w:t>This document contains approved ideas that are intentionally excluded from the current MVP, deferred decisions, and known access gaps. Items here are not implementation requirements until moved into a future PRD.</w:t>
      </w:r>
    </w:p>
    <w:p>
      <w:pPr>
        <w:pStyle w:val="Heading1"/>
      </w:pPr>
      <w:r>
        <w:t>Deferred product work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304"/>
        <w:gridCol w:w="4032"/>
        <w:gridCol w:w="3024"/>
      </w:tblGrid>
      <w:tr>
        <w:trPr>
          <w:cantSplit w:val="true"/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Current direction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Revisit when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Participant-selected completion book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as a future library-program reward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library partner and fulfillment process are available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Specific post-completion library invitation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Offer a concrete next event or book after completion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event and recommendation data are reliable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Reading-pattern-driven development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Broad patterns may influence non-ranked outcomes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The initial relationship-development responses are tested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Explain and redirect development outcomes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Show why an outcome is changing and allow correction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Specific development outcomes exist and need player control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Inactivity reminder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At most one optional, non-urgent reminder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Accounts, consent, and notification infrastructure exist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Longer-term preference profile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Use longer history for recommendations without creating fixed labels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Recent-history recommendations and privacy controls are validated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Series-related visitors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Recommend related books in a series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Series metadata is reliable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Wildcard visitors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Occasionally recommend outside established preferences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Recommendation quality and age suitability are validated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Person-to-person recommendations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Deferred as one complete module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future decision explicitly approves child-safe social interaction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Structured recommendation reasons between people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Remains part of the deferred person-to-person module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Person-to-person recommendations are approved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 read receipts or rejection feedback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Mandatory safeguard if person-to-person recommendations are ever built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Person-to-person recommendations are approved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Collaboration-specific cosmetic result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Shared activity may create a non-power result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Community participation is tested without it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Full preference summary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Private, explainable, correctable, and deletable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The minimal per-recommendation explanation is insufficient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Environment changes from long-term reading patterns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Non-ranked and private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Full preference controls exist</w:t>
            </w:r>
          </w:p>
        </w:tc>
      </w:tr>
    </w:tbl>
    <w:p>
      <w:pPr>
        <w:spacing w:after="20"/>
      </w:pPr>
    </w:p>
    <w:p>
      <w:pPr>
        <w:pStyle w:val="Heading1"/>
      </w:pPr>
      <w:r>
        <w:t>Library and program work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304"/>
        <w:gridCol w:w="4032"/>
        <w:gridCol w:w="3024"/>
      </w:tblGrid>
      <w:tr>
        <w:trPr>
          <w:cantSplit w:val="true"/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Current direction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Revisit when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Paper version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Explore a collaborative paper activity based on reading, potentially using an exquisite-corpse structure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The digital mechanics are stable enough to translate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Spanish localization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First additional interface language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MVP rules and copy are stable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Additional languages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Prioritize using community needs and partner capacity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Spanish localization workflow is proven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Circulation and post-program return measurement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Deferred; do not collect borrowing history in MVP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library partner approves the purpose, data fields, retention, and privacy review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Live patron borrowing and reservation integration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Provider interface exists in the MVP; production connection is conditional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Approved library/vendor credentials and security review are available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Live branch availability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Use the provider interface and sample data until authorized access exists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An approved catalog API or partner feed is available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Program completion survey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brief, optional, and age-appropriate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library program needs outcome measurement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Staff-curated weekly recommendations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provider and admin seams modular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Staff capacity and content tools exist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Self-directed in-library shelf activity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Do not treat this as separate from recommendation visitors unless its library use is materially different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library partner defines a distinct in-building need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Event-specific book discovery and configuration tools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Administrator configuration may be added after basic event registration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Event registration is working and staff requirements are known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Completion event and optional shared contributions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Program-specific and separate from personal completion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 community program is scheduled</w:t>
            </w:r>
          </w:p>
        </w:tc>
      </w:tr>
    </w:tbl>
    <w:p>
      <w:pPr>
        <w:spacing w:after="20"/>
      </w:pPr>
    </w:p>
    <w:p>
      <w:pPr>
        <w:pStyle w:val="Heading1"/>
      </w:pPr>
      <w:r>
        <w:t>Explicitly excluded unless reconsidered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Open chat, direct messages, comments, friend lists, follower systems, or public profiles.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User-to-user trading or creature exchange.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Public reading-duration totals or individual leaderboards.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Creature strength based on reading duration.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Currency granted per minute.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requirement to finish a book before receiving its creature.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Separate creatures for different editions of the same work when the work match is known.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Creature harm, death, permanent decay, or guilt after absence.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Production dependence on unauthorized catalog scraping.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Creature photography and public sharing.</w:t>
      </w:r>
    </w:p>
    <w:p>
      <w:pPr>
        <w:pStyle w:val="Heading1"/>
      </w:pPr>
      <w:r>
        <w:t>Parking-lot entry requirements</w:t>
      </w:r>
    </w:p>
    <w:p>
      <w:r>
        <w:rPr>
          <w:rFonts w:ascii="Calibri" w:hAnsi="Calibri"/>
          <w:b w:val="0"/>
          <w:sz w:val="22"/>
        </w:rPr>
        <w:t>Before an item moves into a future PRD, record: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The user problem it solves.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Its required data and privacy impact.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Its module owner and shared events.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Its fallback when an external provider is unavailable.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Its feature flag and removal behavior.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Acceptance criteria that do not weaken the core reading rules.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5A5A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5A5A"/>
        <w:sz w:val="17"/>
      </w:rPr>
      <w:t>STACKLINGS MVP PARKING 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