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 MD</w:t>
      </w:r>
      <w:r>
        <w:rPr>
          <w:rFonts w:ascii="Times New Roman" w:eastAsia="굴림" w:hAnsi="Times New Roman" w:cs="Times New Roman"/>
          <w:b/>
          <w:kern w:val="0"/>
          <w:sz w:val="24"/>
          <w:szCs w:val="24"/>
          <w:vertAlign w:val="superscript"/>
        </w:rPr>
        <w:t>a</w:t>
      </w:r>
      <w:r>
        <w:rPr>
          <w:rFonts w:ascii="Times New Roman" w:eastAsia="굴림" w:hAnsi="Times New Roman" w:cs="Times New Roman"/>
          <w:b/>
          <w:kern w:val="0"/>
          <w:sz w:val="24"/>
          <w:szCs w:val="24"/>
        </w:rPr>
        <w:t>; Jeong-Min Kim,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c</w:t>
      </w:r>
      <w:r>
        <w:rPr>
          <w:rFonts w:ascii="Times New Roman" w:eastAsia="굴림" w:hAnsi="Times New Roman" w:cs="Times New Roman"/>
          <w:b/>
          <w:kern w:val="0"/>
          <w:sz w:val="24"/>
          <w:szCs w:val="24"/>
        </w:rPr>
        <w:t>; Jaiyoung Ryu, PhD</w:t>
      </w:r>
      <w:r>
        <w:rPr>
          <w:rFonts w:ascii="Times New Roman" w:eastAsia="굴림" w:hAnsi="Times New Roman" w:cs="Times New Roman"/>
          <w:b/>
          <w:kern w:val="0"/>
          <w:sz w:val="24"/>
          <w:szCs w:val="24"/>
          <w:vertAlign w:val="superscript"/>
        </w:rPr>
        <w:t>d</w:t>
      </w:r>
      <w:r>
        <w:rPr>
          <w:rFonts w:ascii="Times New Roman" w:eastAsia="굴림" w:hAnsi="Times New Roman" w:cs="Times New Roman"/>
          <w:b/>
          <w:kern w:val="0"/>
          <w:sz w:val="24"/>
          <w:szCs w:val="24"/>
        </w:rPr>
        <w:t>; Keun-Hwa Jung,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Kwang-Yeol Park, MD, PhD</w:t>
      </w:r>
      <w:r>
        <w:rPr>
          <w:rFonts w:ascii="Times New Roman" w:eastAsia="굴림" w:hAnsi="Times New Roman" w:cs="Times New Roman"/>
          <w:b/>
          <w:kern w:val="0"/>
          <w:sz w:val="24"/>
          <w:szCs w:val="24"/>
          <w:vertAlign w:val="superscript"/>
        </w:rPr>
        <w:t>c</w:t>
      </w:r>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 of Neurology, Nowon</w:t>
      </w:r>
      <w:r w:rsidRPr="00CD70D4">
        <w:rPr>
          <w:rFonts w:ascii="Times New Roman" w:hAnsi="Times New Roman" w:cs="Times New Roman"/>
          <w:color w:val="000000"/>
          <w:kern w:val="0"/>
          <w:sz w:val="24"/>
          <w:szCs w:val="24"/>
        </w:rPr>
        <w:t xml:space="preserve"> Eulji Medical Center, Eulji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 of Neurology, Chung-Ang University Hospital, Chung-Ang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d</w:t>
      </w:r>
      <w:r>
        <w:rPr>
          <w:rFonts w:ascii="Times New Roman" w:hAnsi="Times New Roman" w:cs="Times New Roman"/>
          <w:iCs/>
          <w:sz w:val="24"/>
          <w:szCs w:val="24"/>
        </w:rPr>
        <w:t>Department of Mechanical Engineering, Chung-Ang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Jeong-Min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Department of Neurology, Seoul National University Hospital, Seoul National University College of Medicine, 101, Daehak-ro, Jongno-gu,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4032BC75" w14:textId="17C574FF" w:rsidR="00121A86" w:rsidRDefault="00706735" w:rsidP="00C9423E">
      <w:pPr>
        <w:widowControl/>
        <w:wordWrap/>
        <w:autoSpaceDE/>
        <w:autoSpaceDN/>
        <w:spacing w:line="480" w:lineRule="auto"/>
        <w:rPr>
          <w:rFonts w:ascii="Times New Roman" w:eastAsia="바탕" w:hAnsi="Times New Roman" w:cs="Times New Roman"/>
          <w:b/>
          <w:sz w:val="24"/>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r w:rsidR="00843C00">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sidRPr="00E36748">
        <w:rPr>
          <w:rFonts w:ascii="Times New Roman" w:eastAsia="바탕" w:hAnsi="Times New Roman" w:cs="Times New Roman"/>
          <w:b/>
          <w:sz w:val="32"/>
          <w:szCs w:val="24"/>
        </w:rPr>
        <w:lastRenderedPageBreak/>
        <w:t>Abstract</w:t>
      </w:r>
    </w:p>
    <w:p w14:paraId="56836687" w14:textId="511F0A23"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pulsatility of the middle cerebral artery (MCA) is known to be associated with stroke progression. We investigated whether pulsatility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hypertension, diabetes mellitus, atrial fibrillation, presence of old lacunes</w:t>
      </w:r>
      <w:r w:rsidR="00DF1BC0" w:rsidRPr="003A1757">
        <w:rPr>
          <w:rFonts w:ascii="Times New Roman" w:hAnsi="Times New Roman" w:cs="Times New Roman"/>
          <w:sz w:val="22"/>
          <w:szCs w:val="24"/>
        </w:rPr>
        <w:t xml:space="preserve"> and white matter </w:t>
      </w:r>
      <w:r w:rsidR="00365AC2">
        <w:rPr>
          <w:rFonts w:ascii="Times New Roman" w:hAnsi="Times New Roman" w:cs="Times New Roman"/>
          <w:sz w:val="22"/>
          <w:szCs w:val="24"/>
        </w:rPr>
        <w:t>hyperintense lesion</w:t>
      </w:r>
      <w:r w:rsidR="00DF1BC0" w:rsidRPr="003A1757">
        <w:rPr>
          <w:rFonts w:ascii="Times New Roman" w:hAnsi="Times New Roman" w:cs="Times New Roman"/>
          <w:sz w:val="22"/>
          <w:szCs w:val="24"/>
        </w:rPr>
        <w:t>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pulsatility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7F8C5ECF" w14:textId="38F9B890" w:rsidR="00FA5CE1" w:rsidRPr="005A782E" w:rsidRDefault="00FA5CE1" w:rsidP="005A782E">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5A782E">
        <w:rPr>
          <w:rFonts w:ascii="Times New Roman" w:hAnsi="Times New Roman" w:cs="Times New Roman"/>
          <w:sz w:val="22"/>
          <w:szCs w:val="24"/>
          <w:vertAlign w:val="superscript"/>
        </w:rPr>
        <w:t xml:space="preserve"> </w:t>
      </w:r>
      <w:r w:rsidR="008C7FFC">
        <w:rPr>
          <w:rFonts w:ascii="Times New Roman" w:hAnsi="Times New Roman" w:cs="Times New Roman"/>
          <w:sz w:val="22"/>
          <w:szCs w:val="24"/>
        </w:rPr>
        <w:t>The b</w:t>
      </w:r>
      <w:r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PI</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which can be carried out by methods other than MCA</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PI</w:t>
      </w:r>
      <w:r w:rsidR="00404A2E">
        <w:rPr>
          <w:rFonts w:ascii="Times New Roman" w:hAnsi="Times New Roman" w:cs="Times New Roman"/>
          <w:sz w:val="22"/>
          <w:szCs w:val="24"/>
        </w:rPr>
        <w:t>,</w:t>
      </w:r>
      <w:r w:rsidR="00F51361">
        <w:rPr>
          <w:rFonts w:ascii="Times New Roman" w:hAnsi="Times New Roman" w:cs="Times New Roman"/>
          <w:sz w:val="22"/>
          <w:szCs w:val="24"/>
        </w:rPr>
        <w:t xml:space="preserve"> </w:t>
      </w:r>
      <w:r w:rsidR="008C7FFC">
        <w:rPr>
          <w:rFonts w:ascii="Times New Roman" w:hAnsi="Times New Roman" w:cs="Times New Roman"/>
          <w:sz w:val="22"/>
          <w:szCs w:val="24"/>
        </w:rPr>
        <w:t xml:space="preserve">can be </w:t>
      </w:r>
      <w:r w:rsidRPr="003A1757">
        <w:rPr>
          <w:rFonts w:ascii="Times New Roman" w:hAnsi="Times New Roman" w:cs="Times New Roman"/>
          <w:sz w:val="22"/>
          <w:szCs w:val="24"/>
        </w:rPr>
        <w:t>an alternative to obtain intracranial PI, but its clinical significance among stroke patients has not been appreciated yet. We investigated whether BA PI can predict ND after acute stroke.</w:t>
      </w:r>
      <w:r w:rsidR="00404A2E">
        <w:rPr>
          <w:rFonts w:ascii="Times New Roman" w:hAnsi="Times New Roman" w:cs="Times New Roman"/>
          <w:sz w:val="22"/>
          <w:szCs w:val="24"/>
        </w:rPr>
        <w:t xml:space="preserve"> </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59F4EC28"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w:t>
      </w:r>
      <w:r w:rsidR="001E0968">
        <w:rPr>
          <w:rFonts w:ascii="Times New Roman" w:hAnsi="Times New Roman" w:cs="Times New Roman"/>
          <w:sz w:val="22"/>
          <w:szCs w:val="24"/>
        </w:rPr>
        <w:t xml:space="preserve"> at admission</w:t>
      </w:r>
      <w:r w:rsidR="00A3183F" w:rsidRPr="003A1757">
        <w:rPr>
          <w:rFonts w:ascii="Times New Roman" w:hAnsi="Times New Roman" w:cs="Times New Roman"/>
          <w:sz w:val="22"/>
          <w:szCs w:val="24"/>
        </w:rPr>
        <w:t>.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r w:rsidR="005704EE">
        <w:rPr>
          <w:rFonts w:ascii="Times New Roman" w:eastAsia="STIX-Regular" w:hAnsi="Times New Roman" w:cs="Times New Roman"/>
          <w:kern w:val="0"/>
          <w:sz w:val="22"/>
          <w:szCs w:val="24"/>
        </w:rPr>
        <w:t>hyperintense</w:t>
      </w:r>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w:t>
      </w:r>
      <w:r w:rsidR="005704EE">
        <w:rPr>
          <w:rFonts w:ascii="Times New Roman" w:eastAsia="STIX-Regular" w:hAnsi="Times New Roman" w:cs="Times New Roman"/>
          <w:kern w:val="0"/>
          <w:sz w:val="22"/>
          <w:szCs w:val="24"/>
        </w:rPr>
        <w:t xml:space="preserve"> that matched with </w:t>
      </w:r>
      <w:r w:rsidR="00655588">
        <w:rPr>
          <w:rFonts w:ascii="Times New Roman" w:eastAsia="STIX-Regular" w:hAnsi="Times New Roman" w:cs="Times New Roman"/>
          <w:kern w:val="0"/>
          <w:sz w:val="22"/>
          <w:szCs w:val="24"/>
        </w:rPr>
        <w:t>low intensity</w:t>
      </w:r>
      <w:r w:rsidRPr="003A1757">
        <w:rPr>
          <w:rFonts w:ascii="Times New Roman" w:eastAsia="STIX-Regular" w:hAnsi="Times New Roman" w:cs="Times New Roman"/>
          <w:kern w:val="0"/>
          <w:sz w:val="22"/>
          <w:szCs w:val="24"/>
        </w:rPr>
        <w:t xml:space="preserve">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w:t>
      </w:r>
      <w:r w:rsidR="00E659ED">
        <w:rPr>
          <w:rFonts w:ascii="Times New Roman" w:eastAsia="STIX-Regular" w:hAnsi="Times New Roman" w:cs="Times New Roman"/>
          <w:kern w:val="0"/>
          <w:sz w:val="22"/>
          <w:szCs w:val="24"/>
        </w:rPr>
        <w:t xml:space="preserve"> certified neurologists</w:t>
      </w:r>
      <w:r w:rsidRPr="003A1757">
        <w:rPr>
          <w:rFonts w:ascii="Times New Roman" w:eastAsia="STIX-Regular" w:hAnsi="Times New Roman" w:cs="Times New Roman"/>
          <w:kern w:val="0"/>
          <w:sz w:val="22"/>
          <w:szCs w:val="24"/>
        </w:rPr>
        <w:t xml:space="preserve"> </w:t>
      </w:r>
      <w:r w:rsidR="00E659ED">
        <w:rPr>
          <w:rFonts w:ascii="Times New Roman" w:eastAsia="STIX-Regular" w:hAnsi="Times New Roman" w:cs="Times New Roman"/>
          <w:kern w:val="0"/>
          <w:sz w:val="22"/>
          <w:szCs w:val="24"/>
        </w:rPr>
        <w:t xml:space="preserve">and residents who were unaware of the study, and was validated by comparing the analysis results between each other; </w:t>
      </w:r>
      <w:r w:rsidR="00094E98">
        <w:rPr>
          <w:rFonts w:ascii="Times New Roman" w:eastAsia="STIX-Regular" w:hAnsi="Times New Roman" w:cs="Times New Roman"/>
          <w:kern w:val="0"/>
          <w:sz w:val="22"/>
          <w:szCs w:val="24"/>
        </w:rPr>
        <w:t xml:space="preserve">The degree of </w:t>
      </w:r>
      <w:r w:rsidR="009B5978">
        <w:rPr>
          <w:rFonts w:ascii="Times New Roman" w:eastAsia="STIX-Regular" w:hAnsi="Times New Roman" w:cs="Times New Roman"/>
          <w:kern w:val="0"/>
          <w:sz w:val="22"/>
          <w:szCs w:val="24"/>
        </w:rPr>
        <w:t>stenosis was calculated by summing the</w:t>
      </w:r>
      <w:r w:rsidRPr="003A1757">
        <w:rPr>
          <w:rFonts w:ascii="Times New Roman" w:eastAsia="STIX-Regular" w:hAnsi="Times New Roman" w:cs="Times New Roman"/>
          <w:kern w:val="0"/>
          <w:sz w:val="22"/>
          <w:szCs w:val="24"/>
        </w:rPr>
        <w:t xml:space="preserve"> stenosi</w:t>
      </w:r>
      <w:r w:rsidR="007D4F81">
        <w:rPr>
          <w:rFonts w:ascii="Times New Roman" w:eastAsia="STIX-Regular" w:hAnsi="Times New Roman" w:cs="Times New Roman"/>
          <w:kern w:val="0"/>
          <w:sz w:val="22"/>
          <w:szCs w:val="24"/>
        </w:rPr>
        <w:t>s of the intracranial arteries i</w:t>
      </w:r>
      <w:r w:rsidRPr="003A1757">
        <w:rPr>
          <w:rFonts w:ascii="Times New Roman" w:eastAsia="STIX-Regular" w:hAnsi="Times New Roman" w:cs="Times New Roman"/>
          <w:kern w:val="0"/>
          <w:sz w:val="22"/>
          <w:szCs w:val="24"/>
        </w:rPr>
        <w:t>n</w:t>
      </w:r>
      <w:r w:rsidR="007D4F81">
        <w:rPr>
          <w:rFonts w:ascii="Times New Roman" w:eastAsia="STIX-Regular" w:hAnsi="Times New Roman" w:cs="Times New Roman"/>
          <w:kern w:val="0"/>
          <w:sz w:val="22"/>
          <w:szCs w:val="24"/>
        </w:rPr>
        <w:t xml:space="preserve"> the</w:t>
      </w:r>
      <w:r w:rsidRPr="003A1757">
        <w:rPr>
          <w:rFonts w:ascii="Times New Roman" w:eastAsia="STIX-Regular" w:hAnsi="Times New Roman" w:cs="Times New Roman"/>
          <w:kern w:val="0"/>
          <w:sz w:val="22"/>
          <w:szCs w:val="24"/>
        </w:rPr>
        <w:t xml:space="preserve"> brain CTA. Stenosis of intracranial arteries was identified at bilateral anterior/middle/posterior cerebral arteries, BA, intracranial portion of internal carotid arteries, and vertebral arteries and scored as follows: 0, no stenosis; 1, &lt;50% stenosis; 2, &gt;50% stenosis but no </w:t>
      </w:r>
      <w:r w:rsidRPr="003A1757">
        <w:rPr>
          <w:rFonts w:ascii="Times New Roman" w:eastAsia="STIX-Regular" w:hAnsi="Times New Roman" w:cs="Times New Roman"/>
          <w:kern w:val="0"/>
          <w:sz w:val="22"/>
          <w:szCs w:val="24"/>
        </w:rPr>
        <w:lastRenderedPageBreak/>
        <w:t>occlusion; 3, occlusion.</w:t>
      </w:r>
      <w:r w:rsidR="007B7B2F" w:rsidRPr="003A1757">
        <w:rPr>
          <w:rFonts w:ascii="Times New Roman" w:eastAsia="STIX-Regular" w:hAnsi="Times New Roman" w:cs="Times New Roman"/>
          <w:kern w:val="0"/>
          <w:sz w:val="22"/>
          <w:szCs w:val="24"/>
        </w:rPr>
        <w:t xml:space="preserve"> Patients </w:t>
      </w:r>
      <w:r w:rsidR="00974FDB">
        <w:rPr>
          <w:rFonts w:ascii="Times New Roman" w:eastAsia="STIX-Regular" w:hAnsi="Times New Roman" w:cs="Times New Roman"/>
          <w:kern w:val="0"/>
          <w:sz w:val="22"/>
          <w:szCs w:val="24"/>
        </w:rPr>
        <w:t xml:space="preserve">with cerebral infarction other than TIA </w:t>
      </w:r>
      <w:r w:rsidR="007B7B2F" w:rsidRPr="003A1757">
        <w:rPr>
          <w:rFonts w:ascii="Times New Roman" w:eastAsia="STIX-Regular" w:hAnsi="Times New Roman" w:cs="Times New Roman"/>
          <w:kern w:val="0"/>
          <w:sz w:val="22"/>
          <w:szCs w:val="24"/>
        </w:rPr>
        <w:t>were classified accordi</w:t>
      </w:r>
      <w:r w:rsidR="00974FDB">
        <w:rPr>
          <w:rFonts w:ascii="Times New Roman" w:eastAsia="STIX-Regular" w:hAnsi="Times New Roman" w:cs="Times New Roman"/>
          <w:kern w:val="0"/>
          <w:sz w:val="22"/>
          <w:szCs w:val="24"/>
        </w:rPr>
        <w:t xml:space="preserve">ng to the TOAST classification as </w:t>
      </w:r>
      <w:r w:rsidR="007B7B2F" w:rsidRPr="003A1757">
        <w:rPr>
          <w:rFonts w:ascii="Times New Roman" w:eastAsia="STIX-Regular" w:hAnsi="Times New Roman" w:cs="Times New Roman"/>
          <w:kern w:val="0"/>
          <w:sz w:val="22"/>
          <w:szCs w:val="24"/>
        </w:rPr>
        <w:t>large artery atherosclerosis, small vessel occlusion</w:t>
      </w:r>
      <w:r w:rsidR="00974FDB">
        <w:rPr>
          <w:rFonts w:ascii="Times New Roman" w:eastAsia="STIX-Regular" w:hAnsi="Times New Roman" w:cs="Times New Roman"/>
          <w:kern w:val="0"/>
          <w:sz w:val="22"/>
          <w:szCs w:val="24"/>
        </w:rPr>
        <w:t>,</w:t>
      </w:r>
      <w:r w:rsidR="007B7B2F" w:rsidRPr="003A1757">
        <w:rPr>
          <w:rFonts w:ascii="Times New Roman" w:eastAsia="STIX-Regular" w:hAnsi="Times New Roman" w:cs="Times New Roman"/>
          <w:kern w:val="0"/>
          <w:sz w:val="22"/>
          <w:szCs w:val="24"/>
        </w:rPr>
        <w:t xml:space="preserve"> cardiac embolism</w:t>
      </w:r>
      <w:r w:rsidR="00974FDB">
        <w:rPr>
          <w:rFonts w:ascii="Times New Roman" w:eastAsia="STIX-Regular" w:hAnsi="Times New Roman" w:cs="Times New Roman"/>
          <w:kern w:val="0"/>
          <w:sz w:val="22"/>
          <w:szCs w:val="24"/>
        </w:rPr>
        <w:t xml:space="preserve">,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undetermined</w:t>
      </w:r>
      <w:r w:rsidR="006855D4">
        <w:rPr>
          <w:rFonts w:ascii="Times New Roman" w:eastAsia="STIX-Regular" w:hAnsi="Times New Roman" w:cs="Times New Roman"/>
          <w:kern w:val="0"/>
          <w:sz w:val="22"/>
          <w:szCs w:val="24"/>
        </w:rPr>
        <w:t xml:space="preserve"> etiology</w:t>
      </w:r>
      <w:r w:rsidR="00974FDB">
        <w:rPr>
          <w:rFonts w:ascii="Times New Roman" w:eastAsia="STIX-Regular" w:hAnsi="Times New Roman" w:cs="Times New Roman"/>
          <w:kern w:val="0"/>
          <w:sz w:val="22"/>
          <w:szCs w:val="24"/>
        </w:rPr>
        <w:t xml:space="preserve">, and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other determined</w:t>
      </w:r>
      <w:r w:rsidR="006855D4">
        <w:rPr>
          <w:rFonts w:ascii="Times New Roman" w:eastAsia="STIX-Regular" w:hAnsi="Times New Roman" w:cs="Times New Roman"/>
          <w:kern w:val="0"/>
          <w:sz w:val="22"/>
          <w:szCs w:val="24"/>
        </w:rPr>
        <w:t xml:space="preserve"> etiology</w:t>
      </w:r>
      <w:r w:rsidR="007B7B2F" w:rsidRPr="003A1757">
        <w:rPr>
          <w:rFonts w:ascii="Times New Roman" w:eastAsia="STIX-Regular" w:hAnsi="Times New Roman" w:cs="Times New Roman"/>
          <w:kern w:val="0"/>
          <w:sz w:val="22"/>
          <w:szCs w:val="24"/>
        </w:rPr>
        <w:t xml:space="preserve">.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6EA60857"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w:t>
      </w:r>
      <w:r w:rsidR="007F7701">
        <w:rPr>
          <w:rFonts w:ascii="Times New Roman" w:hAnsi="Times New Roman" w:cs="Times New Roman"/>
          <w:sz w:val="22"/>
          <w:szCs w:val="24"/>
        </w:rPr>
        <w:t>,</w:t>
      </w:r>
      <w:r w:rsidR="007F7701" w:rsidRPr="007F7701">
        <w:rPr>
          <w:rFonts w:ascii="Times New Roman" w:hAnsi="Times New Roman" w:cs="Times New Roman"/>
          <w:sz w:val="22"/>
          <w:szCs w:val="24"/>
        </w:rPr>
        <w:t xml:space="preserve"> </w:t>
      </w:r>
      <w:r w:rsidR="007F7701">
        <w:rPr>
          <w:rFonts w:ascii="Times New Roman" w:hAnsi="Times New Roman" w:cs="Times New Roman"/>
          <w:sz w:val="22"/>
          <w:szCs w:val="24"/>
        </w:rPr>
        <w:t>which the transducer is placed just below the occipital protuberance and directed towards the nasal bridge</w:t>
      </w:r>
      <w:r w:rsidRPr="003A1757">
        <w:rPr>
          <w:rFonts w:ascii="Times New Roman" w:hAnsi="Times New Roman" w:cs="Times New Roman"/>
          <w:sz w:val="22"/>
          <w:szCs w:val="24"/>
        </w:rPr>
        <w:t xml:space="preserve"> with an insonation depth of 80–100 mm in the lying position</w:t>
      </w:r>
      <w:r w:rsidR="007F7701">
        <w:rPr>
          <w:rFonts w:ascii="Times New Roman" w:hAnsi="Times New Roman" w:cs="Times New Roman"/>
          <w:sz w:val="22"/>
          <w:szCs w:val="24"/>
        </w:rPr>
        <w:t xml:space="preserve">. </w:t>
      </w:r>
      <w:r w:rsidRPr="003A1757">
        <w:rPr>
          <w:rFonts w:ascii="Times New Roman" w:hAnsi="Times New Roman" w:cs="Times New Roman"/>
          <w:sz w:val="22"/>
          <w:szCs w:val="24"/>
        </w:rPr>
        <w:t>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671ACCC"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All statistical analyses were performed using SPSS (version 21.0; IBM Corporation, Armonk, NY, USA) and R (version 3.5.1, July 2, 2018). First, the patients were divided into four groups according to BA PI quartiles. The differences among the groups for categorical variables were asse</w:t>
      </w:r>
      <w:r w:rsidR="00507945">
        <w:rPr>
          <w:rFonts w:ascii="Times New Roman" w:hAnsi="Times New Roman" w:cs="Times New Roman"/>
          <w:sz w:val="22"/>
          <w:szCs w:val="24"/>
        </w:rPr>
        <w:t>ssed using the Fisher’s exact and</w:t>
      </w:r>
      <w:r w:rsidRPr="003A1757">
        <w:rPr>
          <w:rFonts w:ascii="Times New Roman" w:hAnsi="Times New Roman" w:cs="Times New Roman"/>
          <w:sz w:val="22"/>
          <w:szCs w:val="24"/>
        </w:rPr>
        <w:t xml:space="preserv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00507945">
        <w:rPr>
          <w:rFonts w:ascii="Times New Roman" w:hAnsi="Times New Roman" w:cs="Times New Roman"/>
          <w:sz w:val="22"/>
          <w:szCs w:val="24"/>
        </w:rPr>
        <w:t xml:space="preserve"> tests. </w:t>
      </w:r>
      <w:r w:rsidR="00FF3F6D">
        <w:rPr>
          <w:rFonts w:ascii="Times New Roman" w:hAnsi="Times New Roman" w:cs="Times New Roman"/>
          <w:sz w:val="22"/>
          <w:szCs w:val="24"/>
        </w:rPr>
        <w:t>The t</w:t>
      </w:r>
      <w:r w:rsidR="002A31A0">
        <w:rPr>
          <w:rFonts w:ascii="Times New Roman" w:hAnsi="Times New Roman" w:cs="Times New Roman"/>
          <w:sz w:val="22"/>
          <w:szCs w:val="24"/>
        </w:rPr>
        <w:t>est</w:t>
      </w:r>
      <w:r w:rsidR="00FF3F6D">
        <w:rPr>
          <w:rFonts w:ascii="Times New Roman" w:hAnsi="Times New Roman" w:cs="Times New Roman"/>
          <w:sz w:val="22"/>
          <w:szCs w:val="24"/>
        </w:rPr>
        <w:t>s</w:t>
      </w:r>
      <w:r w:rsidR="002A31A0">
        <w:rPr>
          <w:rFonts w:ascii="Times New Roman" w:hAnsi="Times New Roman" w:cs="Times New Roman"/>
          <w:sz w:val="22"/>
          <w:szCs w:val="24"/>
        </w:rPr>
        <w:t xml:space="preserve"> </w:t>
      </w:r>
      <w:r w:rsidR="00FF3F6D">
        <w:rPr>
          <w:rFonts w:ascii="Times New Roman" w:hAnsi="Times New Roman" w:cs="Times New Roman"/>
          <w:sz w:val="22"/>
          <w:szCs w:val="24"/>
        </w:rPr>
        <w:t>for normality were</w:t>
      </w:r>
      <w:r w:rsidR="002A31A0">
        <w:rPr>
          <w:rFonts w:ascii="Times New Roman" w:hAnsi="Times New Roman" w:cs="Times New Roman"/>
          <w:sz w:val="22"/>
          <w:szCs w:val="24"/>
        </w:rPr>
        <w:t xml:space="preserve"> performed by Shapiro-Wilks’s tests. </w:t>
      </w:r>
      <w:r w:rsidR="00507945">
        <w:rPr>
          <w:rFonts w:ascii="Times New Roman" w:hAnsi="Times New Roman" w:cs="Times New Roman"/>
          <w:sz w:val="22"/>
          <w:szCs w:val="24"/>
        </w:rPr>
        <w:t>T</w:t>
      </w:r>
      <w:r w:rsidRPr="003A1757">
        <w:rPr>
          <w:rFonts w:ascii="Times New Roman" w:hAnsi="Times New Roman" w:cs="Times New Roman"/>
          <w:sz w:val="22"/>
          <w:szCs w:val="24"/>
        </w:rPr>
        <w:t xml:space="preserve">he differences among the groups for continuous variables were assessed using </w:t>
      </w:r>
      <w:r w:rsidR="00507945" w:rsidRPr="003A1757">
        <w:rPr>
          <w:rFonts w:ascii="Times New Roman" w:hAnsi="Times New Roman" w:cs="Times New Roman"/>
          <w:sz w:val="22"/>
          <w:szCs w:val="24"/>
        </w:rPr>
        <w:t xml:space="preserve">the Mann–Whitney </w:t>
      </w:r>
      <w:r w:rsidR="00507945" w:rsidRPr="003A1757">
        <w:rPr>
          <w:rFonts w:ascii="Times New Roman" w:hAnsi="Times New Roman" w:cs="Times New Roman"/>
          <w:i/>
          <w:sz w:val="22"/>
          <w:szCs w:val="24"/>
        </w:rPr>
        <w:t>U</w:t>
      </w:r>
      <w:r w:rsidR="00507945" w:rsidRPr="003A1757">
        <w:rPr>
          <w:rFonts w:ascii="Times New Roman" w:hAnsi="Times New Roman" w:cs="Times New Roman"/>
          <w:sz w:val="22"/>
          <w:szCs w:val="24"/>
        </w:rPr>
        <w:t>-tests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Kruskal–Wallis 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t>
      </w:r>
      <w:r w:rsidRPr="003A1757">
        <w:rPr>
          <w:rFonts w:ascii="Times New Roman" w:hAnsi="Times New Roman" w:cs="Times New Roman"/>
          <w:sz w:val="22"/>
          <w:szCs w:val="24"/>
        </w:rPr>
        <w:lastRenderedPageBreak/>
        <w:t xml:space="preserve">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1B9CB0A6"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w:t>
      </w:r>
      <w:r w:rsidR="00A1351F">
        <w:rPr>
          <w:rFonts w:ascii="Times New Roman" w:hAnsi="Times New Roman" w:cs="Times New Roman"/>
          <w:sz w:val="22"/>
          <w:szCs w:val="24"/>
        </w:rPr>
        <w:t xml:space="preserve">the </w:t>
      </w:r>
      <w:r w:rsidR="00AB3C44">
        <w:rPr>
          <w:rFonts w:ascii="Times New Roman" w:hAnsi="Times New Roman" w:cs="Times New Roman"/>
          <w:sz w:val="22"/>
          <w:szCs w:val="24"/>
        </w:rPr>
        <w:t xml:space="preserve">interquartile range of </w:t>
      </w:r>
      <w:r w:rsidR="00A1351F">
        <w:rPr>
          <w:rFonts w:ascii="Times New Roman" w:hAnsi="Times New Roman" w:cs="Times New Roman"/>
          <w:sz w:val="22"/>
          <w:szCs w:val="24"/>
        </w:rPr>
        <w:t xml:space="preserve">overall </w:t>
      </w:r>
      <w:r w:rsidRPr="003A1757">
        <w:rPr>
          <w:rFonts w:ascii="Times New Roman" w:hAnsi="Times New Roman" w:cs="Times New Roman"/>
          <w:sz w:val="22"/>
          <w:szCs w:val="24"/>
        </w:rPr>
        <w:t>BA PI values</w:t>
      </w:r>
      <w:r w:rsidR="00A1351F">
        <w:rPr>
          <w:rFonts w:ascii="Times New Roman" w:hAnsi="Times New Roman" w:cs="Times New Roman"/>
          <w:sz w:val="22"/>
          <w:szCs w:val="24"/>
        </w:rPr>
        <w:t xml:space="preserve"> </w:t>
      </w:r>
      <w:r w:rsidR="00883BF6">
        <w:rPr>
          <w:rFonts w:ascii="Times New Roman" w:hAnsi="Times New Roman" w:cs="Times New Roman"/>
          <w:sz w:val="22"/>
          <w:szCs w:val="24"/>
        </w:rPr>
        <w:t xml:space="preserve">(less than </w:t>
      </w:r>
      <w:r w:rsidR="00D72820" w:rsidRPr="003A1757">
        <w:rPr>
          <w:rFonts w:ascii="Times New Roman" w:hAnsi="Times New Roman" w:cs="Times New Roman"/>
          <w:sz w:val="22"/>
          <w:szCs w:val="24"/>
        </w:rPr>
        <w:t>0.81</w:t>
      </w:r>
      <w:r w:rsidRPr="003A1757">
        <w:rPr>
          <w:rFonts w:ascii="Times New Roman" w:hAnsi="Times New Roman" w:cs="Times New Roman"/>
          <w:sz w:val="22"/>
          <w:szCs w:val="24"/>
        </w:rPr>
        <w:t>,</w:t>
      </w:r>
      <w:r w:rsidR="00BB42E8">
        <w:rPr>
          <w:rFonts w:ascii="Times New Roman" w:hAnsi="Times New Roman" w:cs="Times New Roman"/>
          <w:sz w:val="22"/>
          <w:szCs w:val="24"/>
        </w:rPr>
        <w:t xml:space="preserve"> 0.81</w:t>
      </w:r>
      <w:r w:rsidR="00BB42E8">
        <w:rPr>
          <w:rFonts w:ascii="Arial" w:hAnsi="Arial" w:cs="Arial"/>
          <w:sz w:val="22"/>
          <w:szCs w:val="24"/>
        </w:rPr>
        <w:t>–</w:t>
      </w:r>
      <w:r w:rsidRPr="003A1757">
        <w:rPr>
          <w:rFonts w:ascii="Times New Roman" w:hAnsi="Times New Roman" w:cs="Times New Roman"/>
          <w:sz w:val="22"/>
          <w:szCs w:val="24"/>
        </w:rPr>
        <w:t xml:space="preserve">0.94, </w:t>
      </w:r>
      <w:r w:rsidR="00FA6FE7" w:rsidRPr="003A1757">
        <w:rPr>
          <w:rFonts w:ascii="Times New Roman" w:hAnsi="Times New Roman" w:cs="Times New Roman"/>
          <w:sz w:val="22"/>
          <w:szCs w:val="24"/>
        </w:rPr>
        <w:t>0.94</w:t>
      </w:r>
      <w:r w:rsidR="00FA6FE7">
        <w:rPr>
          <w:rFonts w:ascii="Arial" w:hAnsi="Arial" w:cs="Arial"/>
          <w:sz w:val="22"/>
          <w:szCs w:val="24"/>
        </w:rPr>
        <w:t>–</w:t>
      </w:r>
      <w:r w:rsidRPr="00FA6FE7">
        <w:t>1</w:t>
      </w:r>
      <w:r w:rsidRPr="003A1757">
        <w:rPr>
          <w:rFonts w:ascii="Times New Roman" w:hAnsi="Times New Roman" w:cs="Times New Roman"/>
          <w:sz w:val="22"/>
          <w:szCs w:val="24"/>
        </w:rPr>
        <w:t>.10</w:t>
      </w:r>
      <w:r w:rsidR="00883BF6">
        <w:rPr>
          <w:rFonts w:ascii="Times New Roman" w:hAnsi="Times New Roman" w:cs="Times New Roman"/>
          <w:sz w:val="22"/>
          <w:szCs w:val="24"/>
        </w:rPr>
        <w:t xml:space="preserve">, more than 1.10; </w:t>
      </w:r>
      <w:r w:rsidR="00B45FAE">
        <w:rPr>
          <w:rFonts w:ascii="Times New Roman" w:hAnsi="Times New Roman" w:cs="Times New Roman"/>
          <w:sz w:val="22"/>
          <w:szCs w:val="24"/>
        </w:rPr>
        <w:t xml:space="preserve">Table 1). </w:t>
      </w:r>
      <w:r w:rsidR="003B3DE6" w:rsidRPr="003B3DE6">
        <w:rPr>
          <w:rFonts w:ascii="Times New Roman" w:hAnsi="Times New Roman" w:cs="Times New Roman"/>
          <w:sz w:val="22"/>
          <w:szCs w:val="24"/>
        </w:rPr>
        <w:t>As BA PI increased, mean age, NIHSS at admission, and the presence of old lacunes and white matter hyperintense lesions also increased; the rest of results is shown in Table 1</w:t>
      </w:r>
      <w:r w:rsidRPr="003A1757">
        <w:rPr>
          <w:rFonts w:ascii="Times New Roman" w:hAnsi="Times New Roman" w:cs="Times New Roman"/>
          <w:sz w:val="22"/>
          <w:szCs w:val="24"/>
        </w:rPr>
        <w:t>.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3E3878A5"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w:t>
      </w:r>
      <w:r w:rsidR="00FA5CE1" w:rsidRPr="003A1757">
        <w:rPr>
          <w:rFonts w:ascii="Times New Roman" w:hAnsi="Times New Roman" w:cs="Times New Roman"/>
          <w:sz w:val="22"/>
          <w:szCs w:val="24"/>
        </w:rPr>
        <w:t>higher</w:t>
      </w:r>
      <w:r w:rsidR="00B73BFF" w:rsidRPr="003A1757">
        <w:rPr>
          <w:rFonts w:ascii="Times New Roman" w:hAnsi="Times New Roman" w:cs="Times New Roman"/>
          <w:sz w:val="22"/>
          <w:szCs w:val="24"/>
        </w:rPr>
        <w:t xml:space="preserve"> systolic blood pressure (SBP), </w:t>
      </w:r>
      <w:r w:rsidR="007B2391">
        <w:rPr>
          <w:rFonts w:ascii="Times New Roman" w:hAnsi="Times New Roman" w:cs="Times New Roman"/>
          <w:sz w:val="22"/>
          <w:szCs w:val="24"/>
        </w:rPr>
        <w:t xml:space="preserve">high </w:t>
      </w:r>
      <w:r w:rsidR="00B73BFF" w:rsidRPr="003A1757">
        <w:rPr>
          <w:rFonts w:ascii="Times New Roman" w:hAnsi="Times New Roman" w:cs="Times New Roman"/>
          <w:sz w:val="22"/>
          <w:szCs w:val="24"/>
        </w:rPr>
        <w:t>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xml:space="preserve">, </w:t>
      </w:r>
      <w:r w:rsidR="007B2391">
        <w:rPr>
          <w:rFonts w:ascii="Times New Roman" w:hAnsi="Times New Roman" w:cs="Times New Roman"/>
          <w:sz w:val="22"/>
          <w:szCs w:val="24"/>
        </w:rPr>
        <w:t xml:space="preserve">high </w:t>
      </w:r>
      <w:r w:rsidR="00740183" w:rsidRPr="003A1757">
        <w:rPr>
          <w:rFonts w:ascii="Times New Roman" w:hAnsi="Times New Roman" w:cs="Times New Roman"/>
          <w:sz w:val="22"/>
          <w:szCs w:val="24"/>
        </w:rPr>
        <w:t>CAS</w:t>
      </w:r>
      <w:r w:rsidR="00B73BFF" w:rsidRPr="003A1757">
        <w:rPr>
          <w:rFonts w:ascii="Times New Roman" w:hAnsi="Times New Roman" w:cs="Times New Roman"/>
          <w:sz w:val="22"/>
          <w:szCs w:val="24"/>
        </w:rPr>
        <w:t xml:space="preserve"> and </w:t>
      </w:r>
      <w:r w:rsidR="007B2391">
        <w:rPr>
          <w:rFonts w:ascii="Times New Roman" w:hAnsi="Times New Roman" w:cs="Times New Roman"/>
          <w:sz w:val="22"/>
          <w:szCs w:val="24"/>
        </w:rPr>
        <w:t xml:space="preserve">high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E80910">
        <w:rPr>
          <w:rFonts w:ascii="Times New Roman" w:hAnsi="Times New Roman" w:cs="Times New Roman"/>
          <w:sz w:val="22"/>
          <w:szCs w:val="24"/>
        </w:rPr>
        <w:t>white matter hyperintense</w:t>
      </w:r>
      <w:r w:rsidR="008A0467">
        <w:rPr>
          <w:rFonts w:ascii="Times New Roman" w:hAnsi="Times New Roman" w:cs="Times New Roman"/>
          <w:sz w:val="22"/>
          <w:szCs w:val="24"/>
        </w:rPr>
        <w:t xml:space="preserve"> lesions and</w:t>
      </w:r>
      <w:r w:rsidR="006931E5" w:rsidRPr="003A1757">
        <w:rPr>
          <w:rFonts w:ascii="Times New Roman" w:hAnsi="Times New Roman" w:cs="Times New Roman"/>
          <w:sz w:val="22"/>
          <w:szCs w:val="24"/>
        </w:rPr>
        <w:t xml:space="preserve">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lacunes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9F93AC9"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Additionally, further analyses of comparing between patients with lesions in the posterior circulation area revealed that ND was associated </w:t>
      </w:r>
      <w:r w:rsidR="007C5D6E" w:rsidRPr="007C5D6E">
        <w:rPr>
          <w:rFonts w:ascii="Times New Roman" w:hAnsi="Times New Roman" w:cs="Times New Roman"/>
          <w:sz w:val="22"/>
          <w:szCs w:val="24"/>
        </w:rPr>
        <w:t>older age (</w:t>
      </w:r>
      <w:r w:rsidR="007C5D6E" w:rsidRPr="007C5D6E">
        <w:rPr>
          <w:rFonts w:ascii="Times New Roman" w:hAnsi="Times New Roman" w:cs="Times New Roman"/>
          <w:i/>
          <w:sz w:val="22"/>
          <w:szCs w:val="24"/>
        </w:rPr>
        <w:t>p</w:t>
      </w:r>
      <w:r w:rsidR="007C5D6E">
        <w:rPr>
          <w:rFonts w:ascii="Times New Roman" w:hAnsi="Times New Roman" w:cs="Times New Roman"/>
          <w:sz w:val="22"/>
          <w:szCs w:val="24"/>
        </w:rPr>
        <w:t xml:space="preserve"> value=</w:t>
      </w:r>
      <w:r w:rsidR="007C5D6E" w:rsidRPr="007C5D6E">
        <w:rPr>
          <w:rFonts w:ascii="Times New Roman" w:hAnsi="Times New Roman" w:cs="Times New Roman"/>
          <w:sz w:val="22"/>
          <w:szCs w:val="24"/>
        </w:rPr>
        <w:t>0.011), female (0.057), high SBP (0.022), low fasting blood glucose (0.074), high sensitive C-reactive protein (0.076), high BA PI (0.019), low CAS (0.037), presence of white matter hyperintense lesions (0.015) and low NIHSS at admission (0.007)</w:t>
      </w:r>
      <w:r w:rsidR="007C5D6E">
        <w:rPr>
          <w:rFonts w:ascii="Times New Roman" w:hAnsi="Times New Roman" w:cs="Times New Roman"/>
          <w:sz w:val="22"/>
          <w:szCs w:val="24"/>
        </w:rPr>
        <w:t xml:space="preserve"> </w:t>
      </w:r>
      <w:r w:rsidR="007C5D6E">
        <w:rPr>
          <w:rFonts w:ascii="Times New Roman" w:hAnsi="Times New Roman" w:cs="Times New Roman"/>
          <w:sz w:val="22"/>
          <w:szCs w:val="24"/>
        </w:rPr>
        <w:lastRenderedPageBreak/>
        <w:t>(</w:t>
      </w:r>
      <w:r w:rsidR="00CD7EC7" w:rsidRPr="003A1757">
        <w:rPr>
          <w:rFonts w:ascii="Times New Roman" w:hAnsi="Times New Roman" w:cs="Times New Roman"/>
          <w:sz w:val="22"/>
          <w:szCs w:val="24"/>
        </w:rPr>
        <w:t>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(0.94 ± 0.22). Multivariable logistic regression </w:t>
      </w:r>
      <w:bookmarkStart w:id="0" w:name="_GoBack"/>
      <w:bookmarkEnd w:id="0"/>
      <w:r w:rsidR="00270EFF" w:rsidRPr="003A1757">
        <w:rPr>
          <w:rFonts w:ascii="Times New Roman" w:hAnsi="Times New Roman" w:cs="Times New Roman"/>
          <w:sz w:val="22"/>
          <w:szCs w:val="24"/>
        </w:rPr>
        <w:t xml:space="preserve">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w:t>
      </w:r>
      <w:r w:rsidR="00365AC2">
        <w:rPr>
          <w:rFonts w:ascii="Times New Roman" w:hAnsi="Times New Roman" w:cs="Times New Roman"/>
          <w:sz w:val="22"/>
          <w:szCs w:val="24"/>
        </w:rPr>
        <w:t>hyperintense lesion</w:t>
      </w:r>
      <w:r w:rsidR="00072FF6" w:rsidRPr="003A1757">
        <w:rPr>
          <w:rFonts w:ascii="Times New Roman" w:hAnsi="Times New Roman" w:cs="Times New Roman"/>
          <w:sz w:val="22"/>
          <w:szCs w:val="24"/>
        </w:rPr>
        <w:t xml:space="preserve">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05D7F0E7" w:rsidR="006251D8" w:rsidRPr="006251D8" w:rsidRDefault="006251D8" w:rsidP="003863C5">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Comparing patients according to </w:t>
      </w:r>
      <w:r w:rsidR="004853E4" w:rsidRPr="003A1757">
        <w:rPr>
          <w:rFonts w:ascii="Times New Roman" w:hAnsi="Times New Roman" w:cs="Times New Roman"/>
          <w:sz w:val="22"/>
          <w:szCs w:val="24"/>
        </w:rPr>
        <w:t xml:space="preserve">location of lesion (whether lesion was in territory of anterior circulation or posterior circulation) and </w:t>
      </w:r>
      <w:r w:rsidRPr="003A1757">
        <w:rPr>
          <w:rFonts w:ascii="Times New Roman" w:hAnsi="Times New Roman" w:cs="Times New Roman"/>
          <w:sz w:val="22"/>
          <w:szCs w:val="24"/>
        </w:rPr>
        <w:t>TOAST</w:t>
      </w:r>
      <w:r w:rsidR="001C7493" w:rsidRPr="003A1757">
        <w:rPr>
          <w:rFonts w:ascii="Times New Roman" w:hAnsi="Times New Roman" w:cs="Times New Roman"/>
          <w:sz w:val="22"/>
          <w:szCs w:val="24"/>
        </w:rPr>
        <w:t xml:space="preserve"> classification</w:t>
      </w:r>
      <w:r w:rsidR="004853E4"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 xml:space="preserve">showed that </w:t>
      </w:r>
      <w:r w:rsidRPr="003A1757">
        <w:rPr>
          <w:rFonts w:ascii="Times New Roman" w:hAnsi="Times New Roman" w:cs="Times New Roman"/>
          <w:sz w:val="22"/>
          <w:szCs w:val="24"/>
        </w:rPr>
        <w:t xml:space="preserve">the BA PI of patients with </w:t>
      </w:r>
      <w:r w:rsidR="004853E4" w:rsidRPr="003A1757">
        <w:rPr>
          <w:rFonts w:ascii="Times New Roman" w:hAnsi="Times New Roman" w:cs="Times New Roman"/>
          <w:sz w:val="22"/>
          <w:szCs w:val="24"/>
        </w:rPr>
        <w:t>ND and lesion in territory of posterior circulation</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=0.008, </w:t>
      </w:r>
      <w:r w:rsidR="001C7493" w:rsidRPr="003A1757">
        <w:rPr>
          <w:rFonts w:ascii="Times New Roman" w:hAnsi="Times New Roman" w:cs="Times New Roman"/>
          <w:sz w:val="22"/>
          <w:szCs w:val="24"/>
        </w:rPr>
        <w:t>Figure 2)</w:t>
      </w:r>
      <w:r w:rsidR="004853E4" w:rsidRPr="003A1757">
        <w:rPr>
          <w:rFonts w:ascii="Times New Roman" w:hAnsi="Times New Roman" w:cs="Times New Roman"/>
          <w:sz w:val="22"/>
          <w:szCs w:val="24"/>
        </w:rPr>
        <w:t xml:space="preserve">, ND and </w:t>
      </w:r>
      <w:r w:rsidR="009C0004" w:rsidRPr="003A1757">
        <w:rPr>
          <w:rFonts w:ascii="Times New Roman" w:hAnsi="Times New Roman" w:cs="Times New Roman"/>
          <w:sz w:val="22"/>
          <w:szCs w:val="24"/>
        </w:rPr>
        <w:t xml:space="preserve">classified in </w:t>
      </w:r>
      <w:r w:rsidR="002E3507" w:rsidRPr="003A1757">
        <w:rPr>
          <w:rFonts w:ascii="Times New Roman" w:hAnsi="Times New Roman" w:cs="Times New Roman"/>
          <w:sz w:val="22"/>
          <w:szCs w:val="24"/>
        </w:rPr>
        <w:t xml:space="preserve">stroke of </w:t>
      </w:r>
      <w:r w:rsidRPr="003A1757">
        <w:rPr>
          <w:rFonts w:ascii="Times New Roman" w:hAnsi="Times New Roman" w:cs="Times New Roman"/>
          <w:sz w:val="22"/>
          <w:szCs w:val="24"/>
        </w:rPr>
        <w:t>undetermined etiology</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=0.032, </w:t>
      </w:r>
      <w:r w:rsidR="001C7493" w:rsidRPr="003A1757">
        <w:rPr>
          <w:rFonts w:ascii="Times New Roman" w:hAnsi="Times New Roman" w:cs="Times New Roman"/>
          <w:sz w:val="22"/>
          <w:szCs w:val="24"/>
        </w:rPr>
        <w:t>Figure 3)</w:t>
      </w:r>
      <w:r w:rsidRPr="003A1757">
        <w:rPr>
          <w:rFonts w:ascii="Times New Roman" w:hAnsi="Times New Roman" w:cs="Times New Roman"/>
          <w:sz w:val="22"/>
          <w:szCs w:val="24"/>
        </w:rPr>
        <w:t xml:space="preserve"> was statistically significantly higher than that of patients without ND. </w:t>
      </w:r>
      <w:r w:rsidR="009C0004" w:rsidRPr="003A1757">
        <w:rPr>
          <w:rFonts w:ascii="Times New Roman" w:hAnsi="Times New Roman" w:cs="Times New Roman"/>
          <w:sz w:val="22"/>
          <w:szCs w:val="24"/>
        </w:rPr>
        <w:t xml:space="preserve">The BA PI of patients </w:t>
      </w:r>
      <w:r w:rsidR="002D1DE3" w:rsidRPr="003A1757">
        <w:rPr>
          <w:rFonts w:ascii="Times New Roman" w:hAnsi="Times New Roman" w:cs="Times New Roman"/>
          <w:sz w:val="22"/>
          <w:szCs w:val="24"/>
        </w:rPr>
        <w:t xml:space="preserve">with ND and </w:t>
      </w:r>
      <w:r w:rsidR="009C0004" w:rsidRPr="003A1757">
        <w:rPr>
          <w:rFonts w:ascii="Times New Roman" w:hAnsi="Times New Roman" w:cs="Times New Roman"/>
          <w:sz w:val="22"/>
          <w:szCs w:val="24"/>
        </w:rPr>
        <w:t>classified in other TOAST classification</w:t>
      </w:r>
      <w:r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was not</w:t>
      </w:r>
      <w:r w:rsidRPr="003A1757">
        <w:rPr>
          <w:rFonts w:ascii="Times New Roman" w:hAnsi="Times New Roman" w:cs="Times New Roman"/>
          <w:sz w:val="22"/>
          <w:szCs w:val="24"/>
        </w:rPr>
        <w:t xml:space="preserve"> statistically sig</w:t>
      </w:r>
      <w:r w:rsidR="002D1DE3" w:rsidRPr="003A1757">
        <w:rPr>
          <w:rFonts w:ascii="Times New Roman" w:hAnsi="Times New Roman" w:cs="Times New Roman"/>
          <w:sz w:val="22"/>
          <w:szCs w:val="24"/>
        </w:rPr>
        <w:t>nificant different from that of patients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c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Our study also showed an increasing tendency in the proportion of old lacunes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cerebral artery, basilar artery and left middle cerebral artery pulsatility</w:t>
      </w:r>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The pulsatility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pulsatility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Comparison analysis of basilar artery pulsatility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Table 1. 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Rt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hsCRP, high sensitivity C-reactive protein; PI, Pulsatility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0051162A"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xml:space="preserve">, White Matter </w:t>
      </w:r>
      <w:r w:rsidR="00365AC2">
        <w:rPr>
          <w:rFonts w:ascii="Times New Roman" w:hAnsi="Times New Roman" w:cs="Times New Roman"/>
          <w:sz w:val="22"/>
        </w:rPr>
        <w:t>Hyperintense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Rt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46B4AC1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 xml:space="preserve">History of Atrial Fibrillation, National Institutes of Health Stroke Scale at admission, Systolic blood pressure, Cerebral atherosclerosis score, White Matter </w:t>
      </w:r>
      <w:r w:rsidR="00365AC2">
        <w:rPr>
          <w:rFonts w:ascii="Times New Roman" w:hAnsi="Times New Roman" w:cs="Times New Roman"/>
          <w:sz w:val="22"/>
        </w:rPr>
        <w:t>Hyperintense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8"/>
      <w:pgSz w:w="11906" w:h="16838" w:code="9"/>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9E997" w14:textId="77777777" w:rsidR="00556982" w:rsidRDefault="00556982">
      <w:pPr>
        <w:spacing w:after="0" w:line="240" w:lineRule="auto"/>
      </w:pPr>
      <w:r>
        <w:separator/>
      </w:r>
    </w:p>
  </w:endnote>
  <w:endnote w:type="continuationSeparator" w:id="0">
    <w:p w14:paraId="10C28E6B" w14:textId="77777777" w:rsidR="00556982" w:rsidRDefault="0055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2DF96C97" w:rsidR="00402C84" w:rsidRDefault="00402C84">
    <w:pPr>
      <w:pStyle w:val="a5"/>
      <w:jc w:val="center"/>
    </w:pPr>
    <w:r>
      <w:fldChar w:fldCharType="begin"/>
    </w:r>
    <w:r>
      <w:instrText xml:space="preserve"> PAGE   \* MERGEFORMAT </w:instrText>
    </w:r>
    <w:r>
      <w:fldChar w:fldCharType="separate"/>
    </w:r>
    <w:r w:rsidR="007C5D6E" w:rsidRPr="007C5D6E">
      <w:rPr>
        <w:noProof/>
        <w:lang w:val="ko-KR"/>
      </w:rPr>
      <w:t>9</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09FF6" w14:textId="77777777" w:rsidR="00556982" w:rsidRDefault="00556982">
      <w:pPr>
        <w:spacing w:after="0" w:line="240" w:lineRule="auto"/>
      </w:pPr>
      <w:r>
        <w:separator/>
      </w:r>
    </w:p>
  </w:footnote>
  <w:footnote w:type="continuationSeparator" w:id="0">
    <w:p w14:paraId="5148D5D0" w14:textId="77777777" w:rsidR="00556982" w:rsidRDefault="00556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51B5"/>
    <w:rsid w:val="00017AF3"/>
    <w:rsid w:val="00024917"/>
    <w:rsid w:val="00027A03"/>
    <w:rsid w:val="00030668"/>
    <w:rsid w:val="00032426"/>
    <w:rsid w:val="000339C3"/>
    <w:rsid w:val="000400EC"/>
    <w:rsid w:val="000505F2"/>
    <w:rsid w:val="0005123B"/>
    <w:rsid w:val="00065434"/>
    <w:rsid w:val="00070A72"/>
    <w:rsid w:val="00072702"/>
    <w:rsid w:val="00072FF6"/>
    <w:rsid w:val="00073C73"/>
    <w:rsid w:val="00076199"/>
    <w:rsid w:val="00084DDD"/>
    <w:rsid w:val="0008574C"/>
    <w:rsid w:val="000907D3"/>
    <w:rsid w:val="00090F02"/>
    <w:rsid w:val="00094E98"/>
    <w:rsid w:val="00097D50"/>
    <w:rsid w:val="000A3E34"/>
    <w:rsid w:val="000B1585"/>
    <w:rsid w:val="000B7A5C"/>
    <w:rsid w:val="000C05B5"/>
    <w:rsid w:val="000D418E"/>
    <w:rsid w:val="000E0573"/>
    <w:rsid w:val="000E264B"/>
    <w:rsid w:val="000E6488"/>
    <w:rsid w:val="000E74FA"/>
    <w:rsid w:val="000F2386"/>
    <w:rsid w:val="000F649B"/>
    <w:rsid w:val="00100970"/>
    <w:rsid w:val="00113562"/>
    <w:rsid w:val="00121A86"/>
    <w:rsid w:val="001377C4"/>
    <w:rsid w:val="00144F6F"/>
    <w:rsid w:val="00145B3F"/>
    <w:rsid w:val="00151E44"/>
    <w:rsid w:val="00157CC8"/>
    <w:rsid w:val="001607CD"/>
    <w:rsid w:val="00163DC6"/>
    <w:rsid w:val="00175DCB"/>
    <w:rsid w:val="0018254B"/>
    <w:rsid w:val="00186CBF"/>
    <w:rsid w:val="001972A5"/>
    <w:rsid w:val="001972ED"/>
    <w:rsid w:val="001A0E0F"/>
    <w:rsid w:val="001B3D60"/>
    <w:rsid w:val="001C014F"/>
    <w:rsid w:val="001C3BDD"/>
    <w:rsid w:val="001C7493"/>
    <w:rsid w:val="001D20AF"/>
    <w:rsid w:val="001E0968"/>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674A4"/>
    <w:rsid w:val="00270EFF"/>
    <w:rsid w:val="002712D6"/>
    <w:rsid w:val="00271B5F"/>
    <w:rsid w:val="00272E13"/>
    <w:rsid w:val="00277E9D"/>
    <w:rsid w:val="00280703"/>
    <w:rsid w:val="00287872"/>
    <w:rsid w:val="00291B1C"/>
    <w:rsid w:val="0029786C"/>
    <w:rsid w:val="00297F87"/>
    <w:rsid w:val="002A1EE0"/>
    <w:rsid w:val="002A31A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51291"/>
    <w:rsid w:val="0035758D"/>
    <w:rsid w:val="00360A02"/>
    <w:rsid w:val="00365AC2"/>
    <w:rsid w:val="00373FB0"/>
    <w:rsid w:val="0037661C"/>
    <w:rsid w:val="003863C5"/>
    <w:rsid w:val="003878A1"/>
    <w:rsid w:val="00396644"/>
    <w:rsid w:val="003A1757"/>
    <w:rsid w:val="003A54D6"/>
    <w:rsid w:val="003A7CFA"/>
    <w:rsid w:val="003B1C92"/>
    <w:rsid w:val="003B3DE6"/>
    <w:rsid w:val="003B68CF"/>
    <w:rsid w:val="003C6A64"/>
    <w:rsid w:val="003C6EEB"/>
    <w:rsid w:val="003D48C0"/>
    <w:rsid w:val="003D7D6B"/>
    <w:rsid w:val="003E09C8"/>
    <w:rsid w:val="003E0A97"/>
    <w:rsid w:val="003F09D1"/>
    <w:rsid w:val="003F15C3"/>
    <w:rsid w:val="003F2B52"/>
    <w:rsid w:val="00400829"/>
    <w:rsid w:val="0040202F"/>
    <w:rsid w:val="00402C84"/>
    <w:rsid w:val="00404A2E"/>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07945"/>
    <w:rsid w:val="00521802"/>
    <w:rsid w:val="00522C98"/>
    <w:rsid w:val="00526C10"/>
    <w:rsid w:val="00534D90"/>
    <w:rsid w:val="0053548A"/>
    <w:rsid w:val="00537F2E"/>
    <w:rsid w:val="00556982"/>
    <w:rsid w:val="005704EE"/>
    <w:rsid w:val="00570671"/>
    <w:rsid w:val="005721AF"/>
    <w:rsid w:val="00577920"/>
    <w:rsid w:val="00582CBD"/>
    <w:rsid w:val="00586B64"/>
    <w:rsid w:val="0058707A"/>
    <w:rsid w:val="00590892"/>
    <w:rsid w:val="005929D1"/>
    <w:rsid w:val="00594018"/>
    <w:rsid w:val="005A4195"/>
    <w:rsid w:val="005A4985"/>
    <w:rsid w:val="005A61C1"/>
    <w:rsid w:val="005A782E"/>
    <w:rsid w:val="005B4CBD"/>
    <w:rsid w:val="005B5AC7"/>
    <w:rsid w:val="005B678C"/>
    <w:rsid w:val="005C20D9"/>
    <w:rsid w:val="005C21C3"/>
    <w:rsid w:val="005D2175"/>
    <w:rsid w:val="005D2C82"/>
    <w:rsid w:val="005E375F"/>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55588"/>
    <w:rsid w:val="00663346"/>
    <w:rsid w:val="00665958"/>
    <w:rsid w:val="00672395"/>
    <w:rsid w:val="00675EEE"/>
    <w:rsid w:val="006855D4"/>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526E7"/>
    <w:rsid w:val="00764E29"/>
    <w:rsid w:val="00766050"/>
    <w:rsid w:val="00772F09"/>
    <w:rsid w:val="00780468"/>
    <w:rsid w:val="00790096"/>
    <w:rsid w:val="007931B9"/>
    <w:rsid w:val="007A0884"/>
    <w:rsid w:val="007A1513"/>
    <w:rsid w:val="007A1B38"/>
    <w:rsid w:val="007A7542"/>
    <w:rsid w:val="007B0950"/>
    <w:rsid w:val="007B2391"/>
    <w:rsid w:val="007B3030"/>
    <w:rsid w:val="007B675D"/>
    <w:rsid w:val="007B77A8"/>
    <w:rsid w:val="007B7B2F"/>
    <w:rsid w:val="007C41D5"/>
    <w:rsid w:val="007C5D6E"/>
    <w:rsid w:val="007D18AB"/>
    <w:rsid w:val="007D4F81"/>
    <w:rsid w:val="007F17C0"/>
    <w:rsid w:val="007F22DD"/>
    <w:rsid w:val="007F7701"/>
    <w:rsid w:val="00800A20"/>
    <w:rsid w:val="008018A9"/>
    <w:rsid w:val="00802312"/>
    <w:rsid w:val="00816A36"/>
    <w:rsid w:val="00821F42"/>
    <w:rsid w:val="00822455"/>
    <w:rsid w:val="00822F10"/>
    <w:rsid w:val="008313F5"/>
    <w:rsid w:val="00835E6E"/>
    <w:rsid w:val="00836762"/>
    <w:rsid w:val="008432FE"/>
    <w:rsid w:val="008439D6"/>
    <w:rsid w:val="00843C00"/>
    <w:rsid w:val="00844ACC"/>
    <w:rsid w:val="0084552B"/>
    <w:rsid w:val="0084630D"/>
    <w:rsid w:val="00865E49"/>
    <w:rsid w:val="0086679E"/>
    <w:rsid w:val="00866C72"/>
    <w:rsid w:val="0087576B"/>
    <w:rsid w:val="008762B5"/>
    <w:rsid w:val="00877B28"/>
    <w:rsid w:val="00883BF6"/>
    <w:rsid w:val="0088782F"/>
    <w:rsid w:val="008A0467"/>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24D0"/>
    <w:rsid w:val="00964339"/>
    <w:rsid w:val="00964D6B"/>
    <w:rsid w:val="00965C93"/>
    <w:rsid w:val="0096730D"/>
    <w:rsid w:val="00974592"/>
    <w:rsid w:val="00974903"/>
    <w:rsid w:val="00974FDB"/>
    <w:rsid w:val="00987850"/>
    <w:rsid w:val="00993483"/>
    <w:rsid w:val="009943E7"/>
    <w:rsid w:val="009B4549"/>
    <w:rsid w:val="009B5978"/>
    <w:rsid w:val="009B75CE"/>
    <w:rsid w:val="009B76DE"/>
    <w:rsid w:val="009C0004"/>
    <w:rsid w:val="009C4D41"/>
    <w:rsid w:val="009D2A5B"/>
    <w:rsid w:val="009E26B1"/>
    <w:rsid w:val="009F0702"/>
    <w:rsid w:val="009F0BE1"/>
    <w:rsid w:val="009F6A8F"/>
    <w:rsid w:val="00A1351F"/>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3C44"/>
    <w:rsid w:val="00AB5BEE"/>
    <w:rsid w:val="00AB6194"/>
    <w:rsid w:val="00AC087E"/>
    <w:rsid w:val="00AD3254"/>
    <w:rsid w:val="00AE2F99"/>
    <w:rsid w:val="00AE7A53"/>
    <w:rsid w:val="00AF5F58"/>
    <w:rsid w:val="00AF676D"/>
    <w:rsid w:val="00B04B12"/>
    <w:rsid w:val="00B14AA2"/>
    <w:rsid w:val="00B14BE6"/>
    <w:rsid w:val="00B2207E"/>
    <w:rsid w:val="00B30D86"/>
    <w:rsid w:val="00B343A1"/>
    <w:rsid w:val="00B40C19"/>
    <w:rsid w:val="00B444EB"/>
    <w:rsid w:val="00B452C6"/>
    <w:rsid w:val="00B45FAE"/>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B42E8"/>
    <w:rsid w:val="00BC4667"/>
    <w:rsid w:val="00BD210C"/>
    <w:rsid w:val="00BD28D0"/>
    <w:rsid w:val="00BD521B"/>
    <w:rsid w:val="00BE5C0E"/>
    <w:rsid w:val="00BF1533"/>
    <w:rsid w:val="00BF55E5"/>
    <w:rsid w:val="00BF7528"/>
    <w:rsid w:val="00C02FEA"/>
    <w:rsid w:val="00C07C97"/>
    <w:rsid w:val="00C11123"/>
    <w:rsid w:val="00C14757"/>
    <w:rsid w:val="00C17D14"/>
    <w:rsid w:val="00C23A51"/>
    <w:rsid w:val="00C37D95"/>
    <w:rsid w:val="00C410D4"/>
    <w:rsid w:val="00C47D3A"/>
    <w:rsid w:val="00C668FC"/>
    <w:rsid w:val="00C66C37"/>
    <w:rsid w:val="00C9423E"/>
    <w:rsid w:val="00CA00E9"/>
    <w:rsid w:val="00CA16F7"/>
    <w:rsid w:val="00CA71CF"/>
    <w:rsid w:val="00CB0FA4"/>
    <w:rsid w:val="00CB10D0"/>
    <w:rsid w:val="00CB27C9"/>
    <w:rsid w:val="00CB651A"/>
    <w:rsid w:val="00CC13C2"/>
    <w:rsid w:val="00CC623A"/>
    <w:rsid w:val="00CC739C"/>
    <w:rsid w:val="00CD1732"/>
    <w:rsid w:val="00CD4CFA"/>
    <w:rsid w:val="00CD4E6A"/>
    <w:rsid w:val="00CD5083"/>
    <w:rsid w:val="00CD580D"/>
    <w:rsid w:val="00CD70D4"/>
    <w:rsid w:val="00CD7EC7"/>
    <w:rsid w:val="00CE085C"/>
    <w:rsid w:val="00CE09E5"/>
    <w:rsid w:val="00CF5378"/>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A4E0B"/>
    <w:rsid w:val="00DA5457"/>
    <w:rsid w:val="00DB0AE3"/>
    <w:rsid w:val="00DB6B4A"/>
    <w:rsid w:val="00DB7EB1"/>
    <w:rsid w:val="00DC67CC"/>
    <w:rsid w:val="00DE16ED"/>
    <w:rsid w:val="00DE2103"/>
    <w:rsid w:val="00DE62A8"/>
    <w:rsid w:val="00DF164C"/>
    <w:rsid w:val="00DF1BC0"/>
    <w:rsid w:val="00DF200A"/>
    <w:rsid w:val="00DF378E"/>
    <w:rsid w:val="00E02397"/>
    <w:rsid w:val="00E04D34"/>
    <w:rsid w:val="00E16472"/>
    <w:rsid w:val="00E1699B"/>
    <w:rsid w:val="00E20221"/>
    <w:rsid w:val="00E2206B"/>
    <w:rsid w:val="00E23DA6"/>
    <w:rsid w:val="00E24FA0"/>
    <w:rsid w:val="00E30C82"/>
    <w:rsid w:val="00E330DD"/>
    <w:rsid w:val="00E355F2"/>
    <w:rsid w:val="00E36748"/>
    <w:rsid w:val="00E37E4E"/>
    <w:rsid w:val="00E475EC"/>
    <w:rsid w:val="00E47800"/>
    <w:rsid w:val="00E56BC5"/>
    <w:rsid w:val="00E627A9"/>
    <w:rsid w:val="00E64BA5"/>
    <w:rsid w:val="00E659ED"/>
    <w:rsid w:val="00E676AF"/>
    <w:rsid w:val="00E77034"/>
    <w:rsid w:val="00E80606"/>
    <w:rsid w:val="00E80910"/>
    <w:rsid w:val="00E84B14"/>
    <w:rsid w:val="00E85BF8"/>
    <w:rsid w:val="00E97E18"/>
    <w:rsid w:val="00EA264B"/>
    <w:rsid w:val="00EA2CA2"/>
    <w:rsid w:val="00EB570E"/>
    <w:rsid w:val="00EB692D"/>
    <w:rsid w:val="00EC4E1A"/>
    <w:rsid w:val="00ED11C7"/>
    <w:rsid w:val="00ED7ED3"/>
    <w:rsid w:val="00EE585F"/>
    <w:rsid w:val="00EE5945"/>
    <w:rsid w:val="00EE77CF"/>
    <w:rsid w:val="00EF4AC1"/>
    <w:rsid w:val="00F01BB7"/>
    <w:rsid w:val="00F10C61"/>
    <w:rsid w:val="00F1114B"/>
    <w:rsid w:val="00F11406"/>
    <w:rsid w:val="00F30249"/>
    <w:rsid w:val="00F3033E"/>
    <w:rsid w:val="00F3107D"/>
    <w:rsid w:val="00F3367B"/>
    <w:rsid w:val="00F352BD"/>
    <w:rsid w:val="00F40EAC"/>
    <w:rsid w:val="00F5022B"/>
    <w:rsid w:val="00F51361"/>
    <w:rsid w:val="00F63718"/>
    <w:rsid w:val="00F67947"/>
    <w:rsid w:val="00F67A4F"/>
    <w:rsid w:val="00F742C0"/>
    <w:rsid w:val="00F86EEF"/>
    <w:rsid w:val="00F87F50"/>
    <w:rsid w:val="00F93E61"/>
    <w:rsid w:val="00F95A98"/>
    <w:rsid w:val="00F9699C"/>
    <w:rsid w:val="00FA2307"/>
    <w:rsid w:val="00FA5CE1"/>
    <w:rsid w:val="00FA6D7D"/>
    <w:rsid w:val="00FA6FE7"/>
    <w:rsid w:val="00FB08E1"/>
    <w:rsid w:val="00FB5B7B"/>
    <w:rsid w:val="00FD1819"/>
    <w:rsid w:val="00FD31D2"/>
    <w:rsid w:val="00FD3ADD"/>
    <w:rsid w:val="00FD7694"/>
    <w:rsid w:val="00FE32C6"/>
    <w:rsid w:val="00FE4417"/>
    <w:rsid w:val="00FE5E32"/>
    <w:rsid w:val="00FF23EA"/>
    <w:rsid w:val="00FF3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F1CF0-E7C5-4C09-9075-B9753947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25</Pages>
  <Words>4699</Words>
  <Characters>26787</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71</cp:revision>
  <dcterms:created xsi:type="dcterms:W3CDTF">2021-12-24T03:35:00Z</dcterms:created>
  <dcterms:modified xsi:type="dcterms:W3CDTF">2022-01-05T16:05:00Z</dcterms:modified>
</cp:coreProperties>
</file>