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F2922" w14:textId="77777777" w:rsidR="00FA5CE1" w:rsidRDefault="00FA5CE1" w:rsidP="002D3EBD">
      <w:pPr>
        <w:widowControl/>
        <w:wordWrap/>
        <w:autoSpaceDE/>
        <w:spacing w:after="0" w:line="480" w:lineRule="auto"/>
        <w:jc w:val="center"/>
        <w:rPr>
          <w:rFonts w:ascii="Times New Roman" w:eastAsia="바탕" w:hAnsi="Times New Roman" w:cs="Times New Roman"/>
          <w:b/>
          <w:sz w:val="36"/>
          <w:szCs w:val="24"/>
        </w:rPr>
      </w:pPr>
      <w:r>
        <w:rPr>
          <w:rFonts w:ascii="Times New Roman" w:eastAsia="바탕" w:hAnsi="Times New Roman" w:cs="Times New Roman"/>
          <w:b/>
          <w:sz w:val="36"/>
          <w:szCs w:val="24"/>
        </w:rPr>
        <w:t>Association of Increased Pulsatility Index of the Basilar Artery with Neurological Deterioration after Stroke</w:t>
      </w:r>
    </w:p>
    <w:p w14:paraId="1389A990" w14:textId="77777777" w:rsidR="00FA5CE1" w:rsidRDefault="00FA5CE1" w:rsidP="002D3EBD">
      <w:pPr>
        <w:widowControl/>
        <w:wordWrap/>
        <w:autoSpaceDE/>
        <w:spacing w:after="0" w:line="480" w:lineRule="auto"/>
        <w:jc w:val="center"/>
        <w:rPr>
          <w:rFonts w:ascii="Times New Roman" w:eastAsia="바탕" w:hAnsi="Times New Roman" w:cs="Times New Roman"/>
          <w:b/>
          <w:sz w:val="24"/>
          <w:szCs w:val="24"/>
        </w:rPr>
      </w:pPr>
      <w:r>
        <w:rPr>
          <w:rFonts w:ascii="Times New Roman" w:eastAsia="바탕" w:hAnsi="Times New Roman" w:cs="Times New Roman"/>
          <w:b/>
          <w:sz w:val="24"/>
          <w:szCs w:val="24"/>
        </w:rPr>
        <w:t>Short title: PI of BA Correlates with Stroke Progression</w:t>
      </w:r>
    </w:p>
    <w:p w14:paraId="233AB33C" w14:textId="77777777" w:rsidR="00FA5CE1" w:rsidRDefault="00FA5CE1" w:rsidP="002D3EBD">
      <w:pPr>
        <w:widowControl/>
        <w:wordWrap/>
        <w:autoSpaceDE/>
        <w:spacing w:after="0" w:line="480" w:lineRule="auto"/>
        <w:jc w:val="center"/>
        <w:rPr>
          <w:rFonts w:ascii="Times New Roman" w:eastAsia="바탕" w:hAnsi="Times New Roman" w:cs="Times New Roman"/>
          <w:b/>
          <w:sz w:val="32"/>
          <w:szCs w:val="24"/>
        </w:rPr>
      </w:pPr>
    </w:p>
    <w:p w14:paraId="33C561B1" w14:textId="2E2EC463" w:rsidR="00FA5CE1" w:rsidRDefault="00121A86"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N</w:t>
      </w:r>
      <w:r w:rsidRPr="00121A86">
        <w:rPr>
          <w:rFonts w:ascii="Times New Roman" w:hAnsi="Times New Roman" w:cs="Times New Roman"/>
          <w:sz w:val="24"/>
          <w:szCs w:val="24"/>
        </w:rPr>
        <w:t>umber of characters in the title</w:t>
      </w:r>
      <w:r>
        <w:rPr>
          <w:rFonts w:ascii="Times New Roman" w:hAnsi="Times New Roman" w:cs="Times New Roman"/>
          <w:sz w:val="24"/>
          <w:szCs w:val="24"/>
        </w:rPr>
        <w:t>: 96</w:t>
      </w:r>
    </w:p>
    <w:p w14:paraId="3023D67F" w14:textId="175FE39D" w:rsidR="00121A86" w:rsidRDefault="00121A86"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N</w:t>
      </w:r>
      <w:r w:rsidRPr="00121A86">
        <w:rPr>
          <w:rFonts w:ascii="Times New Roman" w:hAnsi="Times New Roman" w:cs="Times New Roman"/>
          <w:sz w:val="24"/>
          <w:szCs w:val="24"/>
        </w:rPr>
        <w:t>umber of words in the manuscript</w:t>
      </w:r>
      <w:r>
        <w:rPr>
          <w:rFonts w:ascii="Times New Roman" w:hAnsi="Times New Roman" w:cs="Times New Roman"/>
          <w:sz w:val="24"/>
          <w:szCs w:val="24"/>
        </w:rPr>
        <w:t xml:space="preserve">: </w:t>
      </w:r>
      <w:r w:rsidR="005E60E5">
        <w:rPr>
          <w:rFonts w:ascii="Times New Roman" w:hAnsi="Times New Roman" w:cs="Times New Roman"/>
          <w:sz w:val="24"/>
          <w:szCs w:val="24"/>
        </w:rPr>
        <w:t>1871</w:t>
      </w:r>
      <w:bookmarkStart w:id="0" w:name="_GoBack"/>
      <w:bookmarkEnd w:id="0"/>
    </w:p>
    <w:p w14:paraId="411FDF13" w14:textId="3E40BF31" w:rsidR="00121A86" w:rsidRDefault="00121A86"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Number of figures: 1</w:t>
      </w:r>
    </w:p>
    <w:p w14:paraId="66A7A370" w14:textId="29FD54EE" w:rsidR="00843C00" w:rsidRDefault="00121A86"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N</w:t>
      </w:r>
      <w:r w:rsidRPr="00121A86">
        <w:rPr>
          <w:rFonts w:ascii="Times New Roman" w:hAnsi="Times New Roman" w:cs="Times New Roman"/>
          <w:sz w:val="24"/>
          <w:szCs w:val="24"/>
        </w:rPr>
        <w:t>umber of tables</w:t>
      </w:r>
      <w:r>
        <w:rPr>
          <w:rFonts w:ascii="Times New Roman" w:hAnsi="Times New Roman" w:cs="Times New Roman"/>
          <w:sz w:val="24"/>
          <w:szCs w:val="24"/>
        </w:rPr>
        <w:t>: 3</w:t>
      </w:r>
    </w:p>
    <w:p w14:paraId="4032BC75" w14:textId="00F800D5" w:rsidR="00121A86" w:rsidRDefault="00843C00" w:rsidP="00843C00">
      <w:pPr>
        <w:widowControl/>
        <w:wordWrap/>
        <w:autoSpaceDE/>
        <w:autoSpaceDN/>
        <w:spacing w:line="259" w:lineRule="auto"/>
        <w:rPr>
          <w:rFonts w:ascii="Times New Roman" w:eastAsia="바탕" w:hAnsi="Times New Roman" w:cs="Times New Roman"/>
          <w:b/>
          <w:sz w:val="24"/>
          <w:szCs w:val="24"/>
        </w:rPr>
      </w:pPr>
      <w:r>
        <w:rPr>
          <w:rFonts w:ascii="Times New Roman" w:hAnsi="Times New Roman" w:cs="Times New Roman"/>
          <w:sz w:val="24"/>
          <w:szCs w:val="24"/>
        </w:rPr>
        <w:br w:type="page"/>
      </w:r>
    </w:p>
    <w:p w14:paraId="3A797EC7" w14:textId="77777777" w:rsidR="00FA5CE1" w:rsidRDefault="00FA5CE1" w:rsidP="002D3EBD">
      <w:pPr>
        <w:widowControl/>
        <w:wordWrap/>
        <w:autoSpaceDE/>
        <w:spacing w:after="100" w:afterAutospacing="1" w:line="480" w:lineRule="auto"/>
        <w:contextualSpacing/>
        <w:jc w:val="left"/>
        <w:rPr>
          <w:rFonts w:ascii="Times New Roman" w:eastAsia="바탕" w:hAnsi="Times New Roman" w:cs="Times New Roman"/>
          <w:b/>
          <w:sz w:val="32"/>
          <w:szCs w:val="24"/>
        </w:rPr>
      </w:pPr>
      <w:r>
        <w:rPr>
          <w:rFonts w:ascii="Times New Roman" w:eastAsia="바탕" w:hAnsi="Times New Roman" w:cs="Times New Roman"/>
          <w:b/>
          <w:sz w:val="32"/>
          <w:szCs w:val="24"/>
        </w:rPr>
        <w:lastRenderedPageBreak/>
        <w:t>Abstract</w:t>
      </w:r>
    </w:p>
    <w:p w14:paraId="62017C78" w14:textId="77777777" w:rsidR="00FA5CE1" w:rsidRDefault="00FA5CE1" w:rsidP="002D3EBD">
      <w:pPr>
        <w:spacing w:line="480" w:lineRule="auto"/>
        <w:rPr>
          <w:rFonts w:ascii="Times New Roman" w:hAnsi="Times New Roman" w:cs="Times New Roman"/>
          <w:sz w:val="24"/>
          <w:szCs w:val="24"/>
        </w:rPr>
      </w:pPr>
      <w:r>
        <w:rPr>
          <w:rFonts w:ascii="Times New Roman" w:hAnsi="Times New Roman" w:cs="Times New Roman"/>
          <w:b/>
          <w:sz w:val="24"/>
          <w:szCs w:val="24"/>
        </w:rPr>
        <w:t>Background and Purpose:</w:t>
      </w:r>
      <w:r>
        <w:rPr>
          <w:rFonts w:ascii="Times New Roman" w:hAnsi="Times New Roman" w:cs="Times New Roman"/>
          <w:sz w:val="24"/>
          <w:szCs w:val="24"/>
        </w:rPr>
        <w:t xml:space="preserve"> Higher pulsatility of the middle cerebral artery (MCA) is known to be associated with stroke progression. We investigated whether pulsatility index (PI) of the basilar artery (BA) can predict neurological deterioration (ND) after acute cerebral infarction.</w:t>
      </w:r>
    </w:p>
    <w:p w14:paraId="6E11022D" w14:textId="77777777" w:rsidR="00FA5CE1" w:rsidRDefault="00FA5CE1" w:rsidP="002D3EBD">
      <w:pPr>
        <w:spacing w:line="480" w:lineRule="auto"/>
        <w:rPr>
          <w:rFonts w:ascii="Times New Roman" w:hAnsi="Times New Roman" w:cs="Times New Roman"/>
          <w:sz w:val="24"/>
          <w:szCs w:val="24"/>
        </w:rPr>
      </w:pPr>
      <w:r>
        <w:rPr>
          <w:rFonts w:ascii="Times New Roman" w:hAnsi="Times New Roman" w:cs="Times New Roman"/>
          <w:b/>
          <w:sz w:val="24"/>
          <w:szCs w:val="24"/>
        </w:rPr>
        <w:t>Methods:</w:t>
      </w:r>
      <w:r>
        <w:rPr>
          <w:rFonts w:ascii="Times New Roman" w:hAnsi="Times New Roman" w:cs="Times New Roman"/>
          <w:sz w:val="24"/>
          <w:szCs w:val="24"/>
        </w:rPr>
        <w:t xml:space="preserve"> A total of 708 consecutive patients with acute ischemic stroke who had undergone transcranial Doppler (TCD) ultrasonography were included. ND was defined as an increase in the National Institutes of Health Stroke Scale scores by two or more points after admission. The patients were categorized into quartiles according to BA PI. Multivariable logistic regression analysis was performed to examine whether BA PI is independently associated with ND.</w:t>
      </w:r>
    </w:p>
    <w:p w14:paraId="1D8D587C" w14:textId="77777777" w:rsidR="00FA5CE1" w:rsidRDefault="00FA5CE1" w:rsidP="002D3EBD">
      <w:pPr>
        <w:spacing w:line="480" w:lineRule="auto"/>
        <w:rPr>
          <w:rFonts w:ascii="Times New Roman" w:hAnsi="Times New Roman" w:cs="Times New Roman"/>
          <w:sz w:val="24"/>
          <w:szCs w:val="24"/>
        </w:rPr>
      </w:pPr>
      <w:r>
        <w:rPr>
          <w:rFonts w:ascii="Times New Roman" w:hAnsi="Times New Roman" w:cs="Times New Roman"/>
          <w:b/>
          <w:sz w:val="24"/>
          <w:szCs w:val="24"/>
        </w:rPr>
        <w:t>Results:</w:t>
      </w:r>
      <w:r>
        <w:rPr>
          <w:rFonts w:ascii="Times New Roman" w:hAnsi="Times New Roman" w:cs="Times New Roman"/>
          <w:sz w:val="24"/>
          <w:szCs w:val="24"/>
        </w:rPr>
        <w:t xml:space="preserve"> Mean age, hemoglobin A1c, homocysteine, cerebral atherosclerosis burden, and the proportion of patients with hypertension, diabetes mellitus, presence of old lacunes, and ND as well as those of female sex also increased with increasing BA PI. Multivariable logistic regression analysis for variables including age, sex, vascular risk factors, homocysteine, and cerebral atherosclerosis burden showed that the highest BA PI quartile group was independently associated with ND (odds ratio = </w:t>
      </w:r>
      <w:r>
        <w:rPr>
          <w:rFonts w:ascii="Times New Roman" w:eastAsia="굴림체" w:hAnsi="Times New Roman" w:cs="Times New Roman"/>
          <w:kern w:val="24"/>
          <w:sz w:val="24"/>
          <w:szCs w:val="24"/>
        </w:rPr>
        <w:t>2.06</w:t>
      </w:r>
      <w:r>
        <w:rPr>
          <w:rFonts w:ascii="Times New Roman" w:hAnsi="Times New Roman" w:cs="Times New Roman"/>
          <w:sz w:val="24"/>
          <w:szCs w:val="24"/>
        </w:rPr>
        <w:t xml:space="preserve">; confidence interval = </w:t>
      </w:r>
      <w:r>
        <w:rPr>
          <w:rFonts w:ascii="Times New Roman" w:eastAsia="굴림체" w:hAnsi="Times New Roman" w:cs="Times New Roman"/>
          <w:kern w:val="24"/>
          <w:sz w:val="24"/>
          <w:szCs w:val="24"/>
        </w:rPr>
        <w:t>1.04–4.09</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 xml:space="preserve"> = 0.039). BA PI was well correlated with the right MCA PI (r = 0.757; </w:t>
      </w:r>
      <w:r>
        <w:rPr>
          <w:rFonts w:ascii="Times New Roman" w:hAnsi="Times New Roman" w:cs="Times New Roman"/>
          <w:i/>
          <w:sz w:val="24"/>
          <w:szCs w:val="24"/>
        </w:rPr>
        <w:t>p</w:t>
      </w:r>
      <w:r>
        <w:rPr>
          <w:rFonts w:ascii="Times New Roman" w:hAnsi="Times New Roman" w:cs="Times New Roman"/>
          <w:sz w:val="24"/>
          <w:szCs w:val="24"/>
        </w:rPr>
        <w:t xml:space="preserve"> &lt; 0.001 by Pearson’s correlation analysis), although MCA could not be measured by TCD ultrasonography for 234 patients (33.1%) owing to a poor temporal window.</w:t>
      </w:r>
    </w:p>
    <w:p w14:paraId="56836687" w14:textId="0D57F8C0" w:rsidR="00F11406" w:rsidRPr="005A61C1" w:rsidRDefault="00FA5CE1" w:rsidP="002D3EBD">
      <w:pPr>
        <w:spacing w:line="480" w:lineRule="auto"/>
        <w:rPr>
          <w:rFonts w:ascii="Times New Roman" w:hAnsi="Times New Roman" w:cs="Times New Roman"/>
          <w:sz w:val="24"/>
          <w:szCs w:val="24"/>
        </w:rPr>
      </w:pPr>
      <w:r>
        <w:rPr>
          <w:rFonts w:ascii="Times New Roman" w:hAnsi="Times New Roman" w:cs="Times New Roman"/>
          <w:b/>
          <w:sz w:val="24"/>
          <w:szCs w:val="24"/>
        </w:rPr>
        <w:t>Conclusions:</w:t>
      </w:r>
      <w:r>
        <w:rPr>
          <w:rFonts w:ascii="Times New Roman" w:hAnsi="Times New Roman" w:cs="Times New Roman"/>
          <w:sz w:val="24"/>
          <w:szCs w:val="24"/>
        </w:rPr>
        <w:t xml:space="preserve"> BA PI could predict ND among acute stroke patients, which is not influenced by temporal window.</w:t>
      </w:r>
    </w:p>
    <w:p w14:paraId="4F424793" w14:textId="2908C195" w:rsidR="00843C00" w:rsidRDefault="005A4195" w:rsidP="005A4195">
      <w:pPr>
        <w:wordWrap/>
        <w:spacing w:line="480" w:lineRule="auto"/>
        <w:rPr>
          <w:rFonts w:ascii="Times New Roman" w:hAnsi="Times New Roman" w:cs="Times New Roman"/>
          <w:sz w:val="24"/>
          <w:szCs w:val="24"/>
        </w:rPr>
      </w:pPr>
      <w:r>
        <w:rPr>
          <w:rFonts w:ascii="Times New Roman" w:hAnsi="Times New Roman" w:cs="Times New Roman"/>
          <w:sz w:val="24"/>
          <w:szCs w:val="24"/>
        </w:rPr>
        <w:t>Keywords: Basilar artery, Stroke, Transcranial Doppler Sonography</w:t>
      </w:r>
    </w:p>
    <w:p w14:paraId="2AD8B316" w14:textId="255EA657" w:rsidR="00FA5CE1" w:rsidRPr="00590892" w:rsidRDefault="00843C00" w:rsidP="00590892">
      <w:pPr>
        <w:widowControl/>
        <w:wordWrap/>
        <w:autoSpaceDE/>
        <w:autoSpaceDN/>
        <w:spacing w:line="480" w:lineRule="auto"/>
        <w:rPr>
          <w:rFonts w:ascii="Times New Roman" w:hAnsi="Times New Roman" w:cs="Times New Roman"/>
          <w:b/>
          <w:sz w:val="32"/>
          <w:szCs w:val="24"/>
        </w:rPr>
      </w:pPr>
      <w:r>
        <w:rPr>
          <w:rFonts w:ascii="Times New Roman" w:hAnsi="Times New Roman" w:cs="Times New Roman"/>
          <w:sz w:val="24"/>
          <w:szCs w:val="24"/>
        </w:rPr>
        <w:br w:type="page"/>
      </w:r>
      <w:r w:rsidR="0037661C" w:rsidRPr="00590892">
        <w:rPr>
          <w:rFonts w:ascii="Times New Roman" w:hAnsi="Times New Roman" w:cs="Times New Roman"/>
          <w:b/>
          <w:sz w:val="32"/>
          <w:szCs w:val="24"/>
        </w:rPr>
        <w:lastRenderedPageBreak/>
        <w:t xml:space="preserve">Introduction </w:t>
      </w:r>
    </w:p>
    <w:p w14:paraId="565B16F3" w14:textId="3427C73C" w:rsidR="00FA5CE1" w:rsidRPr="00590892" w:rsidRDefault="00FA5CE1" w:rsidP="00590892">
      <w:pPr>
        <w:spacing w:line="480" w:lineRule="auto"/>
        <w:rPr>
          <w:rFonts w:ascii="Times New Roman" w:hAnsi="Times New Roman" w:cs="Times New Roman"/>
          <w:sz w:val="32"/>
          <w:szCs w:val="24"/>
        </w:rPr>
      </w:pPr>
      <w:r w:rsidRPr="00590892">
        <w:rPr>
          <w:rFonts w:ascii="Times New Roman" w:hAnsi="Times New Roman" w:cs="Times New Roman"/>
          <w:sz w:val="24"/>
          <w:szCs w:val="24"/>
        </w:rPr>
        <w:t>Neurological deterioration (ND) occurs in 10%–58% stroke patients and results in poor prognosis and mortality.</w:t>
      </w:r>
      <w:r w:rsidRPr="00590892">
        <w:rPr>
          <w:rFonts w:ascii="Times New Roman" w:hAnsi="Times New Roman" w:cs="Times New Roman"/>
          <w:noProof/>
          <w:sz w:val="24"/>
          <w:szCs w:val="24"/>
          <w:vertAlign w:val="superscript"/>
        </w:rPr>
        <w:t>1-5</w:t>
      </w:r>
      <w:r w:rsidRPr="00590892">
        <w:rPr>
          <w:rFonts w:ascii="Times New Roman" w:hAnsi="Times New Roman" w:cs="Times New Roman"/>
          <w:sz w:val="24"/>
          <w:szCs w:val="24"/>
        </w:rPr>
        <w:t xml:space="preserve"> Several factors are known to be associated with ND, such as old age, diabetes mellitus (DM), hypertension (HTN), smoking habit, coronary heart disease, the size of low density lesions as observed on initial computed tomography (CT), change in the flow velocity of middle cerebral artery (MCA), impaired cerebral hemodynamic reserve, blood glucose level, proinflammatory cytokine level, and blood pressure (BP).</w:t>
      </w:r>
      <w:r w:rsidRPr="00590892">
        <w:rPr>
          <w:rFonts w:ascii="Times New Roman" w:hAnsi="Times New Roman" w:cs="Times New Roman"/>
          <w:sz w:val="24"/>
          <w:szCs w:val="24"/>
          <w:vertAlign w:val="superscript"/>
        </w:rPr>
        <w:t>5-10</w:t>
      </w:r>
      <w:r w:rsidRPr="00590892">
        <w:rPr>
          <w:rFonts w:ascii="Times New Roman" w:hAnsi="Times New Roman" w:cs="Times New Roman"/>
          <w:sz w:val="24"/>
          <w:szCs w:val="24"/>
        </w:rPr>
        <w:t xml:space="preserve"> From a mechanistic perspective, failed intracranial collateral blood flow or elevated intracranial pressure may lead to decreased cerebral perfusion, thereby causing ND.</w:t>
      </w:r>
      <w:r w:rsidRPr="00590892">
        <w:rPr>
          <w:rFonts w:ascii="Times New Roman" w:hAnsi="Times New Roman" w:cs="Times New Roman"/>
          <w:sz w:val="24"/>
          <w:szCs w:val="24"/>
          <w:vertAlign w:val="superscript"/>
        </w:rPr>
        <w:t>2</w:t>
      </w:r>
    </w:p>
    <w:p w14:paraId="7F8C5ECF" w14:textId="77777777" w:rsidR="00FA5CE1" w:rsidRPr="00590892" w:rsidRDefault="00FA5CE1" w:rsidP="00590892">
      <w:pPr>
        <w:spacing w:line="480" w:lineRule="auto"/>
        <w:rPr>
          <w:rFonts w:ascii="Times New Roman" w:hAnsi="Times New Roman" w:cs="Times New Roman"/>
          <w:sz w:val="32"/>
          <w:szCs w:val="24"/>
        </w:rPr>
      </w:pPr>
      <w:r w:rsidRPr="00590892">
        <w:rPr>
          <w:rFonts w:ascii="Times New Roman" w:hAnsi="Times New Roman" w:cs="Times New Roman"/>
          <w:sz w:val="24"/>
          <w:szCs w:val="24"/>
        </w:rPr>
        <w:t>Because the stiffness of large arteries is linked with various cerebral small vessel disease phenotypes including cerebral microbleeds, white matter hyperintensities, and lacunar cerebral infarction, it may be plausible that increased cerebral arterial stiffness is associated with ND after stroke.</w:t>
      </w:r>
      <w:r w:rsidRPr="00590892">
        <w:rPr>
          <w:rFonts w:ascii="Times New Roman" w:hAnsi="Times New Roman" w:cs="Times New Roman"/>
          <w:sz w:val="24"/>
          <w:szCs w:val="24"/>
          <w:vertAlign w:val="superscript"/>
        </w:rPr>
        <w:t>11-17</w:t>
      </w:r>
      <w:r w:rsidRPr="00590892">
        <w:rPr>
          <w:rFonts w:ascii="Times New Roman" w:hAnsi="Times New Roman" w:cs="Times New Roman"/>
          <w:sz w:val="24"/>
          <w:szCs w:val="24"/>
        </w:rPr>
        <w:t xml:space="preserve"> The pulsatility index (PI) of intracranial cerebral arteries, as measured by transcranial Doppler (TCD) ultrasonography, is known to reflect the resistance of downstream arteries and compliance of large cerebral arteries.</w:t>
      </w:r>
      <w:r w:rsidRPr="00590892">
        <w:rPr>
          <w:rFonts w:ascii="Times New Roman" w:hAnsi="Times New Roman" w:cs="Times New Roman"/>
          <w:sz w:val="24"/>
          <w:szCs w:val="24"/>
          <w:vertAlign w:val="superscript"/>
        </w:rPr>
        <w:t>18-21</w:t>
      </w:r>
      <w:r w:rsidRPr="00590892">
        <w:rPr>
          <w:rFonts w:ascii="Times New Roman" w:hAnsi="Times New Roman" w:cs="Times New Roman"/>
          <w:sz w:val="24"/>
          <w:szCs w:val="24"/>
        </w:rPr>
        <w:t xml:space="preserve"> Recent study reported that elevated MCA PI is independently associated with ND among lacunar stroke patients.</w:t>
      </w:r>
      <w:r w:rsidRPr="00590892">
        <w:rPr>
          <w:rFonts w:ascii="Times New Roman" w:hAnsi="Times New Roman" w:cs="Times New Roman"/>
          <w:sz w:val="24"/>
          <w:szCs w:val="24"/>
          <w:vertAlign w:val="superscript"/>
        </w:rPr>
        <w:t xml:space="preserve">18 </w:t>
      </w:r>
      <w:r w:rsidRPr="00590892">
        <w:rPr>
          <w:rFonts w:ascii="Times New Roman" w:hAnsi="Times New Roman" w:cs="Times New Roman"/>
          <w:sz w:val="24"/>
          <w:szCs w:val="24"/>
        </w:rPr>
        <w:t>However, MCA PI is often unobtainable in elderly stroke patients owing to poor acoustical temporal bone window. Basilar artery (BA) measured from transforaminal window can be an alternative to obtain intracranial PI, but its clinical significance among stroke patients has not been appreciated yet. We investigated whether BA PI can predict ND after acute stroke.</w:t>
      </w:r>
    </w:p>
    <w:p w14:paraId="471E390A" w14:textId="77777777" w:rsidR="00FA5CE1" w:rsidRPr="00590892" w:rsidRDefault="00FA5CE1" w:rsidP="00590892">
      <w:pPr>
        <w:pageBreakBefore/>
        <w:spacing w:line="480" w:lineRule="auto"/>
        <w:rPr>
          <w:rFonts w:ascii="Times New Roman" w:hAnsi="Times New Roman" w:cs="Times New Roman"/>
          <w:b/>
          <w:sz w:val="32"/>
          <w:szCs w:val="24"/>
        </w:rPr>
      </w:pPr>
      <w:r w:rsidRPr="00590892">
        <w:rPr>
          <w:rFonts w:ascii="Times New Roman" w:hAnsi="Times New Roman" w:cs="Times New Roman"/>
          <w:b/>
          <w:sz w:val="32"/>
          <w:szCs w:val="24"/>
        </w:rPr>
        <w:lastRenderedPageBreak/>
        <w:t>Methods</w:t>
      </w:r>
    </w:p>
    <w:p w14:paraId="6D7F08A0"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Patients and evaluation</w:t>
      </w:r>
    </w:p>
    <w:p w14:paraId="3D7AD3B7" w14:textId="29A4DD0C" w:rsidR="00FA5CE1" w:rsidRPr="00590892" w:rsidRDefault="00FA5CE1" w:rsidP="00590892">
      <w:pPr>
        <w:spacing w:line="480" w:lineRule="auto"/>
        <w:rPr>
          <w:rFonts w:ascii="Times New Roman" w:hAnsi="Times New Roman" w:cs="Times New Roman"/>
          <w:sz w:val="28"/>
          <w:szCs w:val="24"/>
        </w:rPr>
      </w:pPr>
      <w:r w:rsidRPr="00590892">
        <w:rPr>
          <w:rFonts w:ascii="Times New Roman" w:hAnsi="Times New Roman" w:cs="Times New Roman"/>
          <w:sz w:val="24"/>
          <w:szCs w:val="24"/>
        </w:rPr>
        <w:t>From January 2014 to December 2015, consecutive patients w</w:t>
      </w:r>
      <w:r w:rsidR="00F5022B" w:rsidRPr="00590892">
        <w:rPr>
          <w:rFonts w:ascii="Times New Roman" w:hAnsi="Times New Roman" w:cs="Times New Roman"/>
          <w:sz w:val="24"/>
          <w:szCs w:val="24"/>
        </w:rPr>
        <w:t>ith acute cerebral infarction and</w:t>
      </w:r>
      <w:r w:rsidRPr="00590892">
        <w:rPr>
          <w:rFonts w:ascii="Times New Roman" w:hAnsi="Times New Roman" w:cs="Times New Roman"/>
          <w:sz w:val="24"/>
          <w:szCs w:val="24"/>
        </w:rPr>
        <w:t xml:space="preserve"> transient ischemic attack (TIA) who had undergone TCD ultrasonography were retrospectively reviewed. This study was reviewed and approved by the institutional review board of Chung-Ang University Hospital (C2013110) and was conducted</w:t>
      </w:r>
      <w:r w:rsidRPr="00590892">
        <w:rPr>
          <w:rFonts w:ascii="Times New Roman" w:eastAsia="STIX-Regular" w:hAnsi="Times New Roman" w:cs="Times New Roman"/>
          <w:kern w:val="0"/>
          <w:sz w:val="24"/>
          <w:szCs w:val="24"/>
        </w:rPr>
        <w:t xml:space="preserve"> in accordance with the 1964 Helsinki declaration and its later amendments. </w:t>
      </w:r>
      <w:r w:rsidR="00E94DCF">
        <w:rPr>
          <w:rFonts w:ascii="Times New Roman" w:eastAsia="STIX-Regular" w:hAnsi="Times New Roman" w:cs="Times New Roman"/>
          <w:kern w:val="0"/>
          <w:sz w:val="24"/>
          <w:szCs w:val="24"/>
        </w:rPr>
        <w:t>I</w:t>
      </w:r>
      <w:r w:rsidR="00E94DCF" w:rsidRPr="00E94DCF">
        <w:rPr>
          <w:rFonts w:ascii="Times New Roman" w:eastAsia="STIX-Regular" w:hAnsi="Times New Roman" w:cs="Times New Roman"/>
          <w:kern w:val="0"/>
          <w:sz w:val="24"/>
          <w:szCs w:val="24"/>
        </w:rPr>
        <w:t xml:space="preserve">nformed consent was obtained from all </w:t>
      </w:r>
      <w:r w:rsidR="00E94DCF">
        <w:rPr>
          <w:rFonts w:ascii="Times New Roman" w:eastAsia="STIX-Regular" w:hAnsi="Times New Roman" w:cs="Times New Roman" w:hint="eastAsia"/>
          <w:kern w:val="0"/>
          <w:sz w:val="24"/>
          <w:szCs w:val="24"/>
        </w:rPr>
        <w:t>patients</w:t>
      </w:r>
      <w:r w:rsidR="00E94DCF" w:rsidRPr="00E94DCF">
        <w:rPr>
          <w:rFonts w:ascii="Times New Roman" w:eastAsia="STIX-Regular" w:hAnsi="Times New Roman" w:cs="Times New Roman"/>
          <w:kern w:val="0"/>
          <w:sz w:val="24"/>
          <w:szCs w:val="24"/>
        </w:rPr>
        <w:t>.</w:t>
      </w:r>
      <w:r w:rsidR="00E94DCF">
        <w:rPr>
          <w:rFonts w:ascii="Times New Roman" w:eastAsia="STIX-Regular" w:hAnsi="Times New Roman" w:cs="Times New Roman"/>
          <w:kern w:val="0"/>
          <w:sz w:val="24"/>
          <w:szCs w:val="24"/>
        </w:rPr>
        <w:t xml:space="preserve"> </w:t>
      </w:r>
      <w:r w:rsidRPr="00590892">
        <w:rPr>
          <w:rFonts w:ascii="Times New Roman" w:hAnsi="Times New Roman" w:cs="Times New Roman"/>
          <w:sz w:val="24"/>
          <w:szCs w:val="24"/>
        </w:rPr>
        <w:t>Their medical history, clinical manifestations, and vascular risk factors were reviewed from a stroke registry at the Chung-Ang University Hospital. ND was defined as per previous studies, i.e., an increase in the National Institutes of Health Stroke Scale (NIHSS) score by two or more points.</w:t>
      </w:r>
      <w:r w:rsidRPr="00590892">
        <w:rPr>
          <w:rFonts w:ascii="Times New Roman" w:hAnsi="Times New Roman" w:cs="Times New Roman"/>
          <w:sz w:val="24"/>
          <w:szCs w:val="24"/>
          <w:vertAlign w:val="superscript"/>
        </w:rPr>
        <w:t>22, 23</w:t>
      </w:r>
      <w:r w:rsidR="000505F2" w:rsidRPr="00590892">
        <w:rPr>
          <w:rFonts w:ascii="Times New Roman" w:hAnsi="Times New Roman" w:cs="Times New Roman"/>
          <w:sz w:val="24"/>
          <w:szCs w:val="24"/>
          <w:vertAlign w:val="superscript"/>
        </w:rPr>
        <w:t xml:space="preserve"> </w:t>
      </w:r>
      <w:r w:rsidR="000505F2" w:rsidRPr="00590892">
        <w:rPr>
          <w:rFonts w:ascii="Times New Roman" w:hAnsi="Times New Roman" w:cs="Times New Roman"/>
          <w:sz w:val="24"/>
          <w:szCs w:val="24"/>
        </w:rPr>
        <w:t>The NIHSS score was evaluated by a neurologist, who was unaware of TCD results, within 24 hours of hospitalization and when neurological symptoms worsened.</w:t>
      </w:r>
    </w:p>
    <w:p w14:paraId="2C18FB68" w14:textId="077342B7" w:rsidR="00FA5CE1" w:rsidRPr="00590892" w:rsidRDefault="00FA5CE1" w:rsidP="00590892">
      <w:pPr>
        <w:spacing w:line="480" w:lineRule="auto"/>
        <w:rPr>
          <w:rFonts w:ascii="Times New Roman" w:eastAsia="STIX-Regular" w:hAnsi="Times New Roman" w:cs="Times New Roman"/>
          <w:kern w:val="0"/>
          <w:sz w:val="24"/>
          <w:szCs w:val="24"/>
        </w:rPr>
      </w:pPr>
      <w:r w:rsidRPr="00590892">
        <w:rPr>
          <w:rFonts w:ascii="Times New Roman" w:hAnsi="Times New Roman" w:cs="Times New Roman"/>
          <w:sz w:val="24"/>
          <w:szCs w:val="24"/>
        </w:rPr>
        <w:t xml:space="preserve">Each patient was examined with brain magnetic resonance imaging (MRI) and </w:t>
      </w:r>
      <w:r w:rsidRPr="00590892">
        <w:rPr>
          <w:rFonts w:ascii="Times New Roman" w:eastAsia="STIX-Regular" w:hAnsi="Times New Roman" w:cs="Times New Roman"/>
          <w:kern w:val="0"/>
          <w:sz w:val="24"/>
          <w:szCs w:val="24"/>
        </w:rPr>
        <w:t xml:space="preserve">computed tomography </w:t>
      </w:r>
      <w:r w:rsidR="00A3183F" w:rsidRPr="00590892">
        <w:rPr>
          <w:rFonts w:ascii="Times New Roman" w:hAnsi="Times New Roman" w:cs="Times New Roman"/>
          <w:sz w:val="24"/>
          <w:szCs w:val="24"/>
        </w:rPr>
        <w:t>angiography (CTA). A</w:t>
      </w:r>
      <w:r w:rsidRPr="00590892">
        <w:rPr>
          <w:rFonts w:ascii="Times New Roman" w:eastAsia="STIX-Regular" w:hAnsi="Times New Roman" w:cs="Times New Roman"/>
          <w:kern w:val="0"/>
          <w:sz w:val="24"/>
          <w:szCs w:val="24"/>
        </w:rPr>
        <w:t xml:space="preserve">cute cerebral infarction </w:t>
      </w:r>
      <w:r w:rsidR="00A3183F" w:rsidRPr="00590892">
        <w:rPr>
          <w:rFonts w:ascii="Times New Roman" w:eastAsia="STIX-Regular" w:hAnsi="Times New Roman" w:cs="Times New Roman"/>
          <w:kern w:val="0"/>
          <w:sz w:val="24"/>
          <w:szCs w:val="24"/>
        </w:rPr>
        <w:t xml:space="preserve">or transient cerebral ischemia was determined according to whether there is </w:t>
      </w:r>
      <w:r w:rsidRPr="00590892">
        <w:rPr>
          <w:rFonts w:ascii="Times New Roman" w:eastAsia="STIX-Regular" w:hAnsi="Times New Roman" w:cs="Times New Roman"/>
          <w:kern w:val="0"/>
          <w:sz w:val="24"/>
          <w:szCs w:val="24"/>
        </w:rPr>
        <w:t>hyperintensity</w:t>
      </w:r>
      <w:r w:rsidR="00A3183F" w:rsidRPr="00590892">
        <w:rPr>
          <w:rFonts w:ascii="Times New Roman" w:eastAsia="STIX-Regular" w:hAnsi="Times New Roman" w:cs="Times New Roman"/>
          <w:kern w:val="0"/>
          <w:sz w:val="24"/>
          <w:szCs w:val="24"/>
        </w:rPr>
        <w:t xml:space="preserve"> lesion</w:t>
      </w:r>
      <w:r w:rsidRPr="00590892">
        <w:rPr>
          <w:rFonts w:ascii="Times New Roman" w:eastAsia="STIX-Regular" w:hAnsi="Times New Roman" w:cs="Times New Roman"/>
          <w:kern w:val="0"/>
          <w:sz w:val="24"/>
          <w:szCs w:val="24"/>
        </w:rPr>
        <w:t xml:space="preserve"> on diffusion-weighted images that matched with hypointensity on apparent diffusion coefficient maps of brain MRI</w:t>
      </w:r>
      <w:r w:rsidR="00E330DD" w:rsidRPr="00590892">
        <w:rPr>
          <w:rFonts w:ascii="Times New Roman" w:eastAsia="STIX-Regular" w:hAnsi="Times New Roman" w:cs="Times New Roman"/>
          <w:kern w:val="0"/>
          <w:sz w:val="24"/>
          <w:szCs w:val="24"/>
        </w:rPr>
        <w:t xml:space="preserve"> or not</w:t>
      </w:r>
      <w:r w:rsidR="00A3183F" w:rsidRPr="00590892">
        <w:rPr>
          <w:rFonts w:ascii="Times New Roman" w:eastAsia="STIX-Regular" w:hAnsi="Times New Roman" w:cs="Times New Roman"/>
          <w:kern w:val="0"/>
          <w:sz w:val="24"/>
          <w:szCs w:val="24"/>
        </w:rPr>
        <w:t xml:space="preserve">. </w:t>
      </w:r>
      <w:r w:rsidRPr="00590892">
        <w:rPr>
          <w:rFonts w:ascii="Times New Roman" w:hAnsi="Times New Roman" w:cs="Times New Roman"/>
          <w:sz w:val="24"/>
          <w:szCs w:val="24"/>
        </w:rPr>
        <w:t xml:space="preserve">We gathered information about small vessel disease from MRI and cerebral atherosclerosis from brain CTA. </w:t>
      </w:r>
      <w:r w:rsidRPr="00590892">
        <w:rPr>
          <w:rFonts w:ascii="Times New Roman" w:eastAsia="STIX-Regular" w:hAnsi="Times New Roman" w:cs="Times New Roman"/>
          <w:kern w:val="0"/>
          <w:sz w:val="24"/>
          <w:szCs w:val="24"/>
        </w:rPr>
        <w:t xml:space="preserve">Old </w:t>
      </w:r>
      <w:r w:rsidRPr="00590892">
        <w:rPr>
          <w:rFonts w:ascii="Times New Roman" w:hAnsi="Times New Roman" w:cs="Times New Roman"/>
          <w:sz w:val="24"/>
          <w:szCs w:val="24"/>
        </w:rPr>
        <w:t xml:space="preserve">lacunes </w:t>
      </w:r>
      <w:r w:rsidRPr="00590892">
        <w:rPr>
          <w:rFonts w:ascii="Times New Roman" w:eastAsia="STIX-Regular" w:hAnsi="Times New Roman" w:cs="Times New Roman"/>
          <w:kern w:val="0"/>
          <w:sz w:val="24"/>
          <w:szCs w:val="24"/>
        </w:rPr>
        <w:t xml:space="preserve">were determined by round or ovoid hypointense lesions which were encompassed by an hyperintense rim measuring &lt;1.5 cm in size at one of the perforating artery territories. Cerebral microbleed was defined as round or ovoid hypointense lesions appearing on susceptibility-weighted images, excluding traumatic hemorrhage or calcification lesions. Cerebral atherosclerosis score </w:t>
      </w:r>
      <w:r w:rsidRPr="00590892">
        <w:rPr>
          <w:rFonts w:ascii="Times New Roman" w:hAnsi="Times New Roman" w:cs="Times New Roman"/>
          <w:sz w:val="24"/>
          <w:szCs w:val="24"/>
        </w:rPr>
        <w:t>(CAS)</w:t>
      </w:r>
      <w:r w:rsidRPr="00590892">
        <w:rPr>
          <w:rFonts w:ascii="Times New Roman" w:eastAsia="STIX-Regular" w:hAnsi="Times New Roman" w:cs="Times New Roman"/>
          <w:kern w:val="0"/>
          <w:sz w:val="24"/>
          <w:szCs w:val="24"/>
        </w:rPr>
        <w:t xml:space="preserve"> was calculated by the sum of the degrees of stenosis of the intracranial arteries on brain CTA. Stenosis of intracranial arteries was identified </w:t>
      </w:r>
      <w:r w:rsidRPr="00590892">
        <w:rPr>
          <w:rFonts w:ascii="Times New Roman" w:eastAsia="STIX-Regular" w:hAnsi="Times New Roman" w:cs="Times New Roman"/>
          <w:kern w:val="0"/>
          <w:sz w:val="24"/>
          <w:szCs w:val="24"/>
        </w:rPr>
        <w:lastRenderedPageBreak/>
        <w:t>at bilateral anterior/middle/posterior cerebral arteries, BA, intracranial portion of internal carotid arteries, and vertebral arteries and scored as follows: 0, no stenosis; 1, &lt;50% stenosis; 2, &gt;50% stenosis but no occlusion; 3, occlusion.</w:t>
      </w:r>
      <w:r w:rsidR="007B7B2F" w:rsidRPr="00590892">
        <w:rPr>
          <w:rFonts w:ascii="Times New Roman" w:eastAsia="STIX-Regular" w:hAnsi="Times New Roman" w:cs="Times New Roman"/>
          <w:kern w:val="0"/>
          <w:sz w:val="24"/>
          <w:szCs w:val="24"/>
        </w:rPr>
        <w:t xml:space="preserve"> Patients with cerebral infarction were classified according to the TOAST classification, patients with large artery atherosclerosis, small vessel occlusion and cardiac embolism were included. </w:t>
      </w:r>
    </w:p>
    <w:p w14:paraId="55719C26" w14:textId="77777777" w:rsidR="00FA5CE1" w:rsidRPr="00590892" w:rsidRDefault="00FA5CE1" w:rsidP="00590892">
      <w:pPr>
        <w:spacing w:line="480" w:lineRule="auto"/>
        <w:rPr>
          <w:rFonts w:ascii="Times New Roman" w:hAnsi="Times New Roman" w:cs="Times New Roman"/>
          <w:bCs/>
          <w:sz w:val="28"/>
          <w:szCs w:val="24"/>
        </w:rPr>
      </w:pPr>
    </w:p>
    <w:p w14:paraId="02802FB5"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Transcranial Doppler ultrasonographic examination</w:t>
      </w:r>
    </w:p>
    <w:p w14:paraId="0AB2D453" w14:textId="77777777" w:rsidR="00FA5CE1" w:rsidRPr="00590892" w:rsidRDefault="00FA5CE1" w:rsidP="00590892">
      <w:pPr>
        <w:spacing w:line="480" w:lineRule="auto"/>
        <w:rPr>
          <w:rFonts w:ascii="Times New Roman" w:hAnsi="Times New Roman" w:cs="Times New Roman"/>
          <w:sz w:val="28"/>
          <w:szCs w:val="24"/>
        </w:rPr>
      </w:pPr>
      <w:r w:rsidRPr="00590892">
        <w:rPr>
          <w:rFonts w:ascii="Times New Roman" w:hAnsi="Times New Roman" w:cs="Times New Roman"/>
          <w:sz w:val="24"/>
          <w:szCs w:val="24"/>
        </w:rPr>
        <w:t>Within 7 days of admission, TCD ultrasonography was performed by an experienced medical technician with a 2-MHz probe and Companion III (Nicolet EME, UK). In all patients, the sonographic parameters, including peak systolic flow velocities (PSVs), peak diastolic velocities (PDVs), and mean flow velocities, were measured with a probe in the bilateral MCAs, BA, and other sites. All sonographic measurements of BA were performed via a transforaminal window with an insonation depth of 80–100 mm in the lying position. PI was measured according to the Gosling formula [{peak systolic velocity (PSV) – peak diastolic velocity (PDV)}/{(PSV+2PDV)/3}], as described in previous studies.</w:t>
      </w:r>
      <w:r w:rsidRPr="00590892">
        <w:rPr>
          <w:rFonts w:ascii="Times New Roman" w:hAnsi="Times New Roman" w:cs="Times New Roman"/>
          <w:sz w:val="24"/>
          <w:szCs w:val="24"/>
          <w:vertAlign w:val="superscript"/>
        </w:rPr>
        <w:t>20, 24</w:t>
      </w:r>
      <w:r w:rsidRPr="00590892">
        <w:rPr>
          <w:rFonts w:ascii="Times New Roman" w:hAnsi="Times New Roman" w:cs="Times New Roman"/>
          <w:sz w:val="24"/>
          <w:szCs w:val="24"/>
        </w:rPr>
        <w:t xml:space="preserve"> All the results from TCD ultrasonography were interpreted by certified neurologists.</w:t>
      </w:r>
    </w:p>
    <w:p w14:paraId="09883605" w14:textId="77777777" w:rsidR="00FA5CE1" w:rsidRPr="00590892" w:rsidRDefault="00FA5CE1" w:rsidP="00590892">
      <w:pPr>
        <w:spacing w:line="480" w:lineRule="auto"/>
        <w:rPr>
          <w:rFonts w:ascii="Times New Roman" w:hAnsi="Times New Roman" w:cs="Times New Roman"/>
          <w:sz w:val="24"/>
          <w:szCs w:val="24"/>
        </w:rPr>
      </w:pPr>
    </w:p>
    <w:p w14:paraId="498D1B53"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Statistical analysis</w:t>
      </w:r>
    </w:p>
    <w:p w14:paraId="455E0E9B" w14:textId="77777777" w:rsidR="00FA5CE1" w:rsidRPr="00590892" w:rsidRDefault="00FA5CE1" w:rsidP="00590892">
      <w:pPr>
        <w:spacing w:line="480" w:lineRule="auto"/>
        <w:rPr>
          <w:rFonts w:ascii="Times New Roman" w:hAnsi="Times New Roman" w:cs="Times New Roman"/>
          <w:sz w:val="24"/>
          <w:szCs w:val="24"/>
        </w:rPr>
      </w:pPr>
      <w:r w:rsidRPr="00590892">
        <w:rPr>
          <w:rFonts w:ascii="Times New Roman" w:hAnsi="Times New Roman" w:cs="Times New Roman"/>
          <w:sz w:val="24"/>
          <w:szCs w:val="24"/>
        </w:rPr>
        <w:t xml:space="preserve">All statistical analyses were performed using SPSS (version 21.0; IBM Corporation, Armonk, NY, USA) and R (version 3.5.1, July 2, 2018). First, the patients were divided into four groups according to BA PI quartiles. The differences among the groups for categorical variables were assessed using the Fisher’s exact or Pearson’s </w:t>
      </w:r>
      <w:r w:rsidRPr="00590892">
        <w:rPr>
          <w:rFonts w:ascii="Times New Roman" w:eastAsia="맑은 고딕" w:hAnsi="Times New Roman" w:cs="Times New Roman"/>
          <w:sz w:val="24"/>
          <w:szCs w:val="24"/>
        </w:rPr>
        <w:t>χ</w:t>
      </w:r>
      <w:r w:rsidRPr="00590892">
        <w:rPr>
          <w:rFonts w:ascii="Times New Roman" w:hAnsi="Times New Roman" w:cs="Times New Roman"/>
          <w:sz w:val="24"/>
          <w:szCs w:val="24"/>
          <w:vertAlign w:val="superscript"/>
        </w:rPr>
        <w:t>2</w:t>
      </w:r>
      <w:r w:rsidRPr="00590892">
        <w:rPr>
          <w:rFonts w:ascii="Times New Roman" w:hAnsi="Times New Roman" w:cs="Times New Roman"/>
          <w:sz w:val="24"/>
          <w:szCs w:val="24"/>
        </w:rPr>
        <w:t xml:space="preserve"> tests, the NIHSS and CAS was compared using </w:t>
      </w:r>
      <w:r w:rsidRPr="00590892">
        <w:rPr>
          <w:rFonts w:ascii="Times New Roman" w:hAnsi="Times New Roman" w:cs="Times New Roman"/>
          <w:sz w:val="24"/>
          <w:szCs w:val="24"/>
        </w:rPr>
        <w:lastRenderedPageBreak/>
        <w:t xml:space="preserve">the Mann–Whitney </w:t>
      </w:r>
      <w:r w:rsidRPr="00590892">
        <w:rPr>
          <w:rFonts w:ascii="Times New Roman" w:hAnsi="Times New Roman" w:cs="Times New Roman"/>
          <w:i/>
          <w:sz w:val="24"/>
          <w:szCs w:val="24"/>
        </w:rPr>
        <w:t>U</w:t>
      </w:r>
      <w:r w:rsidRPr="00590892">
        <w:rPr>
          <w:rFonts w:ascii="Times New Roman" w:hAnsi="Times New Roman" w:cs="Times New Roman"/>
          <w:sz w:val="24"/>
          <w:szCs w:val="24"/>
        </w:rPr>
        <w:t xml:space="preserve">-tests or Kruskal–Wallis tests, and the differences among the groups for continuous variables were assessed using Student’s </w:t>
      </w:r>
      <w:r w:rsidRPr="00590892">
        <w:rPr>
          <w:rFonts w:ascii="Times New Roman" w:hAnsi="Times New Roman" w:cs="Times New Roman"/>
          <w:i/>
          <w:sz w:val="24"/>
          <w:szCs w:val="24"/>
        </w:rPr>
        <w:t>t</w:t>
      </w:r>
      <w:r w:rsidRPr="00590892">
        <w:rPr>
          <w:rFonts w:ascii="Times New Roman" w:hAnsi="Times New Roman" w:cs="Times New Roman"/>
          <w:sz w:val="24"/>
          <w:szCs w:val="24"/>
        </w:rPr>
        <w:t xml:space="preserve">-tests or one-way analysis of variance tests. Data are expressed as means </w:t>
      </w:r>
      <w:r w:rsidRPr="00590892">
        <w:rPr>
          <w:rFonts w:ascii="Times New Roman" w:eastAsia="맑은 고딕" w:hAnsi="Times New Roman" w:cs="Times New Roman"/>
          <w:sz w:val="24"/>
          <w:szCs w:val="24"/>
        </w:rPr>
        <w:t>±</w:t>
      </w:r>
      <w:r w:rsidRPr="00590892">
        <w:rPr>
          <w:rFonts w:ascii="Times New Roman" w:hAnsi="Times New Roman" w:cs="Times New Roman"/>
          <w:sz w:val="24"/>
          <w:szCs w:val="24"/>
        </w:rPr>
        <w:t xml:space="preserve"> standard deviation for continuous variables and number (%) for categorical variables. The correlation between BA PI and MCA PI was analyzed by Pearson correlation analysis for ascertaining whether there were any corresponding changes in BA PI owing to various conditions that affected MCA PI. </w:t>
      </w:r>
    </w:p>
    <w:p w14:paraId="44631FE2" w14:textId="08111294" w:rsidR="00590892" w:rsidRDefault="00FA5CE1" w:rsidP="00590892">
      <w:pPr>
        <w:spacing w:line="480" w:lineRule="auto"/>
        <w:rPr>
          <w:rFonts w:ascii="Times New Roman" w:hAnsi="Times New Roman" w:cs="Times New Roman"/>
          <w:sz w:val="24"/>
          <w:szCs w:val="24"/>
        </w:rPr>
      </w:pPr>
      <w:r w:rsidRPr="00590892">
        <w:rPr>
          <w:rFonts w:ascii="Times New Roman" w:hAnsi="Times New Roman" w:cs="Times New Roman"/>
          <w:sz w:val="24"/>
          <w:szCs w:val="24"/>
        </w:rPr>
        <w:t xml:space="preserve">Second, the patients were grouped into two groups: patients with ND and those without ND to derive factors associated with ND. The differences between the groups for categorical variables were assessed using the Pearson’s </w:t>
      </w:r>
      <w:r w:rsidRPr="00590892">
        <w:rPr>
          <w:rFonts w:ascii="Times New Roman" w:eastAsia="맑은 고딕" w:hAnsi="Times New Roman" w:cs="Times New Roman"/>
          <w:sz w:val="24"/>
          <w:szCs w:val="24"/>
        </w:rPr>
        <w:t>χ</w:t>
      </w:r>
      <w:r w:rsidRPr="00590892">
        <w:rPr>
          <w:rFonts w:ascii="Times New Roman" w:hAnsi="Times New Roman" w:cs="Times New Roman"/>
          <w:sz w:val="24"/>
          <w:szCs w:val="24"/>
          <w:vertAlign w:val="superscript"/>
        </w:rPr>
        <w:t>2</w:t>
      </w:r>
      <w:r w:rsidRPr="00590892">
        <w:rPr>
          <w:rFonts w:ascii="Times New Roman" w:hAnsi="Times New Roman" w:cs="Times New Roman"/>
          <w:sz w:val="24"/>
          <w:szCs w:val="24"/>
        </w:rPr>
        <w:t xml:space="preserve"> tests, NIHSS and CAS were compared using Mann–Whitney </w:t>
      </w:r>
      <w:r w:rsidRPr="00590892">
        <w:rPr>
          <w:rFonts w:ascii="Times New Roman" w:hAnsi="Times New Roman" w:cs="Times New Roman"/>
          <w:i/>
          <w:sz w:val="24"/>
          <w:szCs w:val="24"/>
        </w:rPr>
        <w:t>U</w:t>
      </w:r>
      <w:r w:rsidRPr="00590892">
        <w:rPr>
          <w:rFonts w:ascii="Times New Roman" w:hAnsi="Times New Roman" w:cs="Times New Roman"/>
          <w:sz w:val="24"/>
          <w:szCs w:val="24"/>
        </w:rPr>
        <w:t xml:space="preserve">-tests, and the differences between the groups for continuous variables were assessed using Student’s </w:t>
      </w:r>
      <w:r w:rsidRPr="00590892">
        <w:rPr>
          <w:rFonts w:ascii="Times New Roman" w:hAnsi="Times New Roman" w:cs="Times New Roman"/>
          <w:i/>
          <w:sz w:val="24"/>
          <w:szCs w:val="24"/>
        </w:rPr>
        <w:t>t</w:t>
      </w:r>
      <w:r w:rsidRPr="00590892">
        <w:rPr>
          <w:rFonts w:ascii="Times New Roman" w:hAnsi="Times New Roman" w:cs="Times New Roman"/>
          <w:sz w:val="24"/>
          <w:szCs w:val="24"/>
        </w:rPr>
        <w:t xml:space="preserve">-tests. Multivariable logistic regression analyses using a forward stepwise method were performed to find independent factors related to ND with adjustments for confounding factors derived from bivariate analysis. The results were presented as adjusted odds ratios (ORs) with 95% confidence intervals (95% CI). A </w:t>
      </w:r>
      <w:r w:rsidRPr="00590892">
        <w:rPr>
          <w:rFonts w:ascii="Times New Roman" w:hAnsi="Times New Roman" w:cs="Times New Roman"/>
          <w:i/>
          <w:sz w:val="24"/>
          <w:szCs w:val="24"/>
        </w:rPr>
        <w:t>p</w:t>
      </w:r>
      <w:r w:rsidRPr="00590892">
        <w:rPr>
          <w:rFonts w:ascii="Times New Roman" w:hAnsi="Times New Roman" w:cs="Times New Roman"/>
          <w:sz w:val="24"/>
          <w:szCs w:val="24"/>
        </w:rPr>
        <w:t xml:space="preserve"> value of &lt;0.05 was regarded as statistically significant.</w:t>
      </w:r>
    </w:p>
    <w:p w14:paraId="0BE26A34" w14:textId="368CCECF" w:rsidR="00FA5CE1" w:rsidRPr="00590892" w:rsidRDefault="00590892" w:rsidP="00590892">
      <w:pPr>
        <w:widowControl/>
        <w:wordWrap/>
        <w:autoSpaceDE/>
        <w:autoSpaceDN/>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CABE756" w14:textId="4B121531" w:rsidR="00A3183F" w:rsidRDefault="00FA5CE1" w:rsidP="00590892">
      <w:pPr>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Results</w:t>
      </w:r>
    </w:p>
    <w:p w14:paraId="490D8952" w14:textId="3071BB15" w:rsidR="00FA5CE1" w:rsidRDefault="00FA5CE1" w:rsidP="00590892">
      <w:pPr>
        <w:spacing w:line="480" w:lineRule="auto"/>
        <w:rPr>
          <w:rFonts w:ascii="Times New Roman" w:hAnsi="Times New Roman" w:cs="Times New Roman"/>
          <w:sz w:val="24"/>
          <w:szCs w:val="24"/>
        </w:rPr>
      </w:pPr>
      <w:r>
        <w:rPr>
          <w:rFonts w:ascii="Times New Roman" w:hAnsi="Times New Roman" w:cs="Times New Roman"/>
          <w:sz w:val="24"/>
          <w:szCs w:val="24"/>
        </w:rPr>
        <w:t>A total of 779 consecutive patien</w:t>
      </w:r>
      <w:r w:rsidR="00D04444">
        <w:rPr>
          <w:rFonts w:ascii="Times New Roman" w:hAnsi="Times New Roman" w:cs="Times New Roman"/>
          <w:sz w:val="24"/>
          <w:szCs w:val="24"/>
        </w:rPr>
        <w:t xml:space="preserve">ts with acute ischemic stroke </w:t>
      </w:r>
      <w:r w:rsidR="00D04444">
        <w:rPr>
          <w:rFonts w:ascii="Times New Roman" w:hAnsi="Times New Roman" w:cs="Times New Roman" w:hint="eastAsia"/>
          <w:sz w:val="24"/>
          <w:szCs w:val="24"/>
        </w:rPr>
        <w:t>and</w:t>
      </w:r>
      <w:r>
        <w:rPr>
          <w:rFonts w:ascii="Times New Roman" w:hAnsi="Times New Roman" w:cs="Times New Roman"/>
          <w:sz w:val="24"/>
          <w:szCs w:val="24"/>
        </w:rPr>
        <w:t xml:space="preserve"> TIA were registered in the Chung-Ang University Hospital Stroke Registry during the study period. Among them, 708 patients (mean age, 68.2 ± 13.0 years; 347 female patients) who had undergone TCD ultrasonography were finally included. The mean BA PI was 0.96 ± 0.23, and the patients were categorized into four subgroups according to their BA PI values with the following cut-off points: 0.80, 0.94, and 1.10 (Table 1). As BA PI increases, mean age, NIHSS at admission, serum homocysteine level, HbA1c level, and the proportion of females, HTN, DM, and the presence of old lacunes also increased (Table 1). The proportion of patients who experienced ND showed an increasing tendency to belong to the BA PI group. BA PI was well correlated with right MCA PI (r = 0.757, </w:t>
      </w:r>
      <w:r>
        <w:rPr>
          <w:rFonts w:ascii="Times New Roman" w:hAnsi="Times New Roman" w:cs="Times New Roman"/>
          <w:i/>
          <w:sz w:val="24"/>
          <w:szCs w:val="24"/>
        </w:rPr>
        <w:t>p</w:t>
      </w:r>
      <w:r>
        <w:rPr>
          <w:rFonts w:ascii="Times New Roman" w:hAnsi="Times New Roman" w:cs="Times New Roman"/>
          <w:sz w:val="24"/>
          <w:szCs w:val="24"/>
        </w:rPr>
        <w:t xml:space="preserve"> &lt; 0.001, Figure 1).</w:t>
      </w:r>
      <w:r w:rsidR="00A3183F">
        <w:rPr>
          <w:rFonts w:ascii="Times New Roman" w:hAnsi="Times New Roman" w:cs="Times New Roman"/>
          <w:sz w:val="24"/>
          <w:szCs w:val="24"/>
        </w:rPr>
        <w:t xml:space="preserve"> </w:t>
      </w:r>
    </w:p>
    <w:p w14:paraId="3DBD0B7E" w14:textId="718A937B" w:rsidR="00590892" w:rsidRDefault="00FA5CE1" w:rsidP="00590892">
      <w:pPr>
        <w:spacing w:line="480" w:lineRule="auto"/>
        <w:rPr>
          <w:rFonts w:ascii="Times New Roman" w:hAnsi="Times New Roman" w:cs="Times New Roman"/>
          <w:b/>
          <w:sz w:val="32"/>
          <w:szCs w:val="24"/>
        </w:rPr>
      </w:pPr>
      <w:r>
        <w:rPr>
          <w:rFonts w:ascii="Times New Roman" w:hAnsi="Times New Roman" w:cs="Times New Roman"/>
          <w:sz w:val="24"/>
          <w:szCs w:val="24"/>
        </w:rPr>
        <w:t xml:space="preserve">ND occurred in 92 patients (13.0%). Comparison between patients with ND and those without it revealed that ND was associated with older age, higher systolic blood pressure (SBP), higher NIHSS at admission, current smoking state, presence of atrial fibrillation, and higher CAS (Table 2). BA PI was higher in patients with ND (1.02 ± 0.26) than in neurologically stable patients (0.95 ± 0.22). Bivariable analyses showed that old age, female sex, high SBP, CAS, current smoking state, atrial fibrillation, higher NIHSS at admission, and high BA PI were associated with ND (Table 2). Multivariable logistic regression model including age, female sex, </w:t>
      </w:r>
      <w:r w:rsidR="0094527A">
        <w:rPr>
          <w:rFonts w:ascii="Times New Roman" w:hAnsi="Times New Roman" w:cs="Times New Roman"/>
          <w:sz w:val="24"/>
          <w:szCs w:val="24"/>
        </w:rPr>
        <w:t xml:space="preserve">history of </w:t>
      </w:r>
      <w:r>
        <w:rPr>
          <w:rFonts w:ascii="Times New Roman" w:hAnsi="Times New Roman" w:cs="Times New Roman"/>
          <w:sz w:val="24"/>
          <w:szCs w:val="24"/>
        </w:rPr>
        <w:t xml:space="preserve">HTN, </w:t>
      </w:r>
      <w:r w:rsidR="0094527A">
        <w:rPr>
          <w:rFonts w:ascii="Times New Roman" w:hAnsi="Times New Roman" w:cs="Times New Roman"/>
          <w:sz w:val="24"/>
          <w:szCs w:val="24"/>
        </w:rPr>
        <w:t xml:space="preserve">history of </w:t>
      </w:r>
      <w:r>
        <w:rPr>
          <w:rFonts w:ascii="Times New Roman" w:hAnsi="Times New Roman" w:cs="Times New Roman"/>
          <w:sz w:val="24"/>
          <w:szCs w:val="24"/>
        </w:rPr>
        <w:t xml:space="preserve">DM, appearance of old lacunes on brain MRI, and CAS derived from brain CTA revealed that the highest BA PI quartile was independently associated with ND (OR = 2.06; 95% CI = 1.04–4.09; </w:t>
      </w:r>
      <w:r>
        <w:rPr>
          <w:rFonts w:ascii="Times New Roman" w:hAnsi="Times New Roman" w:cs="Times New Roman"/>
          <w:i/>
          <w:iCs/>
          <w:sz w:val="24"/>
          <w:szCs w:val="24"/>
        </w:rPr>
        <w:t>p</w:t>
      </w:r>
      <w:r>
        <w:rPr>
          <w:rFonts w:ascii="Times New Roman" w:hAnsi="Times New Roman" w:cs="Times New Roman"/>
          <w:i/>
          <w:sz w:val="24"/>
          <w:szCs w:val="24"/>
        </w:rPr>
        <w:t xml:space="preserve"> </w:t>
      </w:r>
      <w:r>
        <w:rPr>
          <w:rFonts w:ascii="Times New Roman" w:hAnsi="Times New Roman" w:cs="Times New Roman"/>
          <w:sz w:val="24"/>
          <w:szCs w:val="24"/>
        </w:rPr>
        <w:t>= 0.039; Table 3).</w:t>
      </w:r>
    </w:p>
    <w:p w14:paraId="3C67B4A9" w14:textId="55EF9C7E" w:rsidR="00FA5CE1" w:rsidRPr="00590892" w:rsidRDefault="00590892" w:rsidP="00590892">
      <w:pPr>
        <w:widowControl/>
        <w:wordWrap/>
        <w:autoSpaceDE/>
        <w:autoSpaceDN/>
        <w:spacing w:line="480" w:lineRule="auto"/>
        <w:rPr>
          <w:rFonts w:ascii="Times New Roman" w:hAnsi="Times New Roman" w:cs="Times New Roman"/>
          <w:b/>
          <w:sz w:val="32"/>
          <w:szCs w:val="24"/>
        </w:rPr>
      </w:pPr>
      <w:r>
        <w:rPr>
          <w:rFonts w:ascii="Times New Roman" w:hAnsi="Times New Roman" w:cs="Times New Roman"/>
          <w:b/>
          <w:sz w:val="32"/>
          <w:szCs w:val="24"/>
        </w:rPr>
        <w:br w:type="page"/>
      </w:r>
    </w:p>
    <w:p w14:paraId="186EA2F0" w14:textId="3C028EC7" w:rsidR="00FA5CE1" w:rsidRDefault="0037661C" w:rsidP="00590892">
      <w:pPr>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 xml:space="preserve">Discussion </w:t>
      </w:r>
    </w:p>
    <w:p w14:paraId="676D9392" w14:textId="77777777" w:rsidR="00FA5CE1" w:rsidRDefault="00FA5CE1" w:rsidP="00590892">
      <w:pPr>
        <w:spacing w:line="480" w:lineRule="auto"/>
        <w:rPr>
          <w:rFonts w:ascii="Times New Roman" w:hAnsi="Times New Roman" w:cs="Times New Roman"/>
          <w:b/>
          <w:sz w:val="32"/>
          <w:szCs w:val="24"/>
        </w:rPr>
      </w:pPr>
      <w:r>
        <w:rPr>
          <w:rFonts w:ascii="Times New Roman" w:hAnsi="Times New Roman" w:cs="Times New Roman"/>
          <w:sz w:val="24"/>
          <w:szCs w:val="24"/>
        </w:rPr>
        <w:t>In this study, which included 708 acute stroke patients who had undergone brain MRI, CTA, and TCD ultrasonographic examination, ND occurred in 13.0% patients and the proportion of patients with ND was the highest in the highest BA PI quartile group. Multivariable logistic regression analysis conducted after adjusting clinical and imaging variables showed that BA PI is an independent factor associated with ND. Although right MCA PI was well correlated with BA PI, its detection was not possible owing to poor temporal windows in 252 (33.05%) patients.</w:t>
      </w:r>
    </w:p>
    <w:p w14:paraId="71C345B1" w14:textId="77777777" w:rsidR="00FA5CE1" w:rsidRDefault="00FA5CE1" w:rsidP="00590892">
      <w:pPr>
        <w:spacing w:line="480" w:lineRule="auto"/>
        <w:rPr>
          <w:rFonts w:ascii="Times New Roman" w:hAnsi="Times New Roman" w:cs="Times New Roman"/>
          <w:b/>
          <w:sz w:val="32"/>
          <w:szCs w:val="24"/>
        </w:rPr>
      </w:pPr>
      <w:r>
        <w:rPr>
          <w:rFonts w:ascii="Times New Roman" w:hAnsi="Times New Roman" w:cs="Times New Roman"/>
          <w:sz w:val="24"/>
          <w:szCs w:val="24"/>
        </w:rPr>
        <w:t>Exaggerated pulsatile cerebral blood flow can result in cerebrovascular endothelial failure, blood–brain barrier disruption, perfusion decrease during diastolic phase, and increase in endothelial shear stress.</w:t>
      </w:r>
      <w:r>
        <w:rPr>
          <w:rFonts w:ascii="Times New Roman" w:hAnsi="Times New Roman" w:cs="Times New Roman"/>
          <w:sz w:val="24"/>
          <w:szCs w:val="24"/>
          <w:vertAlign w:val="superscript"/>
        </w:rPr>
        <w:t>12, 16, 17, 18, 25</w:t>
      </w:r>
      <w:r>
        <w:rPr>
          <w:rFonts w:ascii="Times New Roman" w:hAnsi="Times New Roman" w:cs="Times New Roman"/>
          <w:sz w:val="24"/>
          <w:szCs w:val="24"/>
        </w:rPr>
        <w:t xml:space="preserve"> Several studies have demonstrated that elevated PI is linked with an inverse nonlinear relationship of cerebral perfusion pressure and linear relationship of intracranial pressure as well as with an increased cerebral vascular resistance and cerebral small vessel disease burden.</w:t>
      </w:r>
      <w:r>
        <w:rPr>
          <w:rFonts w:ascii="Times New Roman" w:hAnsi="Times New Roman" w:cs="Times New Roman"/>
          <w:sz w:val="24"/>
          <w:szCs w:val="24"/>
          <w:vertAlign w:val="superscript"/>
        </w:rPr>
        <w:t>22, 26, 27</w:t>
      </w:r>
      <w:r>
        <w:rPr>
          <w:rFonts w:ascii="Times New Roman" w:hAnsi="Times New Roman" w:cs="Times New Roman"/>
          <w:sz w:val="24"/>
          <w:szCs w:val="24"/>
        </w:rPr>
        <w:t xml:space="preserve"> Our study also showed an increasing tendency in the proportion of old lacunes according to the BA PI quartile, suggesting that small vessel disease burden is related to cerebral arterial stiffness.</w:t>
      </w:r>
    </w:p>
    <w:p w14:paraId="6B558897" w14:textId="77777777" w:rsidR="00FA5CE1" w:rsidRDefault="00FA5CE1" w:rsidP="00590892">
      <w:pPr>
        <w:spacing w:line="480" w:lineRule="auto"/>
        <w:rPr>
          <w:rFonts w:ascii="Times New Roman" w:hAnsi="Times New Roman" w:cs="Times New Roman"/>
          <w:b/>
          <w:sz w:val="32"/>
          <w:szCs w:val="24"/>
        </w:rPr>
      </w:pPr>
      <w:r>
        <w:rPr>
          <w:rFonts w:ascii="Times New Roman" w:hAnsi="Times New Roman" w:cs="Times New Roman"/>
          <w:sz w:val="24"/>
          <w:szCs w:val="24"/>
        </w:rPr>
        <w:t>Elevated MCA PI is reportedly associated with deterioration of lacunar cerebral infarction.</w:t>
      </w:r>
      <w:r>
        <w:rPr>
          <w:rFonts w:ascii="Times New Roman" w:hAnsi="Times New Roman" w:cs="Times New Roman"/>
          <w:sz w:val="24"/>
          <w:szCs w:val="24"/>
          <w:vertAlign w:val="superscript"/>
        </w:rPr>
        <w:t>18</w:t>
      </w:r>
      <w:r>
        <w:rPr>
          <w:rFonts w:ascii="Times New Roman" w:hAnsi="Times New Roman" w:cs="Times New Roman"/>
          <w:sz w:val="24"/>
          <w:szCs w:val="24"/>
        </w:rPr>
        <w:t xml:space="preserve"> Consistent with a previous study, appropriate results could not be obtained from MCA in the present study owing to poor acoustical temporal windows in approximately 5%–20% of patients.</w:t>
      </w:r>
      <w:r>
        <w:rPr>
          <w:rFonts w:ascii="Times New Roman" w:hAnsi="Times New Roman" w:cs="Times New Roman"/>
          <w:sz w:val="24"/>
          <w:szCs w:val="24"/>
          <w:vertAlign w:val="superscript"/>
        </w:rPr>
        <w:t>28</w:t>
      </w:r>
      <w:r>
        <w:rPr>
          <w:rFonts w:ascii="Times New Roman" w:hAnsi="Times New Roman" w:cs="Times New Roman"/>
          <w:sz w:val="24"/>
          <w:szCs w:val="24"/>
        </w:rPr>
        <w:t xml:space="preserve"> Contrary to MCA PI, BA PI can be measured irrespective of temporal bone windows. A previous study reported that BA PI increased earlier than MCA PI in patients with microangiopathy complicated with DM because vessels in the posterior cerebral circulation have fewer adrenergic neurons which regulate vascular tone in response to stimulations other than those in the anterior cerebral circulation.</w:t>
      </w:r>
      <w:r>
        <w:rPr>
          <w:rFonts w:ascii="Times New Roman" w:hAnsi="Times New Roman" w:cs="Times New Roman"/>
          <w:sz w:val="24"/>
          <w:szCs w:val="24"/>
          <w:vertAlign w:val="superscript"/>
        </w:rPr>
        <w:t>21</w:t>
      </w:r>
    </w:p>
    <w:p w14:paraId="36C43EFB" w14:textId="10A9719A" w:rsidR="00610AD0" w:rsidRPr="00501D5E" w:rsidRDefault="00FA5CE1" w:rsidP="0059089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study has several limitations. First, the cross-sectional design of our analyses limits our ability to determine a causal relationship between BA PI and ND. Second, BA PI was only measured at admission, which yielded no data regarding the temporal change during acute cerebral infarction. Third, this study was performed in a single hospital in Seoul, Korea; therefore, more studies are required to generalize our findings. The strength of this study is that we constructed a multivariable logistic model including clinical, laboratory, and imaging variables of brain MRI and CTA and confirmed the independent association between BA PI and ND.</w:t>
      </w:r>
    </w:p>
    <w:p w14:paraId="6A6D4132" w14:textId="77777777" w:rsidR="00FA5CE1" w:rsidRDefault="00FA5CE1" w:rsidP="002D3EBD">
      <w:pPr>
        <w:pageBreakBefore/>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References</w:t>
      </w:r>
    </w:p>
    <w:p w14:paraId="12E172C8" w14:textId="77777777" w:rsidR="00526C10" w:rsidRPr="00D53CFE" w:rsidRDefault="00526C10" w:rsidP="002D3EBD">
      <w:pPr>
        <w:pStyle w:val="EndNoteBibliography"/>
        <w:spacing w:after="0"/>
        <w:ind w:left="720" w:hanging="720"/>
      </w:pPr>
      <w:r w:rsidRPr="00D53CFE">
        <w:t>1.</w:t>
      </w:r>
      <w:r w:rsidRPr="00D53CFE">
        <w:tab/>
        <w:t xml:space="preserve">Helleberg BH, Ellekjaer H, Indredavik B. Outcomes after Early Neurological Deterioration and Transitory Deterioration in Acute Ischemic Stroke Patients. </w:t>
      </w:r>
      <w:r w:rsidRPr="00D53CFE">
        <w:rPr>
          <w:i/>
        </w:rPr>
        <w:t>Cerebrovasc Dis</w:t>
      </w:r>
      <w:r w:rsidRPr="00D53CFE">
        <w:t xml:space="preserve"> 2016;42:378-386.</w:t>
      </w:r>
    </w:p>
    <w:p w14:paraId="305CA0FB" w14:textId="77777777" w:rsidR="00FA5CE1" w:rsidRPr="00526C10" w:rsidRDefault="00FA5CE1" w:rsidP="002D3EBD">
      <w:pPr>
        <w:pStyle w:val="EndNoteBibliography"/>
        <w:spacing w:after="0"/>
        <w:ind w:left="720" w:hanging="720"/>
      </w:pPr>
      <w:r w:rsidRPr="00526C10">
        <w:t>2.</w:t>
      </w:r>
      <w:r w:rsidRPr="00526C10">
        <w:tab/>
        <w:t>Thanvi B, Treadwell S, Robinson T. Early neurological deterioration in acute ischaemic stroke: Predictors, mechanisms and management. Postgrad Med J. 2008;84:412-417</w:t>
      </w:r>
    </w:p>
    <w:p w14:paraId="105F0873" w14:textId="77777777" w:rsidR="00526C10" w:rsidRPr="00D53CFE" w:rsidRDefault="00526C10" w:rsidP="002D3EBD">
      <w:pPr>
        <w:pStyle w:val="EndNoteBibliography"/>
        <w:spacing w:after="0"/>
        <w:ind w:left="720" w:hanging="720"/>
      </w:pPr>
      <w:r w:rsidRPr="00D53CFE">
        <w:t>3.</w:t>
      </w:r>
      <w:r w:rsidRPr="00D53CFE">
        <w:tab/>
        <w:t xml:space="preserve">Weimar C, Mieck T, Buchthal J, Ehrenfeld CE, Schmid E, Diener HC, et al. Neurologic worsening during the acute phase of ischemic stroke. </w:t>
      </w:r>
      <w:r w:rsidRPr="00D53CFE">
        <w:rPr>
          <w:i/>
        </w:rPr>
        <w:t>Arch Neurol</w:t>
      </w:r>
      <w:r w:rsidRPr="00D53CFE">
        <w:t xml:space="preserve"> 2005;62:393-397.</w:t>
      </w:r>
    </w:p>
    <w:p w14:paraId="45DC0ADE" w14:textId="77777777" w:rsidR="00B83354" w:rsidRPr="00D53CFE" w:rsidRDefault="00B83354" w:rsidP="002D3EBD">
      <w:pPr>
        <w:pStyle w:val="EndNoteBibliography"/>
        <w:spacing w:after="0"/>
        <w:ind w:left="720" w:hanging="720"/>
      </w:pPr>
      <w:r w:rsidRPr="00D53CFE">
        <w:t>4.</w:t>
      </w:r>
      <w:r w:rsidRPr="00D53CFE">
        <w:tab/>
        <w:t xml:space="preserve">Caplan LR. Worsening in ischemic stroke patients: is it time for a new strategy? </w:t>
      </w:r>
      <w:r w:rsidRPr="00D53CFE">
        <w:rPr>
          <w:i/>
        </w:rPr>
        <w:t>Stroke</w:t>
      </w:r>
      <w:r w:rsidRPr="00D53CFE">
        <w:t xml:space="preserve"> 2002;33:1443-1445.</w:t>
      </w:r>
    </w:p>
    <w:p w14:paraId="32F6176E" w14:textId="77777777" w:rsidR="00B83354" w:rsidRPr="00D53CFE" w:rsidRDefault="00B83354" w:rsidP="002D3EBD">
      <w:pPr>
        <w:pStyle w:val="EndNoteBibliography"/>
        <w:spacing w:after="0"/>
        <w:ind w:left="720" w:hanging="720"/>
      </w:pPr>
      <w:r w:rsidRPr="00D53CFE">
        <w:t>5.</w:t>
      </w:r>
      <w:r w:rsidRPr="00D53CFE">
        <w:tab/>
        <w:t xml:space="preserve">Toni D, Fiorelli M, Gentile M, Bastianello S, Sacchetti ML, Argentino C, et al. Progressing neurological deficit secondary to acute ischemic stroke. A study on predictability, pathogenesis, and prognosis. </w:t>
      </w:r>
      <w:r w:rsidRPr="00D53CFE">
        <w:rPr>
          <w:i/>
        </w:rPr>
        <w:t>Arch Neurol</w:t>
      </w:r>
      <w:r w:rsidRPr="00D53CFE">
        <w:t xml:space="preserve"> 1995;52:670-675.</w:t>
      </w:r>
    </w:p>
    <w:p w14:paraId="0FDD7DA0" w14:textId="77777777" w:rsidR="00A16F87" w:rsidRPr="00D53CFE" w:rsidRDefault="00A16F87" w:rsidP="002D3EBD">
      <w:pPr>
        <w:pStyle w:val="EndNoteBibliography"/>
        <w:spacing w:after="0"/>
        <w:ind w:left="720" w:hanging="720"/>
      </w:pPr>
      <w:r w:rsidRPr="00D53CFE">
        <w:t>6.</w:t>
      </w:r>
      <w:r w:rsidRPr="00D53CFE">
        <w:tab/>
        <w:t xml:space="preserve">Cuadrado-Godia E, Jimena S, Ois A, Rodriguez-Campello A, Giralt-Steinhauer E, Soriano-Tarraga C, et al. Factors associated with early outcome in patients with large-vessel carotid strokes. </w:t>
      </w:r>
      <w:r w:rsidRPr="00D53CFE">
        <w:rPr>
          <w:i/>
        </w:rPr>
        <w:t>J Neurol Neurosurg Psychiatry</w:t>
      </w:r>
      <w:r w:rsidRPr="00D53CFE">
        <w:t xml:space="preserve"> 2013;84:305-309.</w:t>
      </w:r>
    </w:p>
    <w:p w14:paraId="1A865A47" w14:textId="77777777" w:rsidR="00A16F87" w:rsidRPr="00D53CFE" w:rsidRDefault="00A16F87" w:rsidP="002D3EBD">
      <w:pPr>
        <w:pStyle w:val="EndNoteBibliography"/>
        <w:spacing w:after="0"/>
        <w:ind w:left="720" w:hanging="720"/>
      </w:pPr>
      <w:r w:rsidRPr="00D53CFE">
        <w:t>7.</w:t>
      </w:r>
      <w:r w:rsidRPr="00D53CFE">
        <w:tab/>
        <w:t xml:space="preserve">Wakugawa Y, Kiyohara Y, Tanizaki Y, Kubo M, Ninomiya T, Hata J, et al. C-reactive protein and risk of first-ever ischemic and hemorrhagic stroke in a general Japanese population: the Hisayama Study. </w:t>
      </w:r>
      <w:r w:rsidRPr="00D53CFE">
        <w:rPr>
          <w:i/>
        </w:rPr>
        <w:t>Stroke</w:t>
      </w:r>
      <w:r w:rsidRPr="00D53CFE">
        <w:t xml:space="preserve"> 2006;37:27-32.</w:t>
      </w:r>
    </w:p>
    <w:p w14:paraId="31BF6109" w14:textId="77777777" w:rsidR="00A16F87" w:rsidRPr="00D53CFE" w:rsidRDefault="00A16F87" w:rsidP="002D3EBD">
      <w:pPr>
        <w:pStyle w:val="EndNoteBibliography"/>
        <w:spacing w:after="0"/>
        <w:ind w:left="720" w:hanging="720"/>
      </w:pPr>
      <w:r w:rsidRPr="00D53CFE">
        <w:t>8.</w:t>
      </w:r>
      <w:r w:rsidRPr="00D53CFE">
        <w:tab/>
        <w:t xml:space="preserve">Davalos A, Toni D, Iweins F, Lesaffre E, Bastianello S, Castillo J. Neurological deterioration in </w:t>
      </w:r>
      <w:r w:rsidRPr="00D53CFE">
        <w:lastRenderedPageBreak/>
        <w:t xml:space="preserve">acute ischemic stroke: potential predictors and associated factors in the European cooperative acute stroke study (ECASS) I. </w:t>
      </w:r>
      <w:r w:rsidRPr="00D53CFE">
        <w:rPr>
          <w:i/>
        </w:rPr>
        <w:t>Stroke</w:t>
      </w:r>
      <w:r w:rsidRPr="00D53CFE">
        <w:t xml:space="preserve"> 1999;30:2631-2636.</w:t>
      </w:r>
    </w:p>
    <w:p w14:paraId="7924370E" w14:textId="77777777" w:rsidR="00FA5CE1" w:rsidRPr="00A16F87" w:rsidRDefault="00FA5CE1" w:rsidP="002D3EBD">
      <w:pPr>
        <w:pStyle w:val="EndNoteBibliography"/>
        <w:spacing w:after="0"/>
        <w:ind w:left="720" w:hanging="720"/>
      </w:pPr>
      <w:r w:rsidRPr="00A16F87">
        <w:t>9.</w:t>
      </w:r>
      <w:r w:rsidRPr="00A16F87">
        <w:tab/>
        <w:t>Baizabal-Carvallo JF, Alonso-Juarez M, Samson Y. Clinical deterioration following middle cerebral artery hemodynamic changes after intravenous thrombolysis for acute ischemic stroke. J Stroke Cerebrovasc Dis. 2014;23:254-258</w:t>
      </w:r>
    </w:p>
    <w:p w14:paraId="53315318" w14:textId="77777777" w:rsidR="00A16F87" w:rsidRPr="00D53CFE" w:rsidRDefault="00A16F87" w:rsidP="002D3EBD">
      <w:pPr>
        <w:pStyle w:val="EndNoteBibliography"/>
        <w:spacing w:after="0"/>
        <w:ind w:left="720" w:hanging="720"/>
      </w:pPr>
      <w:r w:rsidRPr="00D53CFE">
        <w:t>10.</w:t>
      </w:r>
      <w:r w:rsidRPr="00D53CFE">
        <w:tab/>
        <w:t xml:space="preserve">Davalos A, Castillo J, Marrugat J, Fernandez-Real JM, Armengou A, Cacabelos P, et al. Body iron stores and early neurologic deterioration in acute cerebral infarction. </w:t>
      </w:r>
      <w:r w:rsidRPr="00D53CFE">
        <w:rPr>
          <w:i/>
        </w:rPr>
        <w:t>Neurology</w:t>
      </w:r>
      <w:r w:rsidRPr="00D53CFE">
        <w:t xml:space="preserve"> 2000;54:1568-1574.</w:t>
      </w:r>
    </w:p>
    <w:p w14:paraId="0A671066" w14:textId="45A20339" w:rsidR="00A16F87" w:rsidRPr="00D53CFE" w:rsidRDefault="00A16F87" w:rsidP="002D3EBD">
      <w:pPr>
        <w:pStyle w:val="EndNoteBibliography"/>
        <w:spacing w:after="0"/>
        <w:ind w:left="720" w:hanging="720"/>
      </w:pPr>
      <w:r>
        <w:t>11</w:t>
      </w:r>
      <w:r w:rsidRPr="00D53CFE">
        <w:t>.</w:t>
      </w:r>
      <w:r w:rsidRPr="00D53CFE">
        <w:tab/>
        <w:t xml:space="preserve">Wohlfahrt P, Krajcoviechova A, Jozifova M, Mayer O, Vanek J, Filipovsky J, et al. Large artery stiffness and carotid flow pulsatility in stroke survivors. </w:t>
      </w:r>
      <w:r w:rsidRPr="00D53CFE">
        <w:rPr>
          <w:i/>
        </w:rPr>
        <w:t>J Hypertens</w:t>
      </w:r>
      <w:r w:rsidRPr="00D53CFE">
        <w:t xml:space="preserve"> 2014;32:1097-1103; discussion 1103.</w:t>
      </w:r>
    </w:p>
    <w:p w14:paraId="0C28BEBE" w14:textId="41E47AD6" w:rsidR="00A16F87" w:rsidRPr="00D53CFE" w:rsidRDefault="00A16F87" w:rsidP="002D3EBD">
      <w:pPr>
        <w:pStyle w:val="EndNoteBibliography"/>
        <w:spacing w:after="0"/>
        <w:ind w:left="720" w:hanging="720"/>
      </w:pPr>
      <w:r>
        <w:t>12</w:t>
      </w:r>
      <w:r w:rsidRPr="00D53CFE">
        <w:t>.</w:t>
      </w:r>
      <w:r w:rsidRPr="00D53CFE">
        <w:tab/>
        <w:t xml:space="preserve">van Elderen SG, Brandts A, Westenberg JJ, van der Grond J, Tamsma JT, van Buchem MA, et al. Aortic stiffness is associated with cardiac function and cerebral small vessel disease in patients with type 1 diabetes mellitus: assessment by magnetic resonance imaging. </w:t>
      </w:r>
      <w:r w:rsidRPr="00D53CFE">
        <w:rPr>
          <w:i/>
        </w:rPr>
        <w:t>Eur Radiol</w:t>
      </w:r>
      <w:r w:rsidRPr="00D53CFE">
        <w:t xml:space="preserve"> 2010;20:1132-1138.</w:t>
      </w:r>
    </w:p>
    <w:p w14:paraId="42D5D04B" w14:textId="2D67C991" w:rsidR="00A16F87" w:rsidRPr="00D53CFE" w:rsidRDefault="00A16F87" w:rsidP="002D3EBD">
      <w:pPr>
        <w:pStyle w:val="EndNoteBibliography"/>
        <w:spacing w:after="0"/>
        <w:ind w:left="720" w:hanging="720"/>
      </w:pPr>
      <w:r>
        <w:t>13</w:t>
      </w:r>
      <w:r w:rsidRPr="00D53CFE">
        <w:t>.</w:t>
      </w:r>
      <w:r w:rsidRPr="00D53CFE">
        <w:tab/>
        <w:t xml:space="preserve">Henskens LH, Kroon AA, van Oostenbrugge RJ, Gronenschild EH, Fuss-Lejeune MM, Hofman PA, et al. Increased aortic pulse wave velocity is associated with silent cerebral small-vessel disease in hypertensive patients. </w:t>
      </w:r>
      <w:r w:rsidRPr="00D53CFE">
        <w:rPr>
          <w:i/>
        </w:rPr>
        <w:t>Hypertension</w:t>
      </w:r>
      <w:r w:rsidRPr="00D53CFE">
        <w:t xml:space="preserve"> 2008;52:1120-1126.</w:t>
      </w:r>
    </w:p>
    <w:p w14:paraId="530EE594" w14:textId="5E62BFE1" w:rsidR="00A16F87" w:rsidRPr="00D53CFE" w:rsidRDefault="00A16F87" w:rsidP="002D3EBD">
      <w:pPr>
        <w:pStyle w:val="EndNoteBibliography"/>
        <w:spacing w:after="0"/>
        <w:ind w:left="720" w:hanging="720"/>
      </w:pPr>
      <w:r>
        <w:t>14</w:t>
      </w:r>
      <w:r w:rsidRPr="00D53CFE">
        <w:t>.</w:t>
      </w:r>
      <w:r w:rsidRPr="00D53CFE">
        <w:tab/>
        <w:t xml:space="preserve">Tsao CW, Seshadri S, Beiser AS, Westwood AJ, Decarli C, Au R, et al. Relations of arterial </w:t>
      </w:r>
      <w:r w:rsidRPr="00D53CFE">
        <w:lastRenderedPageBreak/>
        <w:t xml:space="preserve">stiffness and endothelial function to brain aging in the community. </w:t>
      </w:r>
      <w:r w:rsidRPr="00D53CFE">
        <w:rPr>
          <w:i/>
        </w:rPr>
        <w:t>Neurology</w:t>
      </w:r>
      <w:r w:rsidRPr="00D53CFE">
        <w:t xml:space="preserve"> 2013;81:984-991.</w:t>
      </w:r>
    </w:p>
    <w:p w14:paraId="4E947CBC" w14:textId="6ED592CA" w:rsidR="00A16F87" w:rsidRPr="00D53CFE" w:rsidRDefault="00A16F87" w:rsidP="002D3EBD">
      <w:pPr>
        <w:pStyle w:val="EndNoteBibliography"/>
        <w:spacing w:after="0"/>
        <w:ind w:left="720" w:hanging="720"/>
      </w:pPr>
      <w:r>
        <w:t>15</w:t>
      </w:r>
      <w:r w:rsidRPr="00D53CFE">
        <w:t>.</w:t>
      </w:r>
      <w:r w:rsidRPr="00D53CFE">
        <w:tab/>
        <w:t xml:space="preserve">Brandts A, van Elderen SG, Westenberg JJ, van der Grond J, van Buchem MA, Huisman MV, et al. Association of aortic arch pulse wave velocity with left ventricular mass and lacunar brain infarcts in hypertensive patients: assessment with MR imaging. </w:t>
      </w:r>
      <w:r w:rsidRPr="00D53CFE">
        <w:rPr>
          <w:i/>
        </w:rPr>
        <w:t>Radiology</w:t>
      </w:r>
      <w:r w:rsidRPr="00D53CFE">
        <w:t xml:space="preserve"> 2009;253:681-688.</w:t>
      </w:r>
    </w:p>
    <w:p w14:paraId="3D101265" w14:textId="3C476419" w:rsidR="00A16F87" w:rsidRPr="00D53CFE" w:rsidRDefault="00A16F87" w:rsidP="002D3EBD">
      <w:pPr>
        <w:pStyle w:val="EndNoteBibliography"/>
        <w:spacing w:after="0"/>
        <w:ind w:left="720" w:hanging="720"/>
      </w:pPr>
      <w:r>
        <w:t>16</w:t>
      </w:r>
      <w:r w:rsidRPr="00D53CFE">
        <w:t>.</w:t>
      </w:r>
      <w:r w:rsidRPr="00D53CFE">
        <w:tab/>
        <w:t xml:space="preserve">Seo WK, Lee JM, Park MH, Park KW, Lee DH. Cerebral microbleeds are independently associated with arterial stiffness in stroke patients. </w:t>
      </w:r>
      <w:r w:rsidRPr="00D53CFE">
        <w:rPr>
          <w:i/>
        </w:rPr>
        <w:t>Cerebrovasc Dis</w:t>
      </w:r>
      <w:r w:rsidRPr="00D53CFE">
        <w:t xml:space="preserve"> 2008;26:618-623.</w:t>
      </w:r>
    </w:p>
    <w:p w14:paraId="3F3E2F9C" w14:textId="127E3177" w:rsidR="00A16F87" w:rsidRPr="00D53CFE" w:rsidRDefault="00A16F87" w:rsidP="002D3EBD">
      <w:pPr>
        <w:pStyle w:val="EndNoteBibliography"/>
        <w:spacing w:after="0"/>
        <w:ind w:left="720" w:hanging="720"/>
      </w:pPr>
      <w:r>
        <w:t>17</w:t>
      </w:r>
      <w:r w:rsidRPr="00D53CFE">
        <w:t>.</w:t>
      </w:r>
      <w:r w:rsidRPr="00D53CFE">
        <w:tab/>
        <w:t xml:space="preserve">Mitchell GF, van Buchem MA, Sigurdsson S, Gotal JD, Jonsdottir MK, Kjartansson Ó, et al. Arterial stiffness, pressure and flow pulsatility and brain structure and function: the Age, Gene/Environment Susceptibility–Reykjavik study. </w:t>
      </w:r>
      <w:r w:rsidRPr="00D53CFE">
        <w:rPr>
          <w:i/>
        </w:rPr>
        <w:t>Brain</w:t>
      </w:r>
      <w:r w:rsidRPr="00D53CFE">
        <w:t xml:space="preserve"> 2011;134:3398-3407.</w:t>
      </w:r>
    </w:p>
    <w:p w14:paraId="1825D8C6" w14:textId="5939CFE4" w:rsidR="00A16F87" w:rsidRPr="00D53CFE" w:rsidRDefault="00A16F87" w:rsidP="002D3EBD">
      <w:pPr>
        <w:pStyle w:val="EndNoteBibliography"/>
        <w:spacing w:after="0"/>
        <w:ind w:left="720" w:hanging="720"/>
      </w:pPr>
      <w:r>
        <w:t>18</w:t>
      </w:r>
      <w:r w:rsidRPr="00D53CFE">
        <w:t>.</w:t>
      </w:r>
      <w:r w:rsidRPr="00D53CFE">
        <w:tab/>
        <w:t>Kidwell CS, El</w:t>
      </w:r>
      <w:r w:rsidRPr="00D53CFE">
        <w:rPr>
          <w:rFonts w:ascii="Cambria Math" w:hAnsi="Cambria Math" w:cs="Cambria Math"/>
        </w:rPr>
        <w:t>‐</w:t>
      </w:r>
      <w:r w:rsidRPr="00D53CFE">
        <w:t>Saden S, Livshits Z, Martin NA, Glenn TC, Saver JL. Transcranial Doppler pulsatility indices as a measure of diffuse small</w:t>
      </w:r>
      <w:r w:rsidRPr="00D53CFE">
        <w:rPr>
          <w:rFonts w:ascii="Cambria Math" w:hAnsi="Cambria Math" w:cs="Cambria Math"/>
        </w:rPr>
        <w:t>‐</w:t>
      </w:r>
      <w:r w:rsidRPr="00D53CFE">
        <w:t xml:space="preserve">vessel disease. </w:t>
      </w:r>
      <w:r w:rsidRPr="00D53CFE">
        <w:rPr>
          <w:i/>
        </w:rPr>
        <w:t>J Neuroimaging</w:t>
      </w:r>
      <w:r w:rsidRPr="00D53CFE">
        <w:t xml:space="preserve"> 2001;11:229-235.</w:t>
      </w:r>
    </w:p>
    <w:p w14:paraId="1E0849C1" w14:textId="560453CB" w:rsidR="00A16F87" w:rsidRPr="00D53CFE" w:rsidRDefault="00A16F87" w:rsidP="002D3EBD">
      <w:pPr>
        <w:pStyle w:val="EndNoteBibliography"/>
        <w:spacing w:after="0"/>
        <w:ind w:left="720" w:hanging="720"/>
      </w:pPr>
      <w:r>
        <w:t>19</w:t>
      </w:r>
      <w:r w:rsidRPr="00D53CFE">
        <w:t>.</w:t>
      </w:r>
      <w:r w:rsidRPr="00D53CFE">
        <w:tab/>
        <w:t xml:space="preserve">Giller CA, Hodges K, Batjer HH. Transcranial Doppler pulsatility in vasodilation and stenosis. </w:t>
      </w:r>
      <w:r w:rsidRPr="00D53CFE">
        <w:rPr>
          <w:i/>
        </w:rPr>
        <w:t>J Neurosurg</w:t>
      </w:r>
      <w:r w:rsidRPr="00D53CFE">
        <w:t xml:space="preserve"> 1990;72:901-906.</w:t>
      </w:r>
    </w:p>
    <w:p w14:paraId="1E16ADD5" w14:textId="685D3E92" w:rsidR="00A16F87" w:rsidRPr="00D53CFE" w:rsidRDefault="00A16F87" w:rsidP="002D3EBD">
      <w:pPr>
        <w:pStyle w:val="EndNoteBibliography"/>
        <w:spacing w:after="0"/>
        <w:ind w:left="720" w:hanging="720"/>
      </w:pPr>
      <w:r>
        <w:t>20</w:t>
      </w:r>
      <w:r w:rsidRPr="00D53CFE">
        <w:t>.</w:t>
      </w:r>
      <w:r w:rsidRPr="00D53CFE">
        <w:tab/>
        <w:t xml:space="preserve">de Riva N, Budohoski KP, Smielewski P, Kasprowicz M, Zweifel C, Steiner LA, et al. Transcranial Doppler pulsatility index: what it is and what it isn't. </w:t>
      </w:r>
      <w:r w:rsidRPr="00D53CFE">
        <w:rPr>
          <w:i/>
        </w:rPr>
        <w:t>Neurocrit Care</w:t>
      </w:r>
      <w:r w:rsidRPr="00D53CFE">
        <w:t xml:space="preserve"> 2012;17:58-66.</w:t>
      </w:r>
    </w:p>
    <w:p w14:paraId="5397EBF7" w14:textId="2D5E6B73" w:rsidR="00A16F87" w:rsidRPr="00D53CFE" w:rsidRDefault="00A16F87" w:rsidP="002D3EBD">
      <w:pPr>
        <w:pStyle w:val="EndNoteBibliography"/>
        <w:spacing w:after="0"/>
        <w:ind w:left="720" w:hanging="720"/>
      </w:pPr>
      <w:r>
        <w:t>21</w:t>
      </w:r>
      <w:r w:rsidRPr="00D53CFE">
        <w:t>.</w:t>
      </w:r>
      <w:r w:rsidRPr="00D53CFE">
        <w:tab/>
        <w:t xml:space="preserve">Lee KY, Sohn YH, Baik JS, Kim GW, Kim J-S. Arterial pulsatility as an index of cerebral </w:t>
      </w:r>
      <w:r w:rsidRPr="00D53CFE">
        <w:lastRenderedPageBreak/>
        <w:t xml:space="preserve">microangiopathy in diabetes. </w:t>
      </w:r>
      <w:r w:rsidRPr="00D53CFE">
        <w:rPr>
          <w:i/>
        </w:rPr>
        <w:t>Stroke</w:t>
      </w:r>
      <w:r w:rsidRPr="00D53CFE">
        <w:t xml:space="preserve"> 2000;31:1111-1115.</w:t>
      </w:r>
    </w:p>
    <w:p w14:paraId="2857FF8D" w14:textId="75A1602B" w:rsidR="00A16F87" w:rsidRPr="00D53CFE" w:rsidRDefault="00A16F87" w:rsidP="002D3EBD">
      <w:pPr>
        <w:pStyle w:val="EndNoteBibliography"/>
        <w:spacing w:after="0"/>
        <w:ind w:left="720" w:hanging="720"/>
      </w:pPr>
      <w:r>
        <w:t>22</w:t>
      </w:r>
      <w:r w:rsidRPr="00D53CFE">
        <w:t>.</w:t>
      </w:r>
      <w:r w:rsidRPr="00D53CFE">
        <w:tab/>
        <w:t xml:space="preserve">Kwan J, Hand P. Early neurological deterioration in acute stroke: clinical characteristics and impact on outcome. </w:t>
      </w:r>
      <w:r w:rsidRPr="00D53CFE">
        <w:rPr>
          <w:i/>
        </w:rPr>
        <w:t>QJM</w:t>
      </w:r>
      <w:r w:rsidRPr="00D53CFE">
        <w:t xml:space="preserve"> 2006;99:625-633.</w:t>
      </w:r>
    </w:p>
    <w:p w14:paraId="480DA748" w14:textId="3A6262D0" w:rsidR="00A16F87" w:rsidRPr="00D53CFE" w:rsidRDefault="00A16F87" w:rsidP="002D3EBD">
      <w:pPr>
        <w:pStyle w:val="EndNoteBibliography"/>
        <w:spacing w:after="0"/>
        <w:ind w:left="720" w:hanging="720"/>
      </w:pPr>
      <w:r>
        <w:t>23</w:t>
      </w:r>
      <w:r w:rsidRPr="00D53CFE">
        <w:t>.</w:t>
      </w:r>
      <w:r w:rsidRPr="00D53CFE">
        <w:tab/>
        <w:t xml:space="preserve">Liu D, Sun W, Scalzo F, Xiong Y, Zhang X, Qiu Z, et al. Early Magnetic Resonance Imaging Predicts Early Neurological Deterioration in Acute Middle Cerebral Artery Minor Stroke. </w:t>
      </w:r>
      <w:r w:rsidRPr="00D53CFE">
        <w:rPr>
          <w:i/>
        </w:rPr>
        <w:t>J Stroke Cerebrovasc Dis</w:t>
      </w:r>
      <w:r w:rsidRPr="00D53CFE">
        <w:t xml:space="preserve"> 2016;25:469-474.</w:t>
      </w:r>
    </w:p>
    <w:p w14:paraId="474E9452" w14:textId="2EDB19A6" w:rsidR="00FA5CE1" w:rsidRPr="00A16F87" w:rsidRDefault="00A16F87" w:rsidP="002D3EBD">
      <w:pPr>
        <w:pStyle w:val="EndNoteBibliography"/>
        <w:ind w:left="720" w:hanging="720"/>
      </w:pPr>
      <w:r>
        <w:t>24</w:t>
      </w:r>
      <w:r w:rsidR="00FA5CE1" w:rsidRPr="00A16F87">
        <w:t>.</w:t>
      </w:r>
      <w:r w:rsidR="00FA5CE1" w:rsidRPr="00A16F87">
        <w:tab/>
        <w:t>Blanco P, Abdo-Cuza A. Transcranial Doppler ultrasound in neurocritical care. J Ultrasound. 2018;21:1-16</w:t>
      </w:r>
    </w:p>
    <w:p w14:paraId="2C9CDAF7" w14:textId="2DFD5E2E" w:rsidR="00FA5CE1" w:rsidRPr="00A16F87" w:rsidRDefault="00A16F87" w:rsidP="002D3EBD">
      <w:pPr>
        <w:pStyle w:val="EndNoteBibliography"/>
        <w:ind w:left="720" w:hanging="720"/>
      </w:pPr>
      <w:r>
        <w:t>25</w:t>
      </w:r>
      <w:r w:rsidR="00FA5CE1" w:rsidRPr="00A16F87">
        <w:t>.</w:t>
      </w:r>
      <w:r w:rsidR="00FA5CE1" w:rsidRPr="00A16F87">
        <w:tab/>
        <w:t>Shi Y, Thrippleton MJ, Marshall I, Wardlaw JM. Intracranial pulsatility in patients with cerebral small vessel disease: a systematic review. Clin Sci (Lond). 2018;132:157-171</w:t>
      </w:r>
    </w:p>
    <w:p w14:paraId="18891305" w14:textId="77777777" w:rsidR="00FA5CE1" w:rsidRPr="00A16F87" w:rsidRDefault="00FA5CE1" w:rsidP="002D3EBD">
      <w:pPr>
        <w:pStyle w:val="EndNoteBibliography"/>
        <w:ind w:left="720" w:hanging="720"/>
      </w:pPr>
      <w:r w:rsidRPr="00A16F87">
        <w:t>26.</w:t>
      </w:r>
      <w:r w:rsidRPr="00A16F87">
        <w:tab/>
        <w:t>Calviello LA, de Riva N, Donnelly J, Czosnyka M, Smielewski P, Menon DK, et al. Relationship Between Brain Pulsatility and Cerebral Perfusion Pressure: Replicated Validation Using Different Drivers of CPP Change. Neurocrit Care. 2017;27:392-400</w:t>
      </w:r>
    </w:p>
    <w:p w14:paraId="5DAB5FC3" w14:textId="77777777" w:rsidR="00FA5CE1" w:rsidRPr="00A16F87" w:rsidRDefault="00FA5CE1" w:rsidP="002D3EBD">
      <w:pPr>
        <w:pStyle w:val="EndNoteBibliography"/>
        <w:ind w:left="720" w:hanging="720"/>
      </w:pPr>
      <w:r w:rsidRPr="00A16F87">
        <w:t>27.</w:t>
      </w:r>
      <w:r w:rsidRPr="00A16F87">
        <w:tab/>
        <w:t>Restrepo L, Razumovsky AY, Ziai W, Barker PB, Beauchamp NJ, Wityk RJ. Transcranial Doppler markers of diffusion-perfusion mismatch. J Neuroimaging. 2003;13:34-42</w:t>
      </w:r>
    </w:p>
    <w:p w14:paraId="472D6814" w14:textId="1B8A6595" w:rsidR="00A16F87" w:rsidRPr="00D53CFE" w:rsidRDefault="00A16F87" w:rsidP="002D3EBD">
      <w:pPr>
        <w:pStyle w:val="EndNoteBibliography"/>
        <w:ind w:left="720" w:hanging="720"/>
      </w:pPr>
      <w:r>
        <w:t>28</w:t>
      </w:r>
      <w:r w:rsidRPr="00D53CFE">
        <w:t>.</w:t>
      </w:r>
      <w:r w:rsidRPr="00D53CFE">
        <w:tab/>
        <w:t xml:space="preserve">Sarkar S, Ghosh S, Ghosh SK, Collier A. Role of transcranial Doppler ultrasonography in stroke. </w:t>
      </w:r>
      <w:r w:rsidRPr="00D53CFE">
        <w:rPr>
          <w:i/>
        </w:rPr>
        <w:t>Postgrad Med J</w:t>
      </w:r>
      <w:r w:rsidRPr="00D53CFE">
        <w:t xml:space="preserve"> 2007;83:683-689.</w:t>
      </w:r>
    </w:p>
    <w:p w14:paraId="2A1102C8" w14:textId="77777777" w:rsidR="00FA5CE1" w:rsidRDefault="00FA5CE1" w:rsidP="002D3EBD">
      <w:pPr>
        <w:wordWrap/>
        <w:spacing w:line="480" w:lineRule="auto"/>
        <w:rPr>
          <w:rFonts w:ascii="Times New Roman" w:hAnsi="Times New Roman" w:cs="Times New Roman"/>
          <w:b/>
          <w:sz w:val="32"/>
          <w:szCs w:val="32"/>
        </w:rPr>
      </w:pPr>
    </w:p>
    <w:p w14:paraId="5C6B4631" w14:textId="77777777" w:rsidR="00FA5CE1" w:rsidRDefault="00FA5CE1" w:rsidP="002D3EBD">
      <w:pPr>
        <w:pageBreakBefore/>
        <w:wordWrap/>
        <w:spacing w:line="480" w:lineRule="auto"/>
        <w:rPr>
          <w:rFonts w:ascii="Times New Roman" w:hAnsi="Times New Roman" w:cs="Times New Roman"/>
          <w:b/>
          <w:sz w:val="32"/>
          <w:szCs w:val="32"/>
        </w:rPr>
      </w:pPr>
      <w:r>
        <w:rPr>
          <w:rFonts w:ascii="Times New Roman" w:hAnsi="Times New Roman" w:cs="Times New Roman"/>
          <w:b/>
          <w:sz w:val="32"/>
          <w:szCs w:val="32"/>
        </w:rPr>
        <w:lastRenderedPageBreak/>
        <w:t>Figure legend</w:t>
      </w:r>
    </w:p>
    <w:p w14:paraId="1A70B3E0"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Figure 1. Correlation analysis of the relationship between basilar artery and right middle cerebral artery pulsatility indices</w:t>
      </w:r>
    </w:p>
    <w:p w14:paraId="70B14554"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The pulsatility index of basilar artery was well correlated with that of right middle cerebral artery (n = 456, r = 0.757, </w:t>
      </w:r>
      <w:r>
        <w:rPr>
          <w:rFonts w:ascii="Times New Roman" w:hAnsi="Times New Roman" w:cs="Times New Roman"/>
          <w:i/>
          <w:sz w:val="24"/>
          <w:szCs w:val="24"/>
        </w:rPr>
        <w:t>p</w:t>
      </w:r>
      <w:r>
        <w:rPr>
          <w:rFonts w:ascii="Times New Roman" w:hAnsi="Times New Roman" w:cs="Times New Roman"/>
          <w:sz w:val="24"/>
          <w:szCs w:val="24"/>
        </w:rPr>
        <w:t xml:space="preserve"> &lt; 0.001).</w:t>
      </w:r>
    </w:p>
    <w:p w14:paraId="5BBDA71E" w14:textId="77777777" w:rsidR="00FA5CE1" w:rsidRDefault="00FA5CE1" w:rsidP="002D3EBD">
      <w:pPr>
        <w:pageBreakBefore/>
        <w:wordWrap/>
        <w:spacing w:line="480" w:lineRule="auto"/>
        <w:rPr>
          <w:rFonts w:ascii="Times New Roman" w:hAnsi="Times New Roman" w:cs="Times New Roman"/>
          <w:sz w:val="24"/>
          <w:szCs w:val="24"/>
        </w:rPr>
      </w:pPr>
      <w:r>
        <w:rPr>
          <w:rFonts w:ascii="Times New Roman" w:hAnsi="Times New Roman" w:cs="Times New Roman"/>
          <w:sz w:val="24"/>
        </w:rPr>
        <w:lastRenderedPageBreak/>
        <w:t xml:space="preserve">Table 1. </w:t>
      </w:r>
      <w:r>
        <w:rPr>
          <w:rFonts w:ascii="Times New Roman" w:hAnsi="Times New Roman" w:cs="Times New Roman"/>
          <w:sz w:val="24"/>
          <w:szCs w:val="24"/>
        </w:rPr>
        <w:t>Clinical characteristics of the study population according to basilar artery pulsatility index</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92"/>
        <w:gridCol w:w="1447"/>
        <w:gridCol w:w="1450"/>
        <w:gridCol w:w="1450"/>
        <w:gridCol w:w="1451"/>
        <w:gridCol w:w="1026"/>
      </w:tblGrid>
      <w:tr w:rsidR="00FA5CE1" w14:paraId="2C5E579E" w14:textId="77777777" w:rsidTr="00B80AA5">
        <w:tc>
          <w:tcPr>
            <w:tcW w:w="2192" w:type="dxa"/>
          </w:tcPr>
          <w:p w14:paraId="15C110A1" w14:textId="77777777" w:rsidR="00FA5CE1" w:rsidRDefault="00FA5CE1" w:rsidP="002D3EBD">
            <w:pPr>
              <w:wordWrap/>
              <w:spacing w:line="480" w:lineRule="auto"/>
              <w:rPr>
                <w:rFonts w:ascii="Times New Roman" w:hAnsi="Times New Roman" w:cs="Times New Roman"/>
                <w:sz w:val="24"/>
                <w:szCs w:val="24"/>
              </w:rPr>
            </w:pPr>
          </w:p>
        </w:tc>
        <w:tc>
          <w:tcPr>
            <w:tcW w:w="1447" w:type="dxa"/>
            <w:vAlign w:val="center"/>
            <w:hideMark/>
          </w:tcPr>
          <w:p w14:paraId="2AA7A51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1</w:t>
            </w:r>
          </w:p>
          <w:p w14:paraId="7C752A7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178</w:t>
            </w:r>
          </w:p>
        </w:tc>
        <w:tc>
          <w:tcPr>
            <w:tcW w:w="1450" w:type="dxa"/>
            <w:vAlign w:val="center"/>
            <w:hideMark/>
          </w:tcPr>
          <w:p w14:paraId="35EAD92B"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2</w:t>
            </w:r>
          </w:p>
          <w:p w14:paraId="0D9A1A7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192</w:t>
            </w:r>
          </w:p>
        </w:tc>
        <w:tc>
          <w:tcPr>
            <w:tcW w:w="1450" w:type="dxa"/>
            <w:vAlign w:val="center"/>
            <w:hideMark/>
          </w:tcPr>
          <w:p w14:paraId="6BF62AE2"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3</w:t>
            </w:r>
          </w:p>
          <w:p w14:paraId="5DD8104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219</w:t>
            </w:r>
          </w:p>
        </w:tc>
        <w:tc>
          <w:tcPr>
            <w:tcW w:w="1451" w:type="dxa"/>
            <w:vAlign w:val="center"/>
            <w:hideMark/>
          </w:tcPr>
          <w:p w14:paraId="44F4FDC2"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4</w:t>
            </w:r>
          </w:p>
          <w:p w14:paraId="05B7DB6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119</w:t>
            </w:r>
          </w:p>
        </w:tc>
        <w:tc>
          <w:tcPr>
            <w:tcW w:w="1026" w:type="dxa"/>
            <w:vAlign w:val="center"/>
            <w:hideMark/>
          </w:tcPr>
          <w:p w14:paraId="79682B9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 xml:space="preserve"> value</w:t>
            </w:r>
          </w:p>
        </w:tc>
      </w:tr>
      <w:tr w:rsidR="00FA5CE1" w14:paraId="1E7CA7FE" w14:textId="77777777" w:rsidTr="00B80AA5">
        <w:tc>
          <w:tcPr>
            <w:tcW w:w="2192" w:type="dxa"/>
            <w:hideMark/>
          </w:tcPr>
          <w:p w14:paraId="3A540EC2"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Age (years)</w:t>
            </w:r>
          </w:p>
        </w:tc>
        <w:tc>
          <w:tcPr>
            <w:tcW w:w="1447" w:type="dxa"/>
            <w:hideMark/>
          </w:tcPr>
          <w:p w14:paraId="45C6F17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59.7 ± 14.0</w:t>
            </w:r>
          </w:p>
        </w:tc>
        <w:tc>
          <w:tcPr>
            <w:tcW w:w="1450" w:type="dxa"/>
            <w:hideMark/>
          </w:tcPr>
          <w:p w14:paraId="7C29EC3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66.5 ± 12.0</w:t>
            </w:r>
          </w:p>
        </w:tc>
        <w:tc>
          <w:tcPr>
            <w:tcW w:w="1450" w:type="dxa"/>
            <w:hideMark/>
          </w:tcPr>
          <w:p w14:paraId="6F571A12"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72.0 ± 10.4</w:t>
            </w:r>
          </w:p>
        </w:tc>
        <w:tc>
          <w:tcPr>
            <w:tcW w:w="1451" w:type="dxa"/>
            <w:hideMark/>
          </w:tcPr>
          <w:p w14:paraId="7B90118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76.3 ± 8.7</w:t>
            </w:r>
          </w:p>
        </w:tc>
        <w:tc>
          <w:tcPr>
            <w:tcW w:w="1026" w:type="dxa"/>
            <w:hideMark/>
          </w:tcPr>
          <w:p w14:paraId="60FE7FE0"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FA5CE1" w14:paraId="7FE19881" w14:textId="77777777" w:rsidTr="00B80AA5">
        <w:tc>
          <w:tcPr>
            <w:tcW w:w="2192" w:type="dxa"/>
            <w:hideMark/>
          </w:tcPr>
          <w:p w14:paraId="2F45792A"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Sex, female, n (%)</w:t>
            </w:r>
          </w:p>
        </w:tc>
        <w:tc>
          <w:tcPr>
            <w:tcW w:w="1447" w:type="dxa"/>
            <w:hideMark/>
          </w:tcPr>
          <w:p w14:paraId="17461B7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73 (41.0)</w:t>
            </w:r>
          </w:p>
        </w:tc>
        <w:tc>
          <w:tcPr>
            <w:tcW w:w="1450" w:type="dxa"/>
            <w:hideMark/>
          </w:tcPr>
          <w:p w14:paraId="7797C06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90 (46.9)</w:t>
            </w:r>
          </w:p>
        </w:tc>
        <w:tc>
          <w:tcPr>
            <w:tcW w:w="1450" w:type="dxa"/>
            <w:hideMark/>
          </w:tcPr>
          <w:p w14:paraId="13BDF18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119 (54.3)</w:t>
            </w:r>
          </w:p>
        </w:tc>
        <w:tc>
          <w:tcPr>
            <w:tcW w:w="1451" w:type="dxa"/>
            <w:hideMark/>
          </w:tcPr>
          <w:p w14:paraId="78E7E9C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65 (54.6)</w:t>
            </w:r>
          </w:p>
        </w:tc>
        <w:tc>
          <w:tcPr>
            <w:tcW w:w="1026" w:type="dxa"/>
            <w:hideMark/>
          </w:tcPr>
          <w:p w14:paraId="7401B09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w:t>
            </w:r>
            <w:r>
              <w:rPr>
                <w:rFonts w:ascii="Times New Roman" w:hAnsi="Times New Roman" w:cs="Times New Roman"/>
                <w:b/>
                <w:sz w:val="24"/>
                <w:szCs w:val="24"/>
              </w:rPr>
              <w:t>*</w:t>
            </w:r>
          </w:p>
        </w:tc>
      </w:tr>
      <w:tr w:rsidR="00FA5CE1" w14:paraId="4165B567" w14:textId="77777777" w:rsidTr="00B80AA5">
        <w:tc>
          <w:tcPr>
            <w:tcW w:w="2192" w:type="dxa"/>
            <w:hideMark/>
          </w:tcPr>
          <w:p w14:paraId="0CA4777D"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Vascular risk factors</w:t>
            </w:r>
          </w:p>
        </w:tc>
        <w:tc>
          <w:tcPr>
            <w:tcW w:w="1447" w:type="dxa"/>
          </w:tcPr>
          <w:p w14:paraId="1C88BC2C" w14:textId="77777777" w:rsidR="00FA5CE1" w:rsidRDefault="00FA5CE1" w:rsidP="002D3EBD">
            <w:pPr>
              <w:wordWrap/>
              <w:spacing w:line="480" w:lineRule="auto"/>
              <w:jc w:val="center"/>
              <w:rPr>
                <w:rFonts w:ascii="Times New Roman" w:hAnsi="Times New Roman" w:cs="Times New Roman"/>
                <w:sz w:val="24"/>
                <w:szCs w:val="24"/>
              </w:rPr>
            </w:pPr>
          </w:p>
        </w:tc>
        <w:tc>
          <w:tcPr>
            <w:tcW w:w="1450" w:type="dxa"/>
          </w:tcPr>
          <w:p w14:paraId="44A79B95" w14:textId="77777777" w:rsidR="00FA5CE1" w:rsidRDefault="00FA5CE1" w:rsidP="002D3EBD">
            <w:pPr>
              <w:wordWrap/>
              <w:spacing w:line="480" w:lineRule="auto"/>
              <w:jc w:val="center"/>
              <w:rPr>
                <w:rFonts w:ascii="Times New Roman" w:hAnsi="Times New Roman" w:cs="Times New Roman"/>
                <w:sz w:val="24"/>
                <w:szCs w:val="24"/>
              </w:rPr>
            </w:pPr>
          </w:p>
        </w:tc>
        <w:tc>
          <w:tcPr>
            <w:tcW w:w="1450" w:type="dxa"/>
          </w:tcPr>
          <w:p w14:paraId="6D08746C" w14:textId="77777777" w:rsidR="00FA5CE1" w:rsidRDefault="00FA5CE1" w:rsidP="002D3EBD">
            <w:pPr>
              <w:wordWrap/>
              <w:spacing w:line="480" w:lineRule="auto"/>
              <w:jc w:val="center"/>
              <w:rPr>
                <w:rFonts w:ascii="Times New Roman" w:hAnsi="Times New Roman" w:cs="Times New Roman"/>
                <w:sz w:val="24"/>
                <w:szCs w:val="24"/>
              </w:rPr>
            </w:pPr>
          </w:p>
        </w:tc>
        <w:tc>
          <w:tcPr>
            <w:tcW w:w="1451" w:type="dxa"/>
          </w:tcPr>
          <w:p w14:paraId="78675681" w14:textId="77777777" w:rsidR="00FA5CE1" w:rsidRDefault="00FA5CE1" w:rsidP="002D3EBD">
            <w:pPr>
              <w:wordWrap/>
              <w:spacing w:line="480" w:lineRule="auto"/>
              <w:jc w:val="center"/>
              <w:rPr>
                <w:rFonts w:ascii="Times New Roman" w:hAnsi="Times New Roman" w:cs="Times New Roman"/>
                <w:sz w:val="24"/>
                <w:szCs w:val="24"/>
              </w:rPr>
            </w:pPr>
          </w:p>
        </w:tc>
        <w:tc>
          <w:tcPr>
            <w:tcW w:w="1026" w:type="dxa"/>
          </w:tcPr>
          <w:p w14:paraId="2F6E9C0F" w14:textId="77777777" w:rsidR="00FA5CE1" w:rsidRDefault="00FA5CE1" w:rsidP="002D3EBD">
            <w:pPr>
              <w:wordWrap/>
              <w:spacing w:line="480" w:lineRule="auto"/>
              <w:jc w:val="center"/>
              <w:rPr>
                <w:rFonts w:ascii="Times New Roman" w:hAnsi="Times New Roman" w:cs="Times New Roman"/>
                <w:color w:val="FF0000"/>
                <w:sz w:val="24"/>
                <w:szCs w:val="24"/>
              </w:rPr>
            </w:pPr>
          </w:p>
        </w:tc>
      </w:tr>
      <w:tr w:rsidR="00FA5CE1" w14:paraId="7BD0D625" w14:textId="77777777" w:rsidTr="00B80AA5">
        <w:tc>
          <w:tcPr>
            <w:tcW w:w="2192" w:type="dxa"/>
            <w:hideMark/>
          </w:tcPr>
          <w:p w14:paraId="75ED14F8"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Hypertension, n (%)</w:t>
            </w:r>
          </w:p>
        </w:tc>
        <w:tc>
          <w:tcPr>
            <w:tcW w:w="1447" w:type="dxa"/>
            <w:hideMark/>
          </w:tcPr>
          <w:p w14:paraId="234A652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96 (53.9)</w:t>
            </w:r>
          </w:p>
        </w:tc>
        <w:tc>
          <w:tcPr>
            <w:tcW w:w="1450" w:type="dxa"/>
            <w:hideMark/>
          </w:tcPr>
          <w:p w14:paraId="78177B2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121 (63.0)</w:t>
            </w:r>
          </w:p>
        </w:tc>
        <w:tc>
          <w:tcPr>
            <w:tcW w:w="1450" w:type="dxa"/>
            <w:hideMark/>
          </w:tcPr>
          <w:p w14:paraId="37DBABC2"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147 (67.1)</w:t>
            </w:r>
          </w:p>
        </w:tc>
        <w:tc>
          <w:tcPr>
            <w:tcW w:w="1451" w:type="dxa"/>
            <w:hideMark/>
          </w:tcPr>
          <w:p w14:paraId="0158F43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96 (80.7)</w:t>
            </w:r>
          </w:p>
        </w:tc>
        <w:tc>
          <w:tcPr>
            <w:tcW w:w="1026" w:type="dxa"/>
            <w:hideMark/>
          </w:tcPr>
          <w:p w14:paraId="4C9E9BE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FA5CE1" w14:paraId="6AE70B56" w14:textId="77777777" w:rsidTr="00B80AA5">
        <w:tc>
          <w:tcPr>
            <w:tcW w:w="2192" w:type="dxa"/>
            <w:hideMark/>
          </w:tcPr>
          <w:p w14:paraId="15B44932"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Diabetes mellitus, n (%)</w:t>
            </w:r>
          </w:p>
        </w:tc>
        <w:tc>
          <w:tcPr>
            <w:tcW w:w="1447" w:type="dxa"/>
            <w:hideMark/>
          </w:tcPr>
          <w:p w14:paraId="4068D17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 (21.9)</w:t>
            </w:r>
          </w:p>
        </w:tc>
        <w:tc>
          <w:tcPr>
            <w:tcW w:w="1450" w:type="dxa"/>
            <w:hideMark/>
          </w:tcPr>
          <w:p w14:paraId="103894F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64 (33.3)</w:t>
            </w:r>
          </w:p>
        </w:tc>
        <w:tc>
          <w:tcPr>
            <w:tcW w:w="1450" w:type="dxa"/>
            <w:hideMark/>
          </w:tcPr>
          <w:p w14:paraId="65B71C7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87 (39.7)</w:t>
            </w:r>
          </w:p>
        </w:tc>
        <w:tc>
          <w:tcPr>
            <w:tcW w:w="1451" w:type="dxa"/>
            <w:hideMark/>
          </w:tcPr>
          <w:p w14:paraId="3CCD156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49 (41.2)</w:t>
            </w:r>
          </w:p>
        </w:tc>
        <w:tc>
          <w:tcPr>
            <w:tcW w:w="1026" w:type="dxa"/>
            <w:hideMark/>
          </w:tcPr>
          <w:p w14:paraId="22BA94B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FA5CE1" w14:paraId="6C4436FD" w14:textId="77777777" w:rsidTr="00B80AA5">
        <w:tc>
          <w:tcPr>
            <w:tcW w:w="2192" w:type="dxa"/>
            <w:hideMark/>
          </w:tcPr>
          <w:p w14:paraId="3CAAD58F"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Smoking, n (%)</w:t>
            </w:r>
          </w:p>
        </w:tc>
        <w:tc>
          <w:tcPr>
            <w:tcW w:w="1447" w:type="dxa"/>
            <w:hideMark/>
          </w:tcPr>
          <w:p w14:paraId="00CF9769"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53 (29.8)</w:t>
            </w:r>
          </w:p>
        </w:tc>
        <w:tc>
          <w:tcPr>
            <w:tcW w:w="1450" w:type="dxa"/>
            <w:hideMark/>
          </w:tcPr>
          <w:p w14:paraId="36F03D0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50 (26.0)</w:t>
            </w:r>
          </w:p>
        </w:tc>
        <w:tc>
          <w:tcPr>
            <w:tcW w:w="1450" w:type="dxa"/>
            <w:hideMark/>
          </w:tcPr>
          <w:p w14:paraId="39633ED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62 (28.3)</w:t>
            </w:r>
          </w:p>
        </w:tc>
        <w:tc>
          <w:tcPr>
            <w:tcW w:w="1451" w:type="dxa"/>
            <w:hideMark/>
          </w:tcPr>
          <w:p w14:paraId="2F6EB3F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 (23.5)</w:t>
            </w:r>
          </w:p>
        </w:tc>
        <w:tc>
          <w:tcPr>
            <w:tcW w:w="1026" w:type="dxa"/>
            <w:hideMark/>
          </w:tcPr>
          <w:p w14:paraId="44FB003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0.64</w:t>
            </w:r>
          </w:p>
        </w:tc>
      </w:tr>
      <w:tr w:rsidR="00FA5CE1" w14:paraId="426BDF59" w14:textId="77777777" w:rsidTr="00B80AA5">
        <w:tc>
          <w:tcPr>
            <w:tcW w:w="2192" w:type="dxa"/>
            <w:hideMark/>
          </w:tcPr>
          <w:p w14:paraId="0FFE6F2A"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Atrial fibrillation, n (%)</w:t>
            </w:r>
          </w:p>
        </w:tc>
        <w:tc>
          <w:tcPr>
            <w:tcW w:w="1447" w:type="dxa"/>
            <w:hideMark/>
          </w:tcPr>
          <w:p w14:paraId="2EFB5D6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 (16.3)</w:t>
            </w:r>
          </w:p>
        </w:tc>
        <w:tc>
          <w:tcPr>
            <w:tcW w:w="1450" w:type="dxa"/>
            <w:hideMark/>
          </w:tcPr>
          <w:p w14:paraId="7C3BD6C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 (20.8)</w:t>
            </w:r>
          </w:p>
        </w:tc>
        <w:tc>
          <w:tcPr>
            <w:tcW w:w="1450" w:type="dxa"/>
            <w:hideMark/>
          </w:tcPr>
          <w:p w14:paraId="1EAC0C6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42 (19.2)</w:t>
            </w:r>
          </w:p>
        </w:tc>
        <w:tc>
          <w:tcPr>
            <w:tcW w:w="1451" w:type="dxa"/>
            <w:hideMark/>
          </w:tcPr>
          <w:p w14:paraId="496593F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31 (26.1)</w:t>
            </w:r>
          </w:p>
        </w:tc>
        <w:tc>
          <w:tcPr>
            <w:tcW w:w="1026" w:type="dxa"/>
            <w:hideMark/>
          </w:tcPr>
          <w:p w14:paraId="58EACA9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0.22</w:t>
            </w:r>
          </w:p>
        </w:tc>
      </w:tr>
      <w:tr w:rsidR="00FA5CE1" w14:paraId="314441D5" w14:textId="77777777" w:rsidTr="00B80AA5">
        <w:tc>
          <w:tcPr>
            <w:tcW w:w="2192" w:type="dxa"/>
            <w:hideMark/>
          </w:tcPr>
          <w:p w14:paraId="3F642BE7"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Previous stroke, n (%)</w:t>
            </w:r>
          </w:p>
        </w:tc>
        <w:tc>
          <w:tcPr>
            <w:tcW w:w="1447" w:type="dxa"/>
            <w:hideMark/>
          </w:tcPr>
          <w:p w14:paraId="00F51D3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 (9.0%)</w:t>
            </w:r>
          </w:p>
        </w:tc>
        <w:tc>
          <w:tcPr>
            <w:tcW w:w="1450" w:type="dxa"/>
            <w:hideMark/>
          </w:tcPr>
          <w:p w14:paraId="566E170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22 (11.5%)</w:t>
            </w:r>
          </w:p>
        </w:tc>
        <w:tc>
          <w:tcPr>
            <w:tcW w:w="1450" w:type="dxa"/>
            <w:hideMark/>
          </w:tcPr>
          <w:p w14:paraId="587637CB"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25 (11.4%)</w:t>
            </w:r>
          </w:p>
        </w:tc>
        <w:tc>
          <w:tcPr>
            <w:tcW w:w="1451" w:type="dxa"/>
            <w:hideMark/>
          </w:tcPr>
          <w:p w14:paraId="4A473A4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18 (15.1%)</w:t>
            </w:r>
          </w:p>
        </w:tc>
        <w:tc>
          <w:tcPr>
            <w:tcW w:w="1026" w:type="dxa"/>
            <w:hideMark/>
          </w:tcPr>
          <w:p w14:paraId="2994170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0.45</w:t>
            </w:r>
          </w:p>
        </w:tc>
      </w:tr>
      <w:tr w:rsidR="00FA5CE1" w14:paraId="1A14D5FC" w14:textId="77777777" w:rsidTr="00B80AA5">
        <w:tc>
          <w:tcPr>
            <w:tcW w:w="2192" w:type="dxa"/>
            <w:hideMark/>
          </w:tcPr>
          <w:p w14:paraId="229E5D80"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SBP (mmHg)</w:t>
            </w:r>
          </w:p>
        </w:tc>
        <w:tc>
          <w:tcPr>
            <w:tcW w:w="1447" w:type="dxa"/>
            <w:hideMark/>
          </w:tcPr>
          <w:p w14:paraId="3075B82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145 ± 25.8</w:t>
            </w:r>
          </w:p>
        </w:tc>
        <w:tc>
          <w:tcPr>
            <w:tcW w:w="1450" w:type="dxa"/>
            <w:hideMark/>
          </w:tcPr>
          <w:p w14:paraId="2F26F3BB"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145 ± 26.6</w:t>
            </w:r>
          </w:p>
        </w:tc>
        <w:tc>
          <w:tcPr>
            <w:tcW w:w="1450" w:type="dxa"/>
            <w:hideMark/>
          </w:tcPr>
          <w:p w14:paraId="046129E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150 ± 28.1</w:t>
            </w:r>
          </w:p>
        </w:tc>
        <w:tc>
          <w:tcPr>
            <w:tcW w:w="1451" w:type="dxa"/>
            <w:hideMark/>
          </w:tcPr>
          <w:p w14:paraId="1E92062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149 ± 26.9</w:t>
            </w:r>
          </w:p>
        </w:tc>
        <w:tc>
          <w:tcPr>
            <w:tcW w:w="1026" w:type="dxa"/>
            <w:hideMark/>
          </w:tcPr>
          <w:p w14:paraId="63038BB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FA5CE1" w14:paraId="5E46BE4E" w14:textId="77777777" w:rsidTr="00B80AA5">
        <w:tc>
          <w:tcPr>
            <w:tcW w:w="2192" w:type="dxa"/>
            <w:hideMark/>
          </w:tcPr>
          <w:p w14:paraId="2C61F5D8"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Laboratory variables</w:t>
            </w:r>
          </w:p>
        </w:tc>
        <w:tc>
          <w:tcPr>
            <w:tcW w:w="1447" w:type="dxa"/>
          </w:tcPr>
          <w:p w14:paraId="45213C61" w14:textId="77777777" w:rsidR="00FA5CE1" w:rsidRDefault="00FA5CE1" w:rsidP="002D3EBD">
            <w:pPr>
              <w:wordWrap/>
              <w:spacing w:line="480" w:lineRule="auto"/>
              <w:jc w:val="center"/>
              <w:rPr>
                <w:rFonts w:ascii="Times New Roman" w:hAnsi="Times New Roman" w:cs="Times New Roman"/>
                <w:sz w:val="24"/>
                <w:szCs w:val="24"/>
              </w:rPr>
            </w:pPr>
          </w:p>
        </w:tc>
        <w:tc>
          <w:tcPr>
            <w:tcW w:w="1450" w:type="dxa"/>
          </w:tcPr>
          <w:p w14:paraId="27163812" w14:textId="77777777" w:rsidR="00FA5CE1" w:rsidRDefault="00FA5CE1" w:rsidP="002D3EBD">
            <w:pPr>
              <w:wordWrap/>
              <w:spacing w:line="480" w:lineRule="auto"/>
              <w:jc w:val="center"/>
              <w:rPr>
                <w:rFonts w:ascii="Times New Roman" w:hAnsi="Times New Roman" w:cs="Times New Roman"/>
                <w:sz w:val="24"/>
                <w:szCs w:val="24"/>
              </w:rPr>
            </w:pPr>
          </w:p>
        </w:tc>
        <w:tc>
          <w:tcPr>
            <w:tcW w:w="1450" w:type="dxa"/>
          </w:tcPr>
          <w:p w14:paraId="1A71D46C" w14:textId="77777777" w:rsidR="00FA5CE1" w:rsidRDefault="00FA5CE1" w:rsidP="002D3EBD">
            <w:pPr>
              <w:wordWrap/>
              <w:spacing w:line="480" w:lineRule="auto"/>
              <w:jc w:val="center"/>
              <w:rPr>
                <w:rFonts w:ascii="Times New Roman" w:hAnsi="Times New Roman" w:cs="Times New Roman"/>
                <w:sz w:val="24"/>
                <w:szCs w:val="24"/>
              </w:rPr>
            </w:pPr>
          </w:p>
        </w:tc>
        <w:tc>
          <w:tcPr>
            <w:tcW w:w="1451" w:type="dxa"/>
          </w:tcPr>
          <w:p w14:paraId="1BEEEA76" w14:textId="77777777" w:rsidR="00FA5CE1" w:rsidRDefault="00FA5CE1" w:rsidP="002D3EBD">
            <w:pPr>
              <w:wordWrap/>
              <w:spacing w:line="480" w:lineRule="auto"/>
              <w:jc w:val="center"/>
              <w:rPr>
                <w:rFonts w:ascii="Times New Roman" w:hAnsi="Times New Roman" w:cs="Times New Roman"/>
                <w:sz w:val="24"/>
                <w:szCs w:val="24"/>
              </w:rPr>
            </w:pPr>
          </w:p>
        </w:tc>
        <w:tc>
          <w:tcPr>
            <w:tcW w:w="1026" w:type="dxa"/>
          </w:tcPr>
          <w:p w14:paraId="37A55F53" w14:textId="77777777" w:rsidR="00FA5CE1" w:rsidRDefault="00FA5CE1" w:rsidP="002D3EBD">
            <w:pPr>
              <w:wordWrap/>
              <w:spacing w:line="480" w:lineRule="auto"/>
              <w:jc w:val="center"/>
              <w:rPr>
                <w:rFonts w:ascii="Times New Roman" w:hAnsi="Times New Roman" w:cs="Times New Roman"/>
                <w:sz w:val="24"/>
                <w:szCs w:val="24"/>
              </w:rPr>
            </w:pPr>
          </w:p>
        </w:tc>
      </w:tr>
      <w:tr w:rsidR="00FA5CE1" w14:paraId="2406BB0F" w14:textId="77777777" w:rsidTr="00B80AA5">
        <w:tc>
          <w:tcPr>
            <w:tcW w:w="2192" w:type="dxa"/>
            <w:hideMark/>
          </w:tcPr>
          <w:p w14:paraId="5AFF974B"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Hematocrit (%)</w:t>
            </w:r>
          </w:p>
        </w:tc>
        <w:tc>
          <w:tcPr>
            <w:tcW w:w="1447" w:type="dxa"/>
            <w:hideMark/>
          </w:tcPr>
          <w:p w14:paraId="1A5BF3B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41.0 ± 6.33</w:t>
            </w:r>
          </w:p>
        </w:tc>
        <w:tc>
          <w:tcPr>
            <w:tcW w:w="1450" w:type="dxa"/>
            <w:hideMark/>
          </w:tcPr>
          <w:p w14:paraId="54A244D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40.8 ± 5.64</w:t>
            </w:r>
          </w:p>
        </w:tc>
        <w:tc>
          <w:tcPr>
            <w:tcW w:w="1450" w:type="dxa"/>
            <w:hideMark/>
          </w:tcPr>
          <w:p w14:paraId="7036F7B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39.6 ± 5.52</w:t>
            </w:r>
          </w:p>
        </w:tc>
        <w:tc>
          <w:tcPr>
            <w:tcW w:w="1451" w:type="dxa"/>
            <w:hideMark/>
          </w:tcPr>
          <w:p w14:paraId="07CB0A7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40.0 ± 5.48</w:t>
            </w:r>
          </w:p>
        </w:tc>
        <w:tc>
          <w:tcPr>
            <w:tcW w:w="1026" w:type="dxa"/>
            <w:hideMark/>
          </w:tcPr>
          <w:p w14:paraId="135E4EE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FA5CE1" w14:paraId="26217BFE" w14:textId="77777777" w:rsidTr="00B80AA5">
        <w:tc>
          <w:tcPr>
            <w:tcW w:w="2192" w:type="dxa"/>
            <w:hideMark/>
          </w:tcPr>
          <w:p w14:paraId="3142E393"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Leukocytes (10</w:t>
            </w:r>
            <w:r>
              <w:rPr>
                <w:rFonts w:ascii="Times New Roman" w:hAnsi="Times New Roman" w:cs="Times New Roman"/>
                <w:sz w:val="24"/>
                <w:szCs w:val="24"/>
                <w:vertAlign w:val="superscript"/>
              </w:rPr>
              <w:t>9</w:t>
            </w:r>
            <w:r>
              <w:rPr>
                <w:rFonts w:ascii="Times New Roman" w:hAnsi="Times New Roman" w:cs="Times New Roman"/>
                <w:sz w:val="24"/>
                <w:szCs w:val="24"/>
              </w:rPr>
              <w:t>/L)</w:t>
            </w:r>
          </w:p>
        </w:tc>
        <w:tc>
          <w:tcPr>
            <w:tcW w:w="1447" w:type="dxa"/>
            <w:hideMark/>
          </w:tcPr>
          <w:p w14:paraId="6E214FE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7.80 ± 2.83</w:t>
            </w:r>
          </w:p>
        </w:tc>
        <w:tc>
          <w:tcPr>
            <w:tcW w:w="1450" w:type="dxa"/>
            <w:hideMark/>
          </w:tcPr>
          <w:p w14:paraId="0F04028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8.62 ± 6.46</w:t>
            </w:r>
          </w:p>
        </w:tc>
        <w:tc>
          <w:tcPr>
            <w:tcW w:w="1450" w:type="dxa"/>
            <w:hideMark/>
          </w:tcPr>
          <w:p w14:paraId="27E2B1C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8.41 ± 3.24</w:t>
            </w:r>
          </w:p>
        </w:tc>
        <w:tc>
          <w:tcPr>
            <w:tcW w:w="1451" w:type="dxa"/>
            <w:hideMark/>
          </w:tcPr>
          <w:p w14:paraId="3ECA7E2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8.04 ± 3.67</w:t>
            </w:r>
          </w:p>
        </w:tc>
        <w:tc>
          <w:tcPr>
            <w:tcW w:w="1026" w:type="dxa"/>
            <w:hideMark/>
          </w:tcPr>
          <w:p w14:paraId="7957533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0.27</w:t>
            </w:r>
          </w:p>
        </w:tc>
      </w:tr>
      <w:tr w:rsidR="00FA5CE1" w14:paraId="1DFEDAF6" w14:textId="77777777" w:rsidTr="00B80AA5">
        <w:tc>
          <w:tcPr>
            <w:tcW w:w="2192" w:type="dxa"/>
            <w:hideMark/>
          </w:tcPr>
          <w:p w14:paraId="6D9E8C86"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Fasting blood glucose (mmol/L)</w:t>
            </w:r>
          </w:p>
        </w:tc>
        <w:tc>
          <w:tcPr>
            <w:tcW w:w="1447" w:type="dxa"/>
            <w:hideMark/>
          </w:tcPr>
          <w:p w14:paraId="7681D4E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3.40 ± 1.51</w:t>
            </w:r>
          </w:p>
        </w:tc>
        <w:tc>
          <w:tcPr>
            <w:tcW w:w="1450" w:type="dxa"/>
            <w:hideMark/>
          </w:tcPr>
          <w:p w14:paraId="6DD2B029"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1.45</w:t>
            </w:r>
          </w:p>
        </w:tc>
        <w:tc>
          <w:tcPr>
            <w:tcW w:w="1450" w:type="dxa"/>
            <w:hideMark/>
          </w:tcPr>
          <w:p w14:paraId="46BCFEEB"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1.57</w:t>
            </w:r>
          </w:p>
        </w:tc>
        <w:tc>
          <w:tcPr>
            <w:tcW w:w="1451" w:type="dxa"/>
            <w:hideMark/>
          </w:tcPr>
          <w:p w14:paraId="5B8C581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3.86 ± 1.67</w:t>
            </w:r>
          </w:p>
        </w:tc>
        <w:tc>
          <w:tcPr>
            <w:tcW w:w="1026" w:type="dxa"/>
            <w:hideMark/>
          </w:tcPr>
          <w:p w14:paraId="321D02B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0.059</w:t>
            </w:r>
          </w:p>
        </w:tc>
      </w:tr>
      <w:tr w:rsidR="00FA5CE1" w14:paraId="118C8FD3" w14:textId="77777777" w:rsidTr="00B80AA5">
        <w:tc>
          <w:tcPr>
            <w:tcW w:w="2192" w:type="dxa"/>
            <w:hideMark/>
          </w:tcPr>
          <w:p w14:paraId="5522E216"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HbA1c (%)</w:t>
            </w:r>
          </w:p>
        </w:tc>
        <w:tc>
          <w:tcPr>
            <w:tcW w:w="1447" w:type="dxa"/>
            <w:hideMark/>
          </w:tcPr>
          <w:p w14:paraId="3648543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5.99 ± 1.35</w:t>
            </w:r>
          </w:p>
        </w:tc>
        <w:tc>
          <w:tcPr>
            <w:tcW w:w="1450" w:type="dxa"/>
            <w:hideMark/>
          </w:tcPr>
          <w:p w14:paraId="0FD37CE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6.07 ± 1.32</w:t>
            </w:r>
          </w:p>
        </w:tc>
        <w:tc>
          <w:tcPr>
            <w:tcW w:w="1450" w:type="dxa"/>
            <w:hideMark/>
          </w:tcPr>
          <w:p w14:paraId="3F6A6E5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6.37 ± 1.43</w:t>
            </w:r>
          </w:p>
        </w:tc>
        <w:tc>
          <w:tcPr>
            <w:tcW w:w="1451" w:type="dxa"/>
            <w:hideMark/>
          </w:tcPr>
          <w:p w14:paraId="711919E9"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6.31 ± 1.34</w:t>
            </w:r>
          </w:p>
        </w:tc>
        <w:tc>
          <w:tcPr>
            <w:tcW w:w="1026" w:type="dxa"/>
            <w:hideMark/>
          </w:tcPr>
          <w:p w14:paraId="6B03F2F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0.024</w:t>
            </w:r>
            <w:r>
              <w:rPr>
                <w:rFonts w:ascii="Times New Roman" w:hAnsi="Times New Roman" w:cs="Times New Roman"/>
                <w:b/>
                <w:sz w:val="24"/>
                <w:szCs w:val="24"/>
              </w:rPr>
              <w:t>*</w:t>
            </w:r>
          </w:p>
        </w:tc>
      </w:tr>
      <w:tr w:rsidR="00FA5CE1" w14:paraId="3C98CBC0" w14:textId="77777777" w:rsidTr="00B80AA5">
        <w:tc>
          <w:tcPr>
            <w:tcW w:w="2192" w:type="dxa"/>
            <w:hideMark/>
          </w:tcPr>
          <w:p w14:paraId="58765E01"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lastRenderedPageBreak/>
              <w:t>Total cholesterol (mmol/L)</w:t>
            </w:r>
          </w:p>
        </w:tc>
        <w:tc>
          <w:tcPr>
            <w:tcW w:w="1447" w:type="dxa"/>
            <w:hideMark/>
          </w:tcPr>
          <w:p w14:paraId="500129B9"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4.82 ± 1.26</w:t>
            </w:r>
          </w:p>
        </w:tc>
        <w:tc>
          <w:tcPr>
            <w:tcW w:w="1450" w:type="dxa"/>
            <w:hideMark/>
          </w:tcPr>
          <w:p w14:paraId="57AA847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4.66 ± 1.31</w:t>
            </w:r>
          </w:p>
        </w:tc>
        <w:tc>
          <w:tcPr>
            <w:tcW w:w="1450" w:type="dxa"/>
            <w:hideMark/>
          </w:tcPr>
          <w:p w14:paraId="43A96090"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4.74 ± 1.25</w:t>
            </w:r>
          </w:p>
        </w:tc>
        <w:tc>
          <w:tcPr>
            <w:tcW w:w="1451" w:type="dxa"/>
            <w:hideMark/>
          </w:tcPr>
          <w:p w14:paraId="53EA542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4.66 ± 1.30</w:t>
            </w:r>
          </w:p>
        </w:tc>
        <w:tc>
          <w:tcPr>
            <w:tcW w:w="1026" w:type="dxa"/>
            <w:hideMark/>
          </w:tcPr>
          <w:p w14:paraId="5FAAF57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0.68</w:t>
            </w:r>
          </w:p>
        </w:tc>
      </w:tr>
      <w:tr w:rsidR="00FA5CE1" w14:paraId="29232C29" w14:textId="77777777" w:rsidTr="00B80AA5">
        <w:tc>
          <w:tcPr>
            <w:tcW w:w="2192" w:type="dxa"/>
            <w:hideMark/>
          </w:tcPr>
          <w:p w14:paraId="4CCD4A95"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LDL cholesterol (mmol/L)</w:t>
            </w:r>
          </w:p>
        </w:tc>
        <w:tc>
          <w:tcPr>
            <w:tcW w:w="1447" w:type="dxa"/>
            <w:hideMark/>
          </w:tcPr>
          <w:p w14:paraId="7AB31B0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2.80 ± 0.89</w:t>
            </w:r>
          </w:p>
        </w:tc>
        <w:tc>
          <w:tcPr>
            <w:tcW w:w="1450" w:type="dxa"/>
            <w:hideMark/>
          </w:tcPr>
          <w:p w14:paraId="4421DBA0"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2.77 ± 0.95</w:t>
            </w:r>
          </w:p>
        </w:tc>
        <w:tc>
          <w:tcPr>
            <w:tcW w:w="1450" w:type="dxa"/>
            <w:hideMark/>
          </w:tcPr>
          <w:p w14:paraId="61F3668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2.80 ± 0.89</w:t>
            </w:r>
          </w:p>
        </w:tc>
        <w:tc>
          <w:tcPr>
            <w:tcW w:w="1451" w:type="dxa"/>
            <w:hideMark/>
          </w:tcPr>
          <w:p w14:paraId="51B26932"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2.75 ± 0.90</w:t>
            </w:r>
          </w:p>
        </w:tc>
        <w:tc>
          <w:tcPr>
            <w:tcW w:w="1026" w:type="dxa"/>
            <w:hideMark/>
          </w:tcPr>
          <w:p w14:paraId="447A768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0.94</w:t>
            </w:r>
          </w:p>
        </w:tc>
      </w:tr>
      <w:tr w:rsidR="00FA5CE1" w14:paraId="3DB00771" w14:textId="77777777" w:rsidTr="00B80AA5">
        <w:tc>
          <w:tcPr>
            <w:tcW w:w="2192" w:type="dxa"/>
            <w:hideMark/>
          </w:tcPr>
          <w:p w14:paraId="4561DD10"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hsCRP (mmol/L)</w:t>
            </w:r>
          </w:p>
        </w:tc>
        <w:tc>
          <w:tcPr>
            <w:tcW w:w="1447" w:type="dxa"/>
            <w:hideMark/>
          </w:tcPr>
          <w:p w14:paraId="566A832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0.16 ± 0.56</w:t>
            </w:r>
          </w:p>
        </w:tc>
        <w:tc>
          <w:tcPr>
            <w:tcW w:w="1450" w:type="dxa"/>
            <w:hideMark/>
          </w:tcPr>
          <w:p w14:paraId="4F3769C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0.19 ± 0.56</w:t>
            </w:r>
          </w:p>
        </w:tc>
        <w:tc>
          <w:tcPr>
            <w:tcW w:w="1450" w:type="dxa"/>
            <w:hideMark/>
          </w:tcPr>
          <w:p w14:paraId="1BE1F0FB"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0.21 ± 0.63</w:t>
            </w:r>
          </w:p>
        </w:tc>
        <w:tc>
          <w:tcPr>
            <w:tcW w:w="1451" w:type="dxa"/>
            <w:hideMark/>
          </w:tcPr>
          <w:p w14:paraId="45E6800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0.37 ± 1.05</w:t>
            </w:r>
          </w:p>
        </w:tc>
        <w:tc>
          <w:tcPr>
            <w:tcW w:w="1026" w:type="dxa"/>
            <w:hideMark/>
          </w:tcPr>
          <w:p w14:paraId="36CBA61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FA5CE1" w14:paraId="29160590" w14:textId="77777777" w:rsidTr="00B80AA5">
        <w:tc>
          <w:tcPr>
            <w:tcW w:w="2192" w:type="dxa"/>
            <w:hideMark/>
          </w:tcPr>
          <w:p w14:paraId="251A4548"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Homocysteine (μmol/L)</w:t>
            </w:r>
          </w:p>
        </w:tc>
        <w:tc>
          <w:tcPr>
            <w:tcW w:w="1447" w:type="dxa"/>
            <w:hideMark/>
          </w:tcPr>
          <w:p w14:paraId="7BE09CB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14.9 ± 7.53</w:t>
            </w:r>
          </w:p>
        </w:tc>
        <w:tc>
          <w:tcPr>
            <w:tcW w:w="1450" w:type="dxa"/>
            <w:hideMark/>
          </w:tcPr>
          <w:p w14:paraId="72E9163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14.6 ± 6.28</w:t>
            </w:r>
          </w:p>
        </w:tc>
        <w:tc>
          <w:tcPr>
            <w:tcW w:w="1450" w:type="dxa"/>
            <w:hideMark/>
          </w:tcPr>
          <w:p w14:paraId="7305E7A9"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15.2 ± 6.20</w:t>
            </w:r>
          </w:p>
        </w:tc>
        <w:tc>
          <w:tcPr>
            <w:tcW w:w="1451" w:type="dxa"/>
            <w:hideMark/>
          </w:tcPr>
          <w:p w14:paraId="44953AB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16.8 ± 6.89</w:t>
            </w:r>
          </w:p>
        </w:tc>
        <w:tc>
          <w:tcPr>
            <w:tcW w:w="1026" w:type="dxa"/>
            <w:hideMark/>
          </w:tcPr>
          <w:p w14:paraId="2BF9CC0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0.045</w:t>
            </w:r>
            <w:r>
              <w:rPr>
                <w:rFonts w:ascii="Times New Roman" w:hAnsi="Times New Roman" w:cs="Times New Roman"/>
                <w:b/>
                <w:sz w:val="24"/>
                <w:szCs w:val="24"/>
              </w:rPr>
              <w:t>*</w:t>
            </w:r>
          </w:p>
        </w:tc>
      </w:tr>
      <w:tr w:rsidR="00FA5CE1" w14:paraId="4C331A75" w14:textId="77777777" w:rsidTr="00B80AA5">
        <w:tc>
          <w:tcPr>
            <w:tcW w:w="2192" w:type="dxa"/>
            <w:hideMark/>
          </w:tcPr>
          <w:p w14:paraId="4CE01BEF"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Basilar artery PI</w:t>
            </w:r>
          </w:p>
        </w:tc>
        <w:tc>
          <w:tcPr>
            <w:tcW w:w="1447" w:type="dxa"/>
            <w:hideMark/>
          </w:tcPr>
          <w:p w14:paraId="4C9C899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0.70 ± 0.08</w:t>
            </w:r>
          </w:p>
        </w:tc>
        <w:tc>
          <w:tcPr>
            <w:tcW w:w="1450" w:type="dxa"/>
            <w:hideMark/>
          </w:tcPr>
          <w:p w14:paraId="2C5884E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0.87 ± 0.04</w:t>
            </w:r>
          </w:p>
        </w:tc>
        <w:tc>
          <w:tcPr>
            <w:tcW w:w="1450" w:type="dxa"/>
            <w:hideMark/>
          </w:tcPr>
          <w:p w14:paraId="5AEEB00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1.04 ± 0.05</w:t>
            </w:r>
          </w:p>
        </w:tc>
        <w:tc>
          <w:tcPr>
            <w:tcW w:w="1451" w:type="dxa"/>
            <w:hideMark/>
          </w:tcPr>
          <w:p w14:paraId="11E5271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1.32 ± 0.18</w:t>
            </w:r>
          </w:p>
        </w:tc>
        <w:tc>
          <w:tcPr>
            <w:tcW w:w="1026" w:type="dxa"/>
            <w:hideMark/>
          </w:tcPr>
          <w:p w14:paraId="1F1A3A1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FA5CE1" w14:paraId="7FDDB305" w14:textId="77777777" w:rsidTr="00B80AA5">
        <w:tc>
          <w:tcPr>
            <w:tcW w:w="2192" w:type="dxa"/>
            <w:hideMark/>
          </w:tcPr>
          <w:p w14:paraId="5F8AEABF"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Cerebral microbleeds, n (%)</w:t>
            </w:r>
          </w:p>
        </w:tc>
        <w:tc>
          <w:tcPr>
            <w:tcW w:w="1447" w:type="dxa"/>
            <w:hideMark/>
          </w:tcPr>
          <w:p w14:paraId="6F5C7EF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70 (39.3)</w:t>
            </w:r>
          </w:p>
        </w:tc>
        <w:tc>
          <w:tcPr>
            <w:tcW w:w="1450" w:type="dxa"/>
            <w:hideMark/>
          </w:tcPr>
          <w:p w14:paraId="4A7FEB4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86 (44.8)</w:t>
            </w:r>
          </w:p>
        </w:tc>
        <w:tc>
          <w:tcPr>
            <w:tcW w:w="1450" w:type="dxa"/>
            <w:hideMark/>
          </w:tcPr>
          <w:p w14:paraId="2871CDF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101 (46.1)</w:t>
            </w:r>
          </w:p>
        </w:tc>
        <w:tc>
          <w:tcPr>
            <w:tcW w:w="1451" w:type="dxa"/>
            <w:hideMark/>
          </w:tcPr>
          <w:p w14:paraId="30F69DDF"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55 (46.2)</w:t>
            </w:r>
          </w:p>
        </w:tc>
        <w:tc>
          <w:tcPr>
            <w:tcW w:w="1026" w:type="dxa"/>
            <w:hideMark/>
          </w:tcPr>
          <w:p w14:paraId="00134F8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0.52</w:t>
            </w:r>
          </w:p>
        </w:tc>
      </w:tr>
      <w:tr w:rsidR="00FA5CE1" w14:paraId="1A61F533" w14:textId="77777777" w:rsidTr="00B80AA5">
        <w:tc>
          <w:tcPr>
            <w:tcW w:w="2192" w:type="dxa"/>
            <w:hideMark/>
          </w:tcPr>
          <w:p w14:paraId="7729B8A1"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Old lacunes, n (%)</w:t>
            </w:r>
          </w:p>
        </w:tc>
        <w:tc>
          <w:tcPr>
            <w:tcW w:w="1447" w:type="dxa"/>
            <w:vAlign w:val="center"/>
            <w:hideMark/>
          </w:tcPr>
          <w:p w14:paraId="169D0309"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104 (58.4)</w:t>
            </w:r>
          </w:p>
        </w:tc>
        <w:tc>
          <w:tcPr>
            <w:tcW w:w="1450" w:type="dxa"/>
            <w:vAlign w:val="center"/>
            <w:hideMark/>
          </w:tcPr>
          <w:p w14:paraId="208A1E3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121 (63.0)</w:t>
            </w:r>
          </w:p>
        </w:tc>
        <w:tc>
          <w:tcPr>
            <w:tcW w:w="1450" w:type="dxa"/>
            <w:vAlign w:val="center"/>
            <w:hideMark/>
          </w:tcPr>
          <w:p w14:paraId="6DB571A0"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162 (74.0)</w:t>
            </w:r>
          </w:p>
        </w:tc>
        <w:tc>
          <w:tcPr>
            <w:tcW w:w="1451" w:type="dxa"/>
            <w:vAlign w:val="center"/>
            <w:hideMark/>
          </w:tcPr>
          <w:p w14:paraId="64D504E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90 (75.6)</w:t>
            </w:r>
          </w:p>
        </w:tc>
        <w:tc>
          <w:tcPr>
            <w:tcW w:w="1026" w:type="dxa"/>
            <w:vAlign w:val="center"/>
            <w:hideMark/>
          </w:tcPr>
          <w:p w14:paraId="5B2AF76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0.001†</w:t>
            </w:r>
          </w:p>
        </w:tc>
      </w:tr>
      <w:tr w:rsidR="00FA5CE1" w14:paraId="6388F30E" w14:textId="77777777" w:rsidTr="00B80AA5">
        <w:tc>
          <w:tcPr>
            <w:tcW w:w="2192" w:type="dxa"/>
            <w:hideMark/>
          </w:tcPr>
          <w:p w14:paraId="3B0863A5"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CAS, median (IQR)</w:t>
            </w:r>
          </w:p>
        </w:tc>
        <w:tc>
          <w:tcPr>
            <w:tcW w:w="1447" w:type="dxa"/>
            <w:vAlign w:val="center"/>
            <w:hideMark/>
          </w:tcPr>
          <w:p w14:paraId="4BE37AA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 (0–5)</w:t>
            </w:r>
          </w:p>
        </w:tc>
        <w:tc>
          <w:tcPr>
            <w:tcW w:w="1450" w:type="dxa"/>
            <w:vAlign w:val="center"/>
            <w:hideMark/>
          </w:tcPr>
          <w:p w14:paraId="70E5E82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 (0–6)</w:t>
            </w:r>
          </w:p>
        </w:tc>
        <w:tc>
          <w:tcPr>
            <w:tcW w:w="1450" w:type="dxa"/>
            <w:vAlign w:val="center"/>
            <w:hideMark/>
          </w:tcPr>
          <w:p w14:paraId="3F073D6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 (1–7)</w:t>
            </w:r>
          </w:p>
        </w:tc>
        <w:tc>
          <w:tcPr>
            <w:tcW w:w="1451" w:type="dxa"/>
            <w:vAlign w:val="center"/>
            <w:hideMark/>
          </w:tcPr>
          <w:p w14:paraId="13CBD61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 (2–6)</w:t>
            </w:r>
          </w:p>
        </w:tc>
        <w:tc>
          <w:tcPr>
            <w:tcW w:w="1026" w:type="dxa"/>
            <w:vAlign w:val="center"/>
            <w:hideMark/>
          </w:tcPr>
          <w:p w14:paraId="0DDFF36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0.007†</w:t>
            </w:r>
          </w:p>
        </w:tc>
      </w:tr>
      <w:tr w:rsidR="00FA5CE1" w14:paraId="04463828" w14:textId="77777777" w:rsidTr="00B80AA5">
        <w:tc>
          <w:tcPr>
            <w:tcW w:w="2192" w:type="dxa"/>
            <w:hideMark/>
          </w:tcPr>
          <w:p w14:paraId="17E154FA"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Neurological progression, n (%)</w:t>
            </w:r>
          </w:p>
        </w:tc>
        <w:tc>
          <w:tcPr>
            <w:tcW w:w="1447" w:type="dxa"/>
            <w:hideMark/>
          </w:tcPr>
          <w:p w14:paraId="3A85BC1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19 (10)</w:t>
            </w:r>
          </w:p>
        </w:tc>
        <w:tc>
          <w:tcPr>
            <w:tcW w:w="1450" w:type="dxa"/>
            <w:hideMark/>
          </w:tcPr>
          <w:p w14:paraId="378D537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20 (10)</w:t>
            </w:r>
          </w:p>
        </w:tc>
        <w:tc>
          <w:tcPr>
            <w:tcW w:w="1450" w:type="dxa"/>
            <w:hideMark/>
          </w:tcPr>
          <w:p w14:paraId="43C89E6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 (10)</w:t>
            </w:r>
          </w:p>
        </w:tc>
        <w:tc>
          <w:tcPr>
            <w:tcW w:w="1451" w:type="dxa"/>
            <w:hideMark/>
          </w:tcPr>
          <w:p w14:paraId="0272A86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25 (20)</w:t>
            </w:r>
          </w:p>
        </w:tc>
        <w:tc>
          <w:tcPr>
            <w:tcW w:w="1026" w:type="dxa"/>
            <w:hideMark/>
          </w:tcPr>
          <w:p w14:paraId="03B2FAA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w:t>
            </w:r>
            <w:r>
              <w:rPr>
                <w:rFonts w:ascii="Times New Roman" w:hAnsi="Times New Roman" w:cs="Times New Roman"/>
                <w:b/>
                <w:sz w:val="24"/>
                <w:szCs w:val="24"/>
              </w:rPr>
              <w:t>*</w:t>
            </w:r>
          </w:p>
        </w:tc>
      </w:tr>
    </w:tbl>
    <w:p w14:paraId="14E50116"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All numerical values are expressed as means ± SD. </w:t>
      </w:r>
    </w:p>
    <w:p w14:paraId="306753CE" w14:textId="74C69896"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SBP, Systolic blood pressure; HbA1c, Hemoglobin A1c; LDL, Low density lipoprotein; HDL, High density lipoprotein; AST, Aspartate aminotransferase; BUN, Blood urea nitrogen; hsCRP, high sensitivity C-reactive protein; PSV, Peak systolic velocity; DV, Diastolic velocity; PI, Pulsatility index; Rt MCA, Right middle cerebral artery; Lt MCA, Left middle cerebral artery.; CAS, Cerebral atherosclerosis score.</w:t>
      </w:r>
    </w:p>
    <w:p w14:paraId="0706DC3B"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Differences between groups using the analysis of chi-square test and the one-way analysis of variance test, Kruskal–Wallis tests for comparing the cerebral atherosclerosis score (CAS).</w:t>
      </w:r>
    </w:p>
    <w:p w14:paraId="2D3B8778"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&lt; 0.05, † </w:t>
      </w:r>
      <w:r>
        <w:rPr>
          <w:rFonts w:ascii="Times New Roman" w:hAnsi="Times New Roman" w:cs="Times New Roman"/>
          <w:i/>
          <w:sz w:val="24"/>
          <w:szCs w:val="24"/>
        </w:rPr>
        <w:t>p</w:t>
      </w:r>
      <w:r>
        <w:rPr>
          <w:rFonts w:ascii="Times New Roman" w:hAnsi="Times New Roman" w:cs="Times New Roman"/>
          <w:sz w:val="24"/>
          <w:szCs w:val="24"/>
        </w:rPr>
        <w:t xml:space="preserve"> &lt; 0.01, ‡</w:t>
      </w:r>
      <w:r>
        <w:rPr>
          <w:rFonts w:ascii="Times New Roman" w:hAnsi="Times New Roman" w:cs="Times New Roman"/>
          <w:i/>
          <w:sz w:val="24"/>
          <w:szCs w:val="24"/>
        </w:rPr>
        <w:t>p</w:t>
      </w:r>
      <w:r>
        <w:rPr>
          <w:rFonts w:ascii="Times New Roman" w:hAnsi="Times New Roman" w:cs="Times New Roman"/>
          <w:sz w:val="24"/>
          <w:szCs w:val="24"/>
        </w:rPr>
        <w:t xml:space="preserve"> &lt; 0.001</w:t>
      </w:r>
    </w:p>
    <w:p w14:paraId="5FC8DDBC" w14:textId="77777777" w:rsidR="00FA5CE1" w:rsidRDefault="00FA5CE1" w:rsidP="002D3EBD">
      <w:pPr>
        <w:wordWrap/>
        <w:spacing w:line="480" w:lineRule="auto"/>
      </w:pPr>
    </w:p>
    <w:p w14:paraId="37EF58A7" w14:textId="77777777" w:rsidR="00FA5CE1" w:rsidRDefault="00FA5CE1" w:rsidP="002D3EBD">
      <w:pPr>
        <w:wordWrap/>
        <w:spacing w:line="480" w:lineRule="auto"/>
      </w:pPr>
    </w:p>
    <w:p w14:paraId="7428D2F6" w14:textId="77777777" w:rsidR="00FA5CE1" w:rsidRDefault="00FA5CE1" w:rsidP="002D3EBD">
      <w:pPr>
        <w:wordWrap/>
        <w:spacing w:line="480" w:lineRule="auto"/>
      </w:pPr>
    </w:p>
    <w:p w14:paraId="5D320E78" w14:textId="77777777" w:rsidR="00FA5CE1" w:rsidRDefault="00FA5CE1" w:rsidP="002D3EBD">
      <w:pPr>
        <w:wordWrap/>
        <w:spacing w:line="480" w:lineRule="auto"/>
      </w:pPr>
    </w:p>
    <w:p w14:paraId="6461E908" w14:textId="77777777" w:rsidR="00FA5CE1" w:rsidRDefault="00FA5CE1" w:rsidP="002D3EBD">
      <w:pPr>
        <w:wordWrap/>
        <w:spacing w:line="480" w:lineRule="auto"/>
      </w:pPr>
    </w:p>
    <w:p w14:paraId="1B35D723" w14:textId="77777777" w:rsidR="00FA5CE1" w:rsidRDefault="00FA5CE1" w:rsidP="002D3EBD">
      <w:pPr>
        <w:wordWrap/>
        <w:spacing w:line="480" w:lineRule="auto"/>
      </w:pPr>
    </w:p>
    <w:p w14:paraId="7B8B1D86" w14:textId="77777777" w:rsidR="00FA5CE1" w:rsidRDefault="00FA5CE1" w:rsidP="002D3EBD">
      <w:pPr>
        <w:wordWrap/>
        <w:spacing w:line="480" w:lineRule="auto"/>
      </w:pPr>
    </w:p>
    <w:p w14:paraId="22F88648" w14:textId="77777777" w:rsidR="00FA5CE1" w:rsidRDefault="00FA5CE1" w:rsidP="002D3EBD">
      <w:pPr>
        <w:wordWrap/>
        <w:spacing w:line="480" w:lineRule="auto"/>
      </w:pPr>
    </w:p>
    <w:p w14:paraId="33444183" w14:textId="77777777" w:rsidR="00FA5CE1" w:rsidRDefault="00FA5CE1" w:rsidP="002D3EBD">
      <w:pPr>
        <w:wordWrap/>
        <w:spacing w:line="480" w:lineRule="auto"/>
      </w:pPr>
    </w:p>
    <w:p w14:paraId="5C9211C2" w14:textId="77777777" w:rsidR="00FA5CE1" w:rsidRDefault="00FA5CE1" w:rsidP="002D3EBD">
      <w:pPr>
        <w:wordWrap/>
        <w:spacing w:line="480" w:lineRule="auto"/>
      </w:pPr>
    </w:p>
    <w:p w14:paraId="6AC03124" w14:textId="77777777" w:rsidR="00FA5CE1" w:rsidRDefault="00FA5CE1" w:rsidP="002D3EBD">
      <w:pPr>
        <w:wordWrap/>
        <w:spacing w:line="480" w:lineRule="auto"/>
      </w:pPr>
    </w:p>
    <w:p w14:paraId="6A2A20F8" w14:textId="77777777" w:rsidR="00FA5CE1" w:rsidRDefault="00FA5CE1" w:rsidP="002D3EBD">
      <w:pPr>
        <w:wordWrap/>
        <w:spacing w:line="480" w:lineRule="auto"/>
      </w:pPr>
    </w:p>
    <w:p w14:paraId="6D3FC3B3" w14:textId="77777777" w:rsidR="00FA5CE1" w:rsidRDefault="00FA5CE1" w:rsidP="002D3EBD">
      <w:pPr>
        <w:wordWrap/>
        <w:spacing w:line="480" w:lineRule="auto"/>
      </w:pPr>
    </w:p>
    <w:p w14:paraId="4243A2A9" w14:textId="77777777" w:rsidR="00FA5CE1" w:rsidRDefault="00FA5CE1" w:rsidP="002D3EBD">
      <w:pPr>
        <w:wordWrap/>
        <w:spacing w:line="480" w:lineRule="auto"/>
      </w:pPr>
    </w:p>
    <w:p w14:paraId="37C41851" w14:textId="77777777" w:rsidR="00FA5CE1" w:rsidRDefault="00FA5CE1" w:rsidP="002D3EBD">
      <w:pPr>
        <w:wordWrap/>
        <w:spacing w:line="480" w:lineRule="auto"/>
      </w:pPr>
    </w:p>
    <w:p w14:paraId="78E5BCFB" w14:textId="77777777" w:rsidR="00FA5CE1" w:rsidRDefault="00FA5CE1" w:rsidP="002D3EBD">
      <w:pPr>
        <w:pageBreakBefore/>
        <w:wordWrap/>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Table 2. Comparison among patients with and without neurological deterioration*</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06"/>
        <w:gridCol w:w="2494"/>
        <w:gridCol w:w="2495"/>
        <w:gridCol w:w="1021"/>
      </w:tblGrid>
      <w:tr w:rsidR="00FA5CE1" w14:paraId="296CF4FA" w14:textId="77777777" w:rsidTr="00B80AA5">
        <w:tc>
          <w:tcPr>
            <w:tcW w:w="3006" w:type="dxa"/>
          </w:tcPr>
          <w:p w14:paraId="208FD60F" w14:textId="77777777" w:rsidR="00FA5CE1" w:rsidRDefault="00FA5CE1" w:rsidP="002D3EBD">
            <w:pPr>
              <w:wordWrap/>
              <w:spacing w:line="480" w:lineRule="auto"/>
              <w:rPr>
                <w:rFonts w:ascii="Times New Roman" w:hAnsi="Times New Roman" w:cs="Times New Roman"/>
                <w:sz w:val="24"/>
                <w:szCs w:val="24"/>
              </w:rPr>
            </w:pPr>
          </w:p>
        </w:tc>
        <w:tc>
          <w:tcPr>
            <w:tcW w:w="2494" w:type="dxa"/>
            <w:vAlign w:val="center"/>
            <w:hideMark/>
          </w:tcPr>
          <w:p w14:paraId="4913AE1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Neurological deterioration (−)</w:t>
            </w:r>
          </w:p>
          <w:p w14:paraId="130A0AB0"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616)</w:t>
            </w:r>
          </w:p>
        </w:tc>
        <w:tc>
          <w:tcPr>
            <w:tcW w:w="2495" w:type="dxa"/>
            <w:vAlign w:val="center"/>
            <w:hideMark/>
          </w:tcPr>
          <w:p w14:paraId="0348B81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Neurological deterioration (+)</w:t>
            </w:r>
          </w:p>
          <w:p w14:paraId="17CBF08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92)</w:t>
            </w:r>
          </w:p>
        </w:tc>
        <w:tc>
          <w:tcPr>
            <w:tcW w:w="1021" w:type="dxa"/>
            <w:vAlign w:val="center"/>
            <w:hideMark/>
          </w:tcPr>
          <w:p w14:paraId="05D7232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 xml:space="preserve"> value</w:t>
            </w:r>
          </w:p>
        </w:tc>
      </w:tr>
      <w:tr w:rsidR="00FA5CE1" w14:paraId="7F62D915" w14:textId="77777777" w:rsidTr="00B80AA5">
        <w:tc>
          <w:tcPr>
            <w:tcW w:w="3006" w:type="dxa"/>
            <w:hideMark/>
          </w:tcPr>
          <w:p w14:paraId="53FED1D1"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Age (years)</w:t>
            </w:r>
          </w:p>
        </w:tc>
        <w:tc>
          <w:tcPr>
            <w:tcW w:w="2494" w:type="dxa"/>
            <w:hideMark/>
          </w:tcPr>
          <w:p w14:paraId="71C4253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67.7 ± 13.2</w:t>
            </w:r>
          </w:p>
        </w:tc>
        <w:tc>
          <w:tcPr>
            <w:tcW w:w="2495" w:type="dxa"/>
            <w:hideMark/>
          </w:tcPr>
          <w:p w14:paraId="0CD41369"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71.2 ± 11.2</w:t>
            </w:r>
          </w:p>
        </w:tc>
        <w:tc>
          <w:tcPr>
            <w:tcW w:w="1021" w:type="dxa"/>
            <w:hideMark/>
          </w:tcPr>
          <w:p w14:paraId="3EF95C9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0.016 ‡</w:t>
            </w:r>
          </w:p>
        </w:tc>
      </w:tr>
      <w:tr w:rsidR="00FA5CE1" w14:paraId="16F10A69" w14:textId="77777777" w:rsidTr="00B80AA5">
        <w:tc>
          <w:tcPr>
            <w:tcW w:w="3006" w:type="dxa"/>
            <w:hideMark/>
          </w:tcPr>
          <w:p w14:paraId="0E2F09F8"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Sex, female, n (%)</w:t>
            </w:r>
          </w:p>
        </w:tc>
        <w:tc>
          <w:tcPr>
            <w:tcW w:w="2494" w:type="dxa"/>
            <w:hideMark/>
          </w:tcPr>
          <w:p w14:paraId="3D9E350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293 (47.6)</w:t>
            </w:r>
          </w:p>
        </w:tc>
        <w:tc>
          <w:tcPr>
            <w:tcW w:w="2495" w:type="dxa"/>
            <w:hideMark/>
          </w:tcPr>
          <w:p w14:paraId="79642CE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54 (58.7)</w:t>
            </w:r>
          </w:p>
        </w:tc>
        <w:tc>
          <w:tcPr>
            <w:tcW w:w="1021" w:type="dxa"/>
            <w:hideMark/>
          </w:tcPr>
          <w:p w14:paraId="131B3C9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0.06†</w:t>
            </w:r>
          </w:p>
        </w:tc>
      </w:tr>
      <w:tr w:rsidR="00FA5CE1" w14:paraId="0016C76C" w14:textId="77777777" w:rsidTr="00B80AA5">
        <w:tc>
          <w:tcPr>
            <w:tcW w:w="3006" w:type="dxa"/>
            <w:hideMark/>
          </w:tcPr>
          <w:p w14:paraId="38291A8A"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Hypertension, n (%)</w:t>
            </w:r>
          </w:p>
        </w:tc>
        <w:tc>
          <w:tcPr>
            <w:tcW w:w="2494" w:type="dxa"/>
            <w:hideMark/>
          </w:tcPr>
          <w:p w14:paraId="1BEBE30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396 (64.3)</w:t>
            </w:r>
          </w:p>
        </w:tc>
        <w:tc>
          <w:tcPr>
            <w:tcW w:w="2495" w:type="dxa"/>
            <w:hideMark/>
          </w:tcPr>
          <w:p w14:paraId="4371FEB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64 (69.6)</w:t>
            </w:r>
          </w:p>
        </w:tc>
        <w:tc>
          <w:tcPr>
            <w:tcW w:w="1021" w:type="dxa"/>
            <w:hideMark/>
          </w:tcPr>
          <w:p w14:paraId="074513D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0.383</w:t>
            </w:r>
          </w:p>
        </w:tc>
      </w:tr>
      <w:tr w:rsidR="00FA5CE1" w14:paraId="09844672" w14:textId="77777777" w:rsidTr="00B80AA5">
        <w:tc>
          <w:tcPr>
            <w:tcW w:w="3006" w:type="dxa"/>
            <w:hideMark/>
          </w:tcPr>
          <w:p w14:paraId="04ED2313"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Diabetes mellitus, n (%)</w:t>
            </w:r>
          </w:p>
        </w:tc>
        <w:tc>
          <w:tcPr>
            <w:tcW w:w="2494" w:type="dxa"/>
            <w:hideMark/>
          </w:tcPr>
          <w:p w14:paraId="1867432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206 (33.4)</w:t>
            </w:r>
          </w:p>
        </w:tc>
        <w:tc>
          <w:tcPr>
            <w:tcW w:w="2495" w:type="dxa"/>
            <w:hideMark/>
          </w:tcPr>
          <w:p w14:paraId="4C881FF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33 (35.9)</w:t>
            </w:r>
          </w:p>
        </w:tc>
        <w:tc>
          <w:tcPr>
            <w:tcW w:w="1021" w:type="dxa"/>
            <w:hideMark/>
          </w:tcPr>
          <w:p w14:paraId="1D3EB3CB"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0.733</w:t>
            </w:r>
          </w:p>
        </w:tc>
      </w:tr>
      <w:tr w:rsidR="00FA5CE1" w14:paraId="4847959E" w14:textId="77777777" w:rsidTr="00B80AA5">
        <w:tc>
          <w:tcPr>
            <w:tcW w:w="3006" w:type="dxa"/>
            <w:hideMark/>
          </w:tcPr>
          <w:p w14:paraId="328F32C5"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Smoking, n (%)</w:t>
            </w:r>
          </w:p>
        </w:tc>
        <w:tc>
          <w:tcPr>
            <w:tcW w:w="2494" w:type="dxa"/>
            <w:hideMark/>
          </w:tcPr>
          <w:p w14:paraId="3A9B819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177 (28.7)</w:t>
            </w:r>
          </w:p>
        </w:tc>
        <w:tc>
          <w:tcPr>
            <w:tcW w:w="2495" w:type="dxa"/>
            <w:hideMark/>
          </w:tcPr>
          <w:p w14:paraId="7AC839E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 (17.4)</w:t>
            </w:r>
          </w:p>
        </w:tc>
        <w:tc>
          <w:tcPr>
            <w:tcW w:w="1021" w:type="dxa"/>
            <w:hideMark/>
          </w:tcPr>
          <w:p w14:paraId="6E6232E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0.031 ‡</w:t>
            </w:r>
          </w:p>
        </w:tc>
      </w:tr>
      <w:tr w:rsidR="00FA5CE1" w14:paraId="4C3DAE48" w14:textId="77777777" w:rsidTr="00B80AA5">
        <w:tc>
          <w:tcPr>
            <w:tcW w:w="3006" w:type="dxa"/>
            <w:hideMark/>
          </w:tcPr>
          <w:p w14:paraId="7D43B62C"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Atrial fibrillation, n (%)</w:t>
            </w:r>
          </w:p>
        </w:tc>
        <w:tc>
          <w:tcPr>
            <w:tcW w:w="2494" w:type="dxa"/>
            <w:hideMark/>
          </w:tcPr>
          <w:p w14:paraId="29B0A5C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113 (18.3)</w:t>
            </w:r>
          </w:p>
        </w:tc>
        <w:tc>
          <w:tcPr>
            <w:tcW w:w="2495" w:type="dxa"/>
            <w:hideMark/>
          </w:tcPr>
          <w:p w14:paraId="78D49D6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 (31.5)</w:t>
            </w:r>
          </w:p>
        </w:tc>
        <w:tc>
          <w:tcPr>
            <w:tcW w:w="1021" w:type="dxa"/>
            <w:hideMark/>
          </w:tcPr>
          <w:p w14:paraId="0FA87282"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0.005 ‡</w:t>
            </w:r>
          </w:p>
        </w:tc>
      </w:tr>
      <w:tr w:rsidR="00FA5CE1" w14:paraId="0E303298" w14:textId="77777777" w:rsidTr="00B80AA5">
        <w:tc>
          <w:tcPr>
            <w:tcW w:w="3006" w:type="dxa"/>
            <w:hideMark/>
          </w:tcPr>
          <w:p w14:paraId="7553DDD0"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Previous stroke, n (%)</w:t>
            </w:r>
          </w:p>
        </w:tc>
        <w:tc>
          <w:tcPr>
            <w:tcW w:w="2494" w:type="dxa"/>
            <w:hideMark/>
          </w:tcPr>
          <w:p w14:paraId="2D7176B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68 (11.0)</w:t>
            </w:r>
          </w:p>
        </w:tc>
        <w:tc>
          <w:tcPr>
            <w:tcW w:w="2495" w:type="dxa"/>
            <w:hideMark/>
          </w:tcPr>
          <w:p w14:paraId="74E4119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13 (14.1)</w:t>
            </w:r>
          </w:p>
        </w:tc>
        <w:tc>
          <w:tcPr>
            <w:tcW w:w="1021" w:type="dxa"/>
            <w:hideMark/>
          </w:tcPr>
          <w:p w14:paraId="6C838FC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0.488</w:t>
            </w:r>
          </w:p>
        </w:tc>
      </w:tr>
      <w:tr w:rsidR="00FA5CE1" w14:paraId="5C2E6EB9" w14:textId="77777777" w:rsidTr="00B80AA5">
        <w:tc>
          <w:tcPr>
            <w:tcW w:w="3006" w:type="dxa"/>
            <w:hideMark/>
          </w:tcPr>
          <w:p w14:paraId="6A11AE95"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SBP (mmHg)</w:t>
            </w:r>
          </w:p>
        </w:tc>
        <w:tc>
          <w:tcPr>
            <w:tcW w:w="2494" w:type="dxa"/>
            <w:hideMark/>
          </w:tcPr>
          <w:p w14:paraId="4363814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146.3 ± 27.1</w:t>
            </w:r>
          </w:p>
        </w:tc>
        <w:tc>
          <w:tcPr>
            <w:tcW w:w="2495" w:type="dxa"/>
            <w:hideMark/>
          </w:tcPr>
          <w:p w14:paraId="5B62E03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153.2 ± 25.7</w:t>
            </w:r>
          </w:p>
        </w:tc>
        <w:tc>
          <w:tcPr>
            <w:tcW w:w="1021" w:type="dxa"/>
            <w:hideMark/>
          </w:tcPr>
          <w:p w14:paraId="7B3FDDD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0.023 ‡</w:t>
            </w:r>
          </w:p>
        </w:tc>
      </w:tr>
      <w:tr w:rsidR="00FA5CE1" w14:paraId="0E2E89A6" w14:textId="77777777" w:rsidTr="00B80AA5">
        <w:tc>
          <w:tcPr>
            <w:tcW w:w="3006" w:type="dxa"/>
            <w:hideMark/>
          </w:tcPr>
          <w:p w14:paraId="7C5AA584"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Hematocrit (%)</w:t>
            </w:r>
          </w:p>
        </w:tc>
        <w:tc>
          <w:tcPr>
            <w:tcW w:w="2494" w:type="dxa"/>
            <w:hideMark/>
          </w:tcPr>
          <w:p w14:paraId="3C8CB1E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40.4 (5.9)</w:t>
            </w:r>
          </w:p>
        </w:tc>
        <w:tc>
          <w:tcPr>
            <w:tcW w:w="2495" w:type="dxa"/>
            <w:hideMark/>
          </w:tcPr>
          <w:p w14:paraId="7C9131E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40.4 (5.0)</w:t>
            </w:r>
          </w:p>
        </w:tc>
        <w:tc>
          <w:tcPr>
            <w:tcW w:w="1021" w:type="dxa"/>
            <w:hideMark/>
          </w:tcPr>
          <w:p w14:paraId="693415A0"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0.954</w:t>
            </w:r>
          </w:p>
        </w:tc>
      </w:tr>
      <w:tr w:rsidR="00FA5CE1" w14:paraId="6165C3EC" w14:textId="77777777" w:rsidTr="00B80AA5">
        <w:tc>
          <w:tcPr>
            <w:tcW w:w="3006" w:type="dxa"/>
            <w:hideMark/>
          </w:tcPr>
          <w:p w14:paraId="2A6355B6"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Leukocytes (10</w:t>
            </w:r>
            <w:r>
              <w:rPr>
                <w:rFonts w:ascii="Times New Roman" w:hAnsi="Times New Roman" w:cs="Times New Roman"/>
                <w:sz w:val="24"/>
                <w:szCs w:val="24"/>
                <w:vertAlign w:val="superscript"/>
              </w:rPr>
              <w:t>9</w:t>
            </w:r>
            <w:r>
              <w:rPr>
                <w:rFonts w:ascii="Times New Roman" w:hAnsi="Times New Roman" w:cs="Times New Roman"/>
                <w:sz w:val="24"/>
                <w:szCs w:val="24"/>
              </w:rPr>
              <w:t>/L)</w:t>
            </w:r>
          </w:p>
        </w:tc>
        <w:tc>
          <w:tcPr>
            <w:tcW w:w="2494" w:type="dxa"/>
            <w:hideMark/>
          </w:tcPr>
          <w:p w14:paraId="3FDBE7A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8.21 ± 4.43</w:t>
            </w:r>
          </w:p>
        </w:tc>
        <w:tc>
          <w:tcPr>
            <w:tcW w:w="2495" w:type="dxa"/>
            <w:hideMark/>
          </w:tcPr>
          <w:p w14:paraId="7251F46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8.51 ± 3.75</w:t>
            </w:r>
          </w:p>
        </w:tc>
        <w:tc>
          <w:tcPr>
            <w:tcW w:w="1021" w:type="dxa"/>
            <w:hideMark/>
          </w:tcPr>
          <w:p w14:paraId="4D195F3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0.485</w:t>
            </w:r>
          </w:p>
        </w:tc>
      </w:tr>
      <w:tr w:rsidR="00FA5CE1" w14:paraId="5621F1BF" w14:textId="77777777" w:rsidTr="00B80AA5">
        <w:tc>
          <w:tcPr>
            <w:tcW w:w="3006" w:type="dxa"/>
            <w:hideMark/>
          </w:tcPr>
          <w:p w14:paraId="181A2EDF"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Fasting blood glucose (mmol/L)</w:t>
            </w:r>
          </w:p>
        </w:tc>
        <w:tc>
          <w:tcPr>
            <w:tcW w:w="2494" w:type="dxa"/>
            <w:hideMark/>
          </w:tcPr>
          <w:p w14:paraId="3F84D75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3.65 ± 1.59</w:t>
            </w:r>
          </w:p>
        </w:tc>
        <w:tc>
          <w:tcPr>
            <w:tcW w:w="2495" w:type="dxa"/>
            <w:hideMark/>
          </w:tcPr>
          <w:p w14:paraId="6645CC2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1.19</w:t>
            </w:r>
          </w:p>
        </w:tc>
        <w:tc>
          <w:tcPr>
            <w:tcW w:w="1021" w:type="dxa"/>
            <w:hideMark/>
          </w:tcPr>
          <w:p w14:paraId="1EB663D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0.704</w:t>
            </w:r>
          </w:p>
        </w:tc>
      </w:tr>
      <w:tr w:rsidR="00FA5CE1" w14:paraId="141CFB5C" w14:textId="77777777" w:rsidTr="00B80AA5">
        <w:tc>
          <w:tcPr>
            <w:tcW w:w="3006" w:type="dxa"/>
            <w:hideMark/>
          </w:tcPr>
          <w:p w14:paraId="6F440BC5"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HbA1c (%)</w:t>
            </w:r>
          </w:p>
        </w:tc>
        <w:tc>
          <w:tcPr>
            <w:tcW w:w="2494" w:type="dxa"/>
            <w:hideMark/>
          </w:tcPr>
          <w:p w14:paraId="2084672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6.20 ± 1.42</w:t>
            </w:r>
          </w:p>
        </w:tc>
        <w:tc>
          <w:tcPr>
            <w:tcW w:w="2495" w:type="dxa"/>
            <w:hideMark/>
          </w:tcPr>
          <w:p w14:paraId="1276DE5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6.07 ± 1.04</w:t>
            </w:r>
          </w:p>
        </w:tc>
        <w:tc>
          <w:tcPr>
            <w:tcW w:w="1021" w:type="dxa"/>
            <w:hideMark/>
          </w:tcPr>
          <w:p w14:paraId="753BD9B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0.278</w:t>
            </w:r>
          </w:p>
        </w:tc>
      </w:tr>
      <w:tr w:rsidR="00FA5CE1" w14:paraId="242FC18D" w14:textId="77777777" w:rsidTr="00B80AA5">
        <w:tc>
          <w:tcPr>
            <w:tcW w:w="3006" w:type="dxa"/>
            <w:hideMark/>
          </w:tcPr>
          <w:p w14:paraId="36E3A7DA"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Total cholesterol (mmol/L)</w:t>
            </w:r>
          </w:p>
        </w:tc>
        <w:tc>
          <w:tcPr>
            <w:tcW w:w="2494" w:type="dxa"/>
            <w:hideMark/>
          </w:tcPr>
          <w:p w14:paraId="56AB2F3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4.74 ± 1.30</w:t>
            </w:r>
          </w:p>
        </w:tc>
        <w:tc>
          <w:tcPr>
            <w:tcW w:w="2495" w:type="dxa"/>
            <w:hideMark/>
          </w:tcPr>
          <w:p w14:paraId="003EFC5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4.67 ± 1.07</w:t>
            </w:r>
          </w:p>
        </w:tc>
        <w:tc>
          <w:tcPr>
            <w:tcW w:w="1021" w:type="dxa"/>
            <w:hideMark/>
          </w:tcPr>
          <w:p w14:paraId="0B645C2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0.565</w:t>
            </w:r>
          </w:p>
        </w:tc>
      </w:tr>
      <w:tr w:rsidR="00FA5CE1" w14:paraId="4F727350" w14:textId="77777777" w:rsidTr="00B80AA5">
        <w:tc>
          <w:tcPr>
            <w:tcW w:w="3006" w:type="dxa"/>
            <w:hideMark/>
          </w:tcPr>
          <w:p w14:paraId="5720F25D"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LDL cholesterol (mmol/L)</w:t>
            </w:r>
          </w:p>
        </w:tc>
        <w:tc>
          <w:tcPr>
            <w:tcW w:w="2494" w:type="dxa"/>
            <w:hideMark/>
          </w:tcPr>
          <w:p w14:paraId="25FEB490"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2.78 ± 0.92</w:t>
            </w:r>
          </w:p>
        </w:tc>
        <w:tc>
          <w:tcPr>
            <w:tcW w:w="2495" w:type="dxa"/>
            <w:hideMark/>
          </w:tcPr>
          <w:p w14:paraId="3761C12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2.77 ± 0.84</w:t>
            </w:r>
          </w:p>
        </w:tc>
        <w:tc>
          <w:tcPr>
            <w:tcW w:w="1021" w:type="dxa"/>
            <w:hideMark/>
          </w:tcPr>
          <w:p w14:paraId="3C3B713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0.898</w:t>
            </w:r>
          </w:p>
        </w:tc>
      </w:tr>
      <w:tr w:rsidR="00FA5CE1" w14:paraId="586A1E0F" w14:textId="77777777" w:rsidTr="00B80AA5">
        <w:tc>
          <w:tcPr>
            <w:tcW w:w="3006" w:type="dxa"/>
            <w:hideMark/>
          </w:tcPr>
          <w:p w14:paraId="74BEB055"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hsCRP (mmol/L)</w:t>
            </w:r>
          </w:p>
        </w:tc>
        <w:tc>
          <w:tcPr>
            <w:tcW w:w="2494" w:type="dxa"/>
            <w:hideMark/>
          </w:tcPr>
          <w:p w14:paraId="527F98C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0.22 ± 0.66</w:t>
            </w:r>
          </w:p>
        </w:tc>
        <w:tc>
          <w:tcPr>
            <w:tcW w:w="2495" w:type="dxa"/>
            <w:hideMark/>
          </w:tcPr>
          <w:p w14:paraId="0414D35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0.25 ± 0.84</w:t>
            </w:r>
          </w:p>
        </w:tc>
        <w:tc>
          <w:tcPr>
            <w:tcW w:w="1021" w:type="dxa"/>
            <w:hideMark/>
          </w:tcPr>
          <w:p w14:paraId="2DFCDAF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0.725</w:t>
            </w:r>
          </w:p>
        </w:tc>
      </w:tr>
      <w:tr w:rsidR="00FA5CE1" w14:paraId="659C7D4F" w14:textId="77777777" w:rsidTr="00B80AA5">
        <w:tc>
          <w:tcPr>
            <w:tcW w:w="3006" w:type="dxa"/>
            <w:hideMark/>
          </w:tcPr>
          <w:p w14:paraId="7A1012D7"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Homocysteine (μmol/L)</w:t>
            </w:r>
          </w:p>
        </w:tc>
        <w:tc>
          <w:tcPr>
            <w:tcW w:w="2494" w:type="dxa"/>
            <w:hideMark/>
          </w:tcPr>
          <w:p w14:paraId="55AFC9C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15.40 ± 6.92</w:t>
            </w:r>
          </w:p>
        </w:tc>
        <w:tc>
          <w:tcPr>
            <w:tcW w:w="2495" w:type="dxa"/>
            <w:hideMark/>
          </w:tcPr>
          <w:p w14:paraId="53DD958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14.16 ± 5.09</w:t>
            </w:r>
          </w:p>
        </w:tc>
        <w:tc>
          <w:tcPr>
            <w:tcW w:w="1021" w:type="dxa"/>
            <w:hideMark/>
          </w:tcPr>
          <w:p w14:paraId="76BDACD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0.043 ‡</w:t>
            </w:r>
          </w:p>
        </w:tc>
      </w:tr>
      <w:tr w:rsidR="00FA5CE1" w14:paraId="11F7E830" w14:textId="77777777" w:rsidTr="00B80AA5">
        <w:tc>
          <w:tcPr>
            <w:tcW w:w="3006" w:type="dxa"/>
            <w:hideMark/>
          </w:tcPr>
          <w:p w14:paraId="3F802B5F"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Basilar artery PI</w:t>
            </w:r>
          </w:p>
        </w:tc>
        <w:tc>
          <w:tcPr>
            <w:tcW w:w="2494" w:type="dxa"/>
            <w:hideMark/>
          </w:tcPr>
          <w:p w14:paraId="330CB60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0.95 ± 0.22</w:t>
            </w:r>
          </w:p>
        </w:tc>
        <w:tc>
          <w:tcPr>
            <w:tcW w:w="2495" w:type="dxa"/>
            <w:hideMark/>
          </w:tcPr>
          <w:p w14:paraId="09AFEE35"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1.02 ± 0.26</w:t>
            </w:r>
          </w:p>
        </w:tc>
        <w:tc>
          <w:tcPr>
            <w:tcW w:w="1021" w:type="dxa"/>
            <w:hideMark/>
          </w:tcPr>
          <w:p w14:paraId="3D521B8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0.01 ‡</w:t>
            </w:r>
          </w:p>
        </w:tc>
      </w:tr>
      <w:tr w:rsidR="00FA5CE1" w14:paraId="47DD132D" w14:textId="77777777" w:rsidTr="00B80AA5">
        <w:tc>
          <w:tcPr>
            <w:tcW w:w="3006" w:type="dxa"/>
            <w:hideMark/>
          </w:tcPr>
          <w:p w14:paraId="6E93257E"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Rt MCA PI (n = 474) </w:t>
            </w:r>
          </w:p>
        </w:tc>
        <w:tc>
          <w:tcPr>
            <w:tcW w:w="2494" w:type="dxa"/>
            <w:hideMark/>
          </w:tcPr>
          <w:p w14:paraId="1E124B7C"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0.92 ± 0.21</w:t>
            </w:r>
          </w:p>
          <w:p w14:paraId="3EE69F80"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(n = 422)</w:t>
            </w:r>
          </w:p>
        </w:tc>
        <w:tc>
          <w:tcPr>
            <w:tcW w:w="2495" w:type="dxa"/>
            <w:hideMark/>
          </w:tcPr>
          <w:p w14:paraId="3081C7F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0.97 ± 0.27</w:t>
            </w:r>
          </w:p>
          <w:p w14:paraId="7DE14018"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(n = 52)</w:t>
            </w:r>
          </w:p>
        </w:tc>
        <w:tc>
          <w:tcPr>
            <w:tcW w:w="1021" w:type="dxa"/>
            <w:hideMark/>
          </w:tcPr>
          <w:p w14:paraId="4564D21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0.208</w:t>
            </w:r>
          </w:p>
        </w:tc>
      </w:tr>
      <w:tr w:rsidR="00FA5CE1" w14:paraId="6527A93C" w14:textId="77777777" w:rsidTr="00B80AA5">
        <w:tc>
          <w:tcPr>
            <w:tcW w:w="3006" w:type="dxa"/>
            <w:hideMark/>
          </w:tcPr>
          <w:p w14:paraId="07357620"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lastRenderedPageBreak/>
              <w:t>Cerebral microbleeds, n (%)</w:t>
            </w:r>
          </w:p>
        </w:tc>
        <w:tc>
          <w:tcPr>
            <w:tcW w:w="2494" w:type="dxa"/>
            <w:hideMark/>
          </w:tcPr>
          <w:p w14:paraId="290155C2"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267 (43.3)</w:t>
            </w:r>
          </w:p>
        </w:tc>
        <w:tc>
          <w:tcPr>
            <w:tcW w:w="2495" w:type="dxa"/>
            <w:hideMark/>
          </w:tcPr>
          <w:p w14:paraId="3343CCCB"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45 (48.9)</w:t>
            </w:r>
          </w:p>
        </w:tc>
        <w:tc>
          <w:tcPr>
            <w:tcW w:w="1021" w:type="dxa"/>
            <w:hideMark/>
          </w:tcPr>
          <w:p w14:paraId="4B144F01"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FA5CE1" w14:paraId="0EF12976" w14:textId="77777777" w:rsidTr="00B80AA5">
        <w:tc>
          <w:tcPr>
            <w:tcW w:w="3006" w:type="dxa"/>
            <w:hideMark/>
          </w:tcPr>
          <w:p w14:paraId="3D9454C3"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Old lacunes, n (%)</w:t>
            </w:r>
          </w:p>
        </w:tc>
        <w:tc>
          <w:tcPr>
            <w:tcW w:w="2494" w:type="dxa"/>
            <w:hideMark/>
          </w:tcPr>
          <w:p w14:paraId="7E84A13E"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416 (67.5)</w:t>
            </w:r>
          </w:p>
        </w:tc>
        <w:tc>
          <w:tcPr>
            <w:tcW w:w="2495" w:type="dxa"/>
            <w:hideMark/>
          </w:tcPr>
          <w:p w14:paraId="412AB0A6"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61 (66.3)</w:t>
            </w:r>
          </w:p>
        </w:tc>
        <w:tc>
          <w:tcPr>
            <w:tcW w:w="1021" w:type="dxa"/>
            <w:hideMark/>
          </w:tcPr>
          <w:p w14:paraId="1DC7A427"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0.91</w:t>
            </w:r>
          </w:p>
        </w:tc>
      </w:tr>
      <w:tr w:rsidR="00FA5CE1" w14:paraId="394DA981" w14:textId="77777777" w:rsidTr="00B80AA5">
        <w:tc>
          <w:tcPr>
            <w:tcW w:w="3006" w:type="dxa"/>
            <w:hideMark/>
          </w:tcPr>
          <w:p w14:paraId="54D05DAC" w14:textId="77777777" w:rsidR="00FA5CE1" w:rsidRDefault="00FA5CE1" w:rsidP="002D3EBD">
            <w:pPr>
              <w:wordWrap/>
              <w:spacing w:line="480" w:lineRule="auto"/>
              <w:rPr>
                <w:rFonts w:ascii="Times New Roman" w:hAnsi="Times New Roman" w:cs="Times New Roman"/>
                <w:sz w:val="24"/>
                <w:szCs w:val="24"/>
              </w:rPr>
            </w:pPr>
            <w:r>
              <w:rPr>
                <w:rFonts w:ascii="Times New Roman" w:hAnsi="Times New Roman" w:cs="Times New Roman"/>
                <w:sz w:val="24"/>
                <w:szCs w:val="24"/>
              </w:rPr>
              <w:t>CAS, median (IQR)</w:t>
            </w:r>
          </w:p>
        </w:tc>
        <w:tc>
          <w:tcPr>
            <w:tcW w:w="2494" w:type="dxa"/>
            <w:hideMark/>
          </w:tcPr>
          <w:p w14:paraId="58A6661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 (0–6)</w:t>
            </w:r>
          </w:p>
        </w:tc>
        <w:tc>
          <w:tcPr>
            <w:tcW w:w="2495" w:type="dxa"/>
            <w:hideMark/>
          </w:tcPr>
          <w:p w14:paraId="02A7CC64"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 (2–8)</w:t>
            </w:r>
          </w:p>
        </w:tc>
        <w:tc>
          <w:tcPr>
            <w:tcW w:w="1021" w:type="dxa"/>
            <w:hideMark/>
          </w:tcPr>
          <w:p w14:paraId="7A58BCBD"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 §</w:t>
            </w:r>
          </w:p>
        </w:tc>
      </w:tr>
      <w:tr w:rsidR="00FA5CE1" w14:paraId="7A408A87" w14:textId="77777777" w:rsidTr="00B80AA5">
        <w:tc>
          <w:tcPr>
            <w:tcW w:w="3006" w:type="dxa"/>
            <w:vAlign w:val="center"/>
            <w:hideMark/>
          </w:tcPr>
          <w:p w14:paraId="736C9A98" w14:textId="77777777" w:rsidR="00FA5CE1" w:rsidRDefault="00FA5CE1" w:rsidP="002D3EBD">
            <w:pPr>
              <w:wordWrap/>
              <w:spacing w:line="480" w:lineRule="auto"/>
              <w:rPr>
                <w:rFonts w:ascii="Times New Roman" w:hAnsi="Times New Roman" w:cs="Times New Roman"/>
                <w:sz w:val="24"/>
                <w:szCs w:val="24"/>
              </w:rPr>
            </w:pPr>
            <w:r>
              <w:rPr>
                <w:rFonts w:ascii="Times New Roman" w:eastAsia="맑은 고딕" w:hAnsi="Times New Roman" w:cs="Times New Roman"/>
                <w:sz w:val="24"/>
                <w:szCs w:val="24"/>
              </w:rPr>
              <w:t>NIHSS score at admission, median (IQR)</w:t>
            </w:r>
          </w:p>
        </w:tc>
        <w:tc>
          <w:tcPr>
            <w:tcW w:w="2494" w:type="dxa"/>
            <w:vAlign w:val="center"/>
            <w:hideMark/>
          </w:tcPr>
          <w:p w14:paraId="2873A62B"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 (0–5)</w:t>
            </w:r>
          </w:p>
        </w:tc>
        <w:tc>
          <w:tcPr>
            <w:tcW w:w="2495" w:type="dxa"/>
            <w:vAlign w:val="center"/>
            <w:hideMark/>
          </w:tcPr>
          <w:p w14:paraId="77BA774A"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 (3–9)</w:t>
            </w:r>
          </w:p>
        </w:tc>
        <w:tc>
          <w:tcPr>
            <w:tcW w:w="1021" w:type="dxa"/>
            <w:vAlign w:val="center"/>
            <w:hideMark/>
          </w:tcPr>
          <w:p w14:paraId="477F5083" w14:textId="77777777" w:rsidR="00FA5CE1" w:rsidRDefault="00FA5CE1" w:rsidP="002D3EBD">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bl>
    <w:p w14:paraId="190F4E30"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All numerical values are expressed as means ± SD. </w:t>
      </w:r>
    </w:p>
    <w:p w14:paraId="7B3745B3" w14:textId="5D14B723"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SBP, Systolic blood pressure; HbA1c, Hemoglobin A1c; LDL, Low density lipoprotein; HDL, High density lipoprotein; AST, Aspartate aminotransferase; BUN, Blood urea nitrogen; hsCRP, high sensitivity C-reactive protein; PSV, Peak systolic velocity; DV, Diastolic velocity; PI, Pulsatility index; Rt MCA, Right middle cerebral artery; Lt MCA, Left middle cerebral artery; CAS, Cerebral atherosclerosis score; NIHSS, National Institutes of Health Stroke Scale</w:t>
      </w:r>
    </w:p>
    <w:p w14:paraId="1279E20F"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Differences between groups using chi-square test and one-way analysis of variance test, Mann–Whitney </w:t>
      </w:r>
      <w:r>
        <w:rPr>
          <w:rFonts w:ascii="Times New Roman" w:hAnsi="Times New Roman" w:cs="Times New Roman"/>
          <w:i/>
          <w:sz w:val="24"/>
          <w:szCs w:val="24"/>
        </w:rPr>
        <w:t>U</w:t>
      </w:r>
      <w:r>
        <w:rPr>
          <w:rFonts w:ascii="Times New Roman" w:hAnsi="Times New Roman" w:cs="Times New Roman"/>
          <w:sz w:val="24"/>
          <w:szCs w:val="24"/>
        </w:rPr>
        <w:t xml:space="preserve">-tests for comparing NIHSS and CAS. </w:t>
      </w:r>
    </w:p>
    <w:p w14:paraId="68E22101"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*Univariably significant with a p value of ≤0.10 and considered in a multivariable model.</w:t>
      </w:r>
    </w:p>
    <w:p w14:paraId="46190F1C"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&lt; 0.1, ‡</w:t>
      </w:r>
      <w:r>
        <w:rPr>
          <w:rFonts w:ascii="Times New Roman" w:hAnsi="Times New Roman" w:cs="Times New Roman"/>
          <w:i/>
          <w:sz w:val="24"/>
          <w:szCs w:val="24"/>
        </w:rPr>
        <w:t>p</w:t>
      </w:r>
      <w:r>
        <w:rPr>
          <w:rFonts w:ascii="Times New Roman" w:hAnsi="Times New Roman" w:cs="Times New Roman"/>
          <w:sz w:val="24"/>
          <w:szCs w:val="24"/>
        </w:rPr>
        <w:t xml:space="preserve"> &lt; 0.05, §</w:t>
      </w:r>
      <w:r>
        <w:rPr>
          <w:rFonts w:ascii="Times New Roman" w:hAnsi="Times New Roman" w:cs="Times New Roman"/>
          <w:i/>
          <w:sz w:val="24"/>
          <w:szCs w:val="24"/>
        </w:rPr>
        <w:t>p</w:t>
      </w:r>
      <w:r>
        <w:rPr>
          <w:rFonts w:ascii="Times New Roman" w:hAnsi="Times New Roman" w:cs="Times New Roman"/>
          <w:sz w:val="24"/>
          <w:szCs w:val="24"/>
        </w:rPr>
        <w:t xml:space="preserve"> &lt; 0.001</w:t>
      </w:r>
    </w:p>
    <w:p w14:paraId="4A6586A7" w14:textId="77777777" w:rsidR="00FA5CE1" w:rsidRDefault="00FA5CE1" w:rsidP="002D3EBD">
      <w:pPr>
        <w:wordWrap/>
        <w:spacing w:line="480" w:lineRule="auto"/>
      </w:pPr>
    </w:p>
    <w:p w14:paraId="33EB9A92" w14:textId="77777777" w:rsidR="00FA5CE1" w:rsidRDefault="00FA5CE1" w:rsidP="002D3EBD">
      <w:pPr>
        <w:wordWrap/>
        <w:spacing w:line="480" w:lineRule="auto"/>
      </w:pPr>
    </w:p>
    <w:p w14:paraId="7095AE13" w14:textId="77777777" w:rsidR="00FA5CE1" w:rsidRDefault="00FA5CE1" w:rsidP="002D3EBD">
      <w:pPr>
        <w:wordWrap/>
        <w:spacing w:line="480" w:lineRule="auto"/>
      </w:pPr>
    </w:p>
    <w:p w14:paraId="39440357" w14:textId="77777777" w:rsidR="00FA5CE1" w:rsidRDefault="00FA5CE1" w:rsidP="002D3EBD">
      <w:pPr>
        <w:pageBreakBefore/>
        <w:wordWrap/>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Table 3. Logistic regression analysis for the determinants of early neurological deterioration</w:t>
      </w:r>
    </w:p>
    <w:tbl>
      <w:tblPr>
        <w:tblW w:w="5000" w:type="pct"/>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2385"/>
        <w:gridCol w:w="2154"/>
        <w:gridCol w:w="966"/>
        <w:gridCol w:w="2689"/>
        <w:gridCol w:w="876"/>
      </w:tblGrid>
      <w:tr w:rsidR="00FA5CE1" w14:paraId="31CD17AE" w14:textId="77777777" w:rsidTr="00B80AA5">
        <w:trPr>
          <w:trHeight w:val="73"/>
        </w:trPr>
        <w:tc>
          <w:tcPr>
            <w:tcW w:w="1334" w:type="pct"/>
            <w:vMerge w:val="restart"/>
            <w:tcMar>
              <w:top w:w="15" w:type="dxa"/>
              <w:left w:w="108" w:type="dxa"/>
              <w:bottom w:w="0" w:type="dxa"/>
              <w:right w:w="108" w:type="dxa"/>
            </w:tcMar>
            <w:vAlign w:val="center"/>
            <w:hideMark/>
          </w:tcPr>
          <w:p w14:paraId="014104F0" w14:textId="77777777" w:rsidR="00FA5CE1" w:rsidRDefault="00FA5CE1" w:rsidP="002D3EBD">
            <w:pPr>
              <w:spacing w:line="480" w:lineRule="auto"/>
              <w:rPr>
                <w:rFonts w:ascii="Times New Roman" w:hAnsi="Times New Roman" w:cs="Times New Roman"/>
                <w:b/>
                <w:sz w:val="24"/>
                <w:szCs w:val="24"/>
              </w:rPr>
            </w:pPr>
          </w:p>
        </w:tc>
        <w:tc>
          <w:tcPr>
            <w:tcW w:w="1757" w:type="pct"/>
            <w:gridSpan w:val="2"/>
            <w:tcMar>
              <w:top w:w="15" w:type="dxa"/>
              <w:left w:w="108" w:type="dxa"/>
              <w:bottom w:w="0" w:type="dxa"/>
              <w:right w:w="108" w:type="dxa"/>
            </w:tcMar>
            <w:vAlign w:val="center"/>
            <w:hideMark/>
          </w:tcPr>
          <w:p w14:paraId="366726FB"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Bivariable analyses</w:t>
            </w:r>
          </w:p>
        </w:tc>
        <w:tc>
          <w:tcPr>
            <w:tcW w:w="1910" w:type="pct"/>
            <w:gridSpan w:val="2"/>
            <w:tcMar>
              <w:top w:w="15" w:type="dxa"/>
              <w:left w:w="108" w:type="dxa"/>
              <w:bottom w:w="0" w:type="dxa"/>
              <w:right w:w="108" w:type="dxa"/>
            </w:tcMar>
            <w:vAlign w:val="center"/>
            <w:hideMark/>
          </w:tcPr>
          <w:p w14:paraId="2E4F4314"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Multivariable analyses</w:t>
            </w:r>
          </w:p>
        </w:tc>
      </w:tr>
      <w:tr w:rsidR="00FA5CE1" w14:paraId="058CF888" w14:textId="77777777" w:rsidTr="00B80AA5">
        <w:trPr>
          <w:trHeight w:val="283"/>
        </w:trPr>
        <w:tc>
          <w:tcPr>
            <w:tcW w:w="0" w:type="auto"/>
            <w:vMerge/>
            <w:vAlign w:val="center"/>
            <w:hideMark/>
          </w:tcPr>
          <w:p w14:paraId="241237A5" w14:textId="77777777" w:rsidR="00FA5CE1" w:rsidRDefault="00FA5CE1" w:rsidP="002D3EBD">
            <w:pPr>
              <w:widowControl/>
              <w:wordWrap/>
              <w:autoSpaceDE/>
              <w:autoSpaceDN/>
              <w:spacing w:after="0" w:line="480" w:lineRule="auto"/>
              <w:rPr>
                <w:rFonts w:ascii="Times New Roman" w:hAnsi="Times New Roman" w:cs="Times New Roman"/>
                <w:b/>
                <w:sz w:val="24"/>
                <w:szCs w:val="24"/>
              </w:rPr>
            </w:pPr>
          </w:p>
        </w:tc>
        <w:tc>
          <w:tcPr>
            <w:tcW w:w="1206" w:type="pct"/>
            <w:tcMar>
              <w:top w:w="15" w:type="dxa"/>
              <w:left w:w="108" w:type="dxa"/>
              <w:bottom w:w="0" w:type="dxa"/>
              <w:right w:w="108" w:type="dxa"/>
            </w:tcMar>
            <w:vAlign w:val="center"/>
            <w:hideMark/>
          </w:tcPr>
          <w:p w14:paraId="69ED68B7"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OR (95% CI)</w:t>
            </w:r>
          </w:p>
        </w:tc>
        <w:tc>
          <w:tcPr>
            <w:tcW w:w="551" w:type="pct"/>
            <w:tcMar>
              <w:top w:w="15" w:type="dxa"/>
              <w:left w:w="108" w:type="dxa"/>
              <w:bottom w:w="0" w:type="dxa"/>
              <w:right w:w="108" w:type="dxa"/>
            </w:tcMar>
            <w:vAlign w:val="center"/>
            <w:hideMark/>
          </w:tcPr>
          <w:p w14:paraId="53D72206"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i/>
                <w:iCs/>
                <w:sz w:val="24"/>
                <w:szCs w:val="24"/>
              </w:rPr>
              <w:t>p</w:t>
            </w:r>
          </w:p>
        </w:tc>
        <w:tc>
          <w:tcPr>
            <w:tcW w:w="1501" w:type="pct"/>
            <w:tcMar>
              <w:top w:w="15" w:type="dxa"/>
              <w:left w:w="108" w:type="dxa"/>
              <w:bottom w:w="0" w:type="dxa"/>
              <w:right w:w="108" w:type="dxa"/>
            </w:tcMar>
            <w:vAlign w:val="center"/>
            <w:hideMark/>
          </w:tcPr>
          <w:p w14:paraId="7F412F72"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Adjusted OR (95% CI)</w:t>
            </w:r>
          </w:p>
        </w:tc>
        <w:tc>
          <w:tcPr>
            <w:tcW w:w="409" w:type="pct"/>
            <w:tcMar>
              <w:top w:w="15" w:type="dxa"/>
              <w:left w:w="108" w:type="dxa"/>
              <w:bottom w:w="0" w:type="dxa"/>
              <w:right w:w="108" w:type="dxa"/>
            </w:tcMar>
            <w:vAlign w:val="center"/>
            <w:hideMark/>
          </w:tcPr>
          <w:p w14:paraId="02C61E81"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i/>
                <w:iCs/>
                <w:sz w:val="24"/>
                <w:szCs w:val="24"/>
              </w:rPr>
              <w:t>p</w:t>
            </w:r>
          </w:p>
        </w:tc>
      </w:tr>
      <w:tr w:rsidR="00FA5CE1" w14:paraId="624D0C58" w14:textId="77777777" w:rsidTr="00B80AA5">
        <w:trPr>
          <w:trHeight w:val="261"/>
        </w:trPr>
        <w:tc>
          <w:tcPr>
            <w:tcW w:w="1334" w:type="pct"/>
            <w:tcMar>
              <w:top w:w="15" w:type="dxa"/>
              <w:left w:w="108" w:type="dxa"/>
              <w:bottom w:w="0" w:type="dxa"/>
              <w:right w:w="108" w:type="dxa"/>
            </w:tcMar>
            <w:vAlign w:val="center"/>
            <w:hideMark/>
          </w:tcPr>
          <w:p w14:paraId="0C273FB2" w14:textId="77777777" w:rsidR="00FA5CE1" w:rsidRDefault="00FA5CE1" w:rsidP="002D3EBD">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BA PI</w:t>
            </w:r>
          </w:p>
        </w:tc>
        <w:tc>
          <w:tcPr>
            <w:tcW w:w="1206" w:type="pct"/>
            <w:tcMar>
              <w:top w:w="15" w:type="dxa"/>
              <w:left w:w="108" w:type="dxa"/>
              <w:bottom w:w="0" w:type="dxa"/>
              <w:right w:w="108" w:type="dxa"/>
            </w:tcMar>
            <w:vAlign w:val="center"/>
            <w:hideMark/>
          </w:tcPr>
          <w:p w14:paraId="58C3424E"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3.59 (1.46–8.79)</w:t>
            </w:r>
          </w:p>
        </w:tc>
        <w:tc>
          <w:tcPr>
            <w:tcW w:w="551" w:type="pct"/>
            <w:tcMar>
              <w:top w:w="15" w:type="dxa"/>
              <w:left w:w="108" w:type="dxa"/>
              <w:bottom w:w="0" w:type="dxa"/>
              <w:right w:w="108" w:type="dxa"/>
            </w:tcMar>
            <w:vAlign w:val="center"/>
            <w:hideMark/>
          </w:tcPr>
          <w:p w14:paraId="55D39330"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0.005</w:t>
            </w:r>
            <w:r>
              <w:rPr>
                <w:rFonts w:ascii="Times New Roman" w:hAnsi="Times New Roman" w:cs="Times New Roman"/>
                <w:sz w:val="24"/>
                <w:szCs w:val="24"/>
              </w:rPr>
              <w:t>†</w:t>
            </w:r>
          </w:p>
        </w:tc>
        <w:tc>
          <w:tcPr>
            <w:tcW w:w="1501" w:type="pct"/>
            <w:tcMar>
              <w:top w:w="15" w:type="dxa"/>
              <w:left w:w="108" w:type="dxa"/>
              <w:bottom w:w="0" w:type="dxa"/>
              <w:right w:w="108" w:type="dxa"/>
            </w:tcMar>
            <w:vAlign w:val="center"/>
            <w:hideMark/>
          </w:tcPr>
          <w:p w14:paraId="30C27E1E"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2.29 (0.85–6.15)</w:t>
            </w:r>
          </w:p>
        </w:tc>
        <w:tc>
          <w:tcPr>
            <w:tcW w:w="409" w:type="pct"/>
            <w:tcMar>
              <w:top w:w="15" w:type="dxa"/>
              <w:left w:w="108" w:type="dxa"/>
              <w:bottom w:w="0" w:type="dxa"/>
              <w:right w:w="108" w:type="dxa"/>
            </w:tcMar>
            <w:vAlign w:val="center"/>
            <w:hideMark/>
          </w:tcPr>
          <w:p w14:paraId="306D0B08"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0.101</w:t>
            </w:r>
          </w:p>
        </w:tc>
      </w:tr>
      <w:tr w:rsidR="00FA5CE1" w14:paraId="56B317F7" w14:textId="77777777" w:rsidTr="00B80AA5">
        <w:trPr>
          <w:trHeight w:val="261"/>
        </w:trPr>
        <w:tc>
          <w:tcPr>
            <w:tcW w:w="1" w:type="pct"/>
            <w:gridSpan w:val="5"/>
            <w:tcMar>
              <w:top w:w="15" w:type="dxa"/>
              <w:left w:w="108" w:type="dxa"/>
              <w:bottom w:w="0" w:type="dxa"/>
              <w:right w:w="108" w:type="dxa"/>
            </w:tcMar>
            <w:vAlign w:val="center"/>
            <w:hideMark/>
          </w:tcPr>
          <w:p w14:paraId="40DF6F06" w14:textId="77777777" w:rsidR="00FA5CE1" w:rsidRDefault="00FA5CE1" w:rsidP="002D3EBD">
            <w:pPr>
              <w:widowControl/>
              <w:wordWrap/>
              <w:autoSpaceDE/>
              <w:spacing w:after="0" w:line="480" w:lineRule="auto"/>
              <w:jc w:val="left"/>
              <w:rPr>
                <w:rFonts w:ascii="Times New Roman" w:eastAsia="굴림체" w:hAnsi="Times New Roman" w:cs="Times New Roman"/>
                <w:sz w:val="24"/>
                <w:szCs w:val="24"/>
              </w:rPr>
            </w:pPr>
            <w:r>
              <w:rPr>
                <w:rFonts w:ascii="Times New Roman" w:eastAsia="굴림체" w:hAnsi="Times New Roman" w:cs="Times New Roman"/>
                <w:sz w:val="24"/>
                <w:szCs w:val="24"/>
              </w:rPr>
              <w:t>BA PI, quartiles</w:t>
            </w:r>
          </w:p>
        </w:tc>
      </w:tr>
      <w:tr w:rsidR="00FA5CE1" w14:paraId="3BB67DEE" w14:textId="77777777" w:rsidTr="00B80AA5">
        <w:trPr>
          <w:trHeight w:val="261"/>
        </w:trPr>
        <w:tc>
          <w:tcPr>
            <w:tcW w:w="1334" w:type="pct"/>
            <w:tcMar>
              <w:top w:w="15" w:type="dxa"/>
              <w:left w:w="108" w:type="dxa"/>
              <w:bottom w:w="0" w:type="dxa"/>
              <w:right w:w="108" w:type="dxa"/>
            </w:tcMar>
            <w:vAlign w:val="center"/>
            <w:hideMark/>
          </w:tcPr>
          <w:p w14:paraId="2FAB2FF4" w14:textId="77777777" w:rsidR="00FA5CE1" w:rsidRDefault="00FA5CE1" w:rsidP="002D3EBD">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Q1 (0.42–0.80)</w:t>
            </w:r>
          </w:p>
        </w:tc>
        <w:tc>
          <w:tcPr>
            <w:tcW w:w="1206" w:type="pct"/>
            <w:tcMar>
              <w:top w:w="15" w:type="dxa"/>
              <w:left w:w="108" w:type="dxa"/>
              <w:bottom w:w="0" w:type="dxa"/>
              <w:right w:w="108" w:type="dxa"/>
            </w:tcMar>
            <w:vAlign w:val="center"/>
            <w:hideMark/>
          </w:tcPr>
          <w:p w14:paraId="555B7995"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1</w:t>
            </w:r>
          </w:p>
        </w:tc>
        <w:tc>
          <w:tcPr>
            <w:tcW w:w="551" w:type="pct"/>
            <w:tcMar>
              <w:top w:w="15" w:type="dxa"/>
              <w:left w:w="108" w:type="dxa"/>
              <w:bottom w:w="0" w:type="dxa"/>
              <w:right w:w="108" w:type="dxa"/>
            </w:tcMar>
            <w:vAlign w:val="center"/>
            <w:hideMark/>
          </w:tcPr>
          <w:p w14:paraId="31543015" w14:textId="77777777" w:rsidR="00FA5CE1" w:rsidRDefault="00FA5CE1" w:rsidP="002D3EBD">
            <w:pPr>
              <w:spacing w:line="480" w:lineRule="auto"/>
              <w:rPr>
                <w:rFonts w:ascii="Times New Roman" w:eastAsia="굴림" w:hAnsi="Times New Roman" w:cs="Times New Roman"/>
                <w:kern w:val="0"/>
                <w:sz w:val="24"/>
                <w:szCs w:val="24"/>
              </w:rPr>
            </w:pPr>
          </w:p>
        </w:tc>
        <w:tc>
          <w:tcPr>
            <w:tcW w:w="1501" w:type="pct"/>
            <w:tcMar>
              <w:top w:w="15" w:type="dxa"/>
              <w:left w:w="108" w:type="dxa"/>
              <w:bottom w:w="0" w:type="dxa"/>
              <w:right w:w="108" w:type="dxa"/>
            </w:tcMar>
            <w:vAlign w:val="center"/>
            <w:hideMark/>
          </w:tcPr>
          <w:p w14:paraId="05C55F23"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1</w:t>
            </w:r>
          </w:p>
        </w:tc>
        <w:tc>
          <w:tcPr>
            <w:tcW w:w="409" w:type="pct"/>
            <w:tcMar>
              <w:top w:w="15" w:type="dxa"/>
              <w:left w:w="108" w:type="dxa"/>
              <w:bottom w:w="0" w:type="dxa"/>
              <w:right w:w="108" w:type="dxa"/>
            </w:tcMar>
            <w:vAlign w:val="center"/>
            <w:hideMark/>
          </w:tcPr>
          <w:p w14:paraId="7FDF7C74" w14:textId="77777777" w:rsidR="00FA5CE1" w:rsidRDefault="00FA5CE1" w:rsidP="002D3EBD">
            <w:pPr>
              <w:spacing w:line="480" w:lineRule="auto"/>
              <w:rPr>
                <w:rFonts w:ascii="Times New Roman" w:eastAsia="굴림" w:hAnsi="Times New Roman" w:cs="Times New Roman"/>
                <w:kern w:val="0"/>
                <w:sz w:val="24"/>
                <w:szCs w:val="24"/>
              </w:rPr>
            </w:pPr>
          </w:p>
        </w:tc>
      </w:tr>
      <w:tr w:rsidR="00FA5CE1" w14:paraId="7745B1DF" w14:textId="77777777" w:rsidTr="00B80AA5">
        <w:trPr>
          <w:trHeight w:val="261"/>
        </w:trPr>
        <w:tc>
          <w:tcPr>
            <w:tcW w:w="1334" w:type="pct"/>
            <w:tcMar>
              <w:top w:w="15" w:type="dxa"/>
              <w:left w:w="108" w:type="dxa"/>
              <w:bottom w:w="0" w:type="dxa"/>
              <w:right w:w="108" w:type="dxa"/>
            </w:tcMar>
            <w:vAlign w:val="center"/>
            <w:hideMark/>
          </w:tcPr>
          <w:p w14:paraId="6309DCD0" w14:textId="77777777" w:rsidR="00FA5CE1" w:rsidRDefault="00FA5CE1" w:rsidP="002D3EBD">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Q2 (0.80–0.94)</w:t>
            </w:r>
          </w:p>
        </w:tc>
        <w:tc>
          <w:tcPr>
            <w:tcW w:w="1206" w:type="pct"/>
            <w:tcMar>
              <w:top w:w="15" w:type="dxa"/>
              <w:left w:w="108" w:type="dxa"/>
              <w:bottom w:w="0" w:type="dxa"/>
              <w:right w:w="108" w:type="dxa"/>
            </w:tcMar>
            <w:vAlign w:val="center"/>
            <w:hideMark/>
          </w:tcPr>
          <w:p w14:paraId="0C69111A"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0.97 (0.50–1.89)</w:t>
            </w:r>
          </w:p>
        </w:tc>
        <w:tc>
          <w:tcPr>
            <w:tcW w:w="551" w:type="pct"/>
            <w:tcMar>
              <w:top w:w="15" w:type="dxa"/>
              <w:left w:w="108" w:type="dxa"/>
              <w:bottom w:w="0" w:type="dxa"/>
              <w:right w:w="108" w:type="dxa"/>
            </w:tcMar>
            <w:vAlign w:val="center"/>
            <w:hideMark/>
          </w:tcPr>
          <w:p w14:paraId="35C1B763"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0.936</w:t>
            </w:r>
          </w:p>
        </w:tc>
        <w:tc>
          <w:tcPr>
            <w:tcW w:w="1501" w:type="pct"/>
            <w:tcMar>
              <w:top w:w="15" w:type="dxa"/>
              <w:left w:w="108" w:type="dxa"/>
              <w:bottom w:w="0" w:type="dxa"/>
              <w:right w:w="108" w:type="dxa"/>
            </w:tcMar>
            <w:vAlign w:val="center"/>
            <w:hideMark/>
          </w:tcPr>
          <w:p w14:paraId="63A5197E"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0.97 (0.49–1.92)</w:t>
            </w:r>
          </w:p>
        </w:tc>
        <w:tc>
          <w:tcPr>
            <w:tcW w:w="409" w:type="pct"/>
            <w:tcMar>
              <w:top w:w="15" w:type="dxa"/>
              <w:left w:w="108" w:type="dxa"/>
              <w:bottom w:w="0" w:type="dxa"/>
              <w:right w:w="108" w:type="dxa"/>
            </w:tcMar>
            <w:vAlign w:val="center"/>
            <w:hideMark/>
          </w:tcPr>
          <w:p w14:paraId="4FCFF062"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0.929</w:t>
            </w:r>
          </w:p>
        </w:tc>
      </w:tr>
      <w:tr w:rsidR="00FA5CE1" w14:paraId="5376DBEB" w14:textId="77777777" w:rsidTr="00B80AA5">
        <w:trPr>
          <w:trHeight w:val="261"/>
        </w:trPr>
        <w:tc>
          <w:tcPr>
            <w:tcW w:w="1334" w:type="pct"/>
            <w:tcMar>
              <w:top w:w="15" w:type="dxa"/>
              <w:left w:w="108" w:type="dxa"/>
              <w:bottom w:w="0" w:type="dxa"/>
              <w:right w:w="108" w:type="dxa"/>
            </w:tcMar>
            <w:vAlign w:val="center"/>
            <w:hideMark/>
          </w:tcPr>
          <w:p w14:paraId="47C5A2C9" w14:textId="77777777" w:rsidR="00FA5CE1" w:rsidRDefault="00FA5CE1" w:rsidP="002D3EBD">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Q3 (0.94–1.10)</w:t>
            </w:r>
          </w:p>
        </w:tc>
        <w:tc>
          <w:tcPr>
            <w:tcW w:w="1206" w:type="pct"/>
            <w:tcMar>
              <w:top w:w="15" w:type="dxa"/>
              <w:left w:w="108" w:type="dxa"/>
              <w:bottom w:w="0" w:type="dxa"/>
              <w:right w:w="108" w:type="dxa"/>
            </w:tcMar>
            <w:vAlign w:val="center"/>
            <w:hideMark/>
          </w:tcPr>
          <w:p w14:paraId="0402CCB8"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1.23 (0.66–2.28)</w:t>
            </w:r>
          </w:p>
        </w:tc>
        <w:tc>
          <w:tcPr>
            <w:tcW w:w="551" w:type="pct"/>
            <w:tcMar>
              <w:top w:w="15" w:type="dxa"/>
              <w:left w:w="108" w:type="dxa"/>
              <w:bottom w:w="0" w:type="dxa"/>
              <w:right w:w="108" w:type="dxa"/>
            </w:tcMar>
            <w:vAlign w:val="center"/>
            <w:hideMark/>
          </w:tcPr>
          <w:p w14:paraId="7A745E32"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0.518</w:t>
            </w:r>
          </w:p>
        </w:tc>
        <w:tc>
          <w:tcPr>
            <w:tcW w:w="1501" w:type="pct"/>
            <w:tcMar>
              <w:top w:w="15" w:type="dxa"/>
              <w:left w:w="108" w:type="dxa"/>
              <w:bottom w:w="0" w:type="dxa"/>
              <w:right w:w="108" w:type="dxa"/>
            </w:tcMar>
            <w:vAlign w:val="center"/>
            <w:hideMark/>
          </w:tcPr>
          <w:p w14:paraId="5D4E9C93"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1.02 (0.53–1.94)</w:t>
            </w:r>
          </w:p>
        </w:tc>
        <w:tc>
          <w:tcPr>
            <w:tcW w:w="409" w:type="pct"/>
            <w:tcMar>
              <w:top w:w="15" w:type="dxa"/>
              <w:left w:w="108" w:type="dxa"/>
              <w:bottom w:w="0" w:type="dxa"/>
              <w:right w:w="108" w:type="dxa"/>
            </w:tcMar>
            <w:vAlign w:val="center"/>
            <w:hideMark/>
          </w:tcPr>
          <w:p w14:paraId="2BD98959"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0.963</w:t>
            </w:r>
          </w:p>
        </w:tc>
      </w:tr>
      <w:tr w:rsidR="00FA5CE1" w14:paraId="632FC57D" w14:textId="77777777" w:rsidTr="00B80AA5">
        <w:trPr>
          <w:trHeight w:val="261"/>
        </w:trPr>
        <w:tc>
          <w:tcPr>
            <w:tcW w:w="1334" w:type="pct"/>
            <w:tcMar>
              <w:top w:w="15" w:type="dxa"/>
              <w:left w:w="108" w:type="dxa"/>
              <w:bottom w:w="0" w:type="dxa"/>
              <w:right w:w="108" w:type="dxa"/>
            </w:tcMar>
            <w:vAlign w:val="center"/>
            <w:hideMark/>
          </w:tcPr>
          <w:p w14:paraId="11DFB63E" w14:textId="77777777" w:rsidR="00FA5CE1" w:rsidRDefault="00FA5CE1" w:rsidP="002D3EBD">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Q4 (1.10–2.50)</w:t>
            </w:r>
          </w:p>
        </w:tc>
        <w:tc>
          <w:tcPr>
            <w:tcW w:w="1206" w:type="pct"/>
            <w:tcMar>
              <w:top w:w="15" w:type="dxa"/>
              <w:left w:w="108" w:type="dxa"/>
              <w:bottom w:w="0" w:type="dxa"/>
              <w:right w:w="108" w:type="dxa"/>
            </w:tcMar>
            <w:vAlign w:val="center"/>
            <w:hideMark/>
          </w:tcPr>
          <w:p w14:paraId="4E5F2344"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2.23 (1.16–4.26)</w:t>
            </w:r>
          </w:p>
        </w:tc>
        <w:tc>
          <w:tcPr>
            <w:tcW w:w="551" w:type="pct"/>
            <w:tcMar>
              <w:top w:w="15" w:type="dxa"/>
              <w:left w:w="108" w:type="dxa"/>
              <w:bottom w:w="0" w:type="dxa"/>
              <w:right w:w="108" w:type="dxa"/>
            </w:tcMar>
            <w:vAlign w:val="center"/>
            <w:hideMark/>
          </w:tcPr>
          <w:p w14:paraId="32D8D121"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0.016</w:t>
            </w:r>
            <w:r>
              <w:rPr>
                <w:rFonts w:ascii="Times New Roman" w:hAnsi="Times New Roman" w:cs="Times New Roman"/>
                <w:sz w:val="24"/>
                <w:szCs w:val="24"/>
              </w:rPr>
              <w:t>*</w:t>
            </w:r>
          </w:p>
        </w:tc>
        <w:tc>
          <w:tcPr>
            <w:tcW w:w="1501" w:type="pct"/>
            <w:tcMar>
              <w:top w:w="15" w:type="dxa"/>
              <w:left w:w="108" w:type="dxa"/>
              <w:bottom w:w="0" w:type="dxa"/>
              <w:right w:w="108" w:type="dxa"/>
            </w:tcMar>
            <w:vAlign w:val="center"/>
            <w:hideMark/>
          </w:tcPr>
          <w:p w14:paraId="42DBA845"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2.06 (1.04–4.09)</w:t>
            </w:r>
          </w:p>
        </w:tc>
        <w:tc>
          <w:tcPr>
            <w:tcW w:w="409" w:type="pct"/>
            <w:tcMar>
              <w:top w:w="15" w:type="dxa"/>
              <w:left w:w="108" w:type="dxa"/>
              <w:bottom w:w="0" w:type="dxa"/>
              <w:right w:w="108" w:type="dxa"/>
            </w:tcMar>
            <w:vAlign w:val="center"/>
            <w:hideMark/>
          </w:tcPr>
          <w:p w14:paraId="7FD32B44" w14:textId="77777777" w:rsidR="00FA5CE1" w:rsidRDefault="00FA5CE1" w:rsidP="002D3EBD">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0.039</w:t>
            </w:r>
            <w:r>
              <w:rPr>
                <w:rFonts w:ascii="Times New Roman" w:hAnsi="Times New Roman" w:cs="Times New Roman"/>
                <w:sz w:val="24"/>
                <w:szCs w:val="24"/>
              </w:rPr>
              <w:t>*</w:t>
            </w:r>
          </w:p>
        </w:tc>
      </w:tr>
    </w:tbl>
    <w:p w14:paraId="3AB83AEE"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OR, Odds ratio; CI, Confidence interval; </w:t>
      </w:r>
      <w:r>
        <w:rPr>
          <w:rFonts w:ascii="Times New Roman" w:hAnsi="Times New Roman" w:cs="Times New Roman"/>
          <w:i/>
          <w:sz w:val="24"/>
          <w:szCs w:val="24"/>
        </w:rPr>
        <w:t>p</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 xml:space="preserve"> value; BA PI, Basilar artery pulsatility index measured by transcranial Doppler ultrasonography</w:t>
      </w:r>
    </w:p>
    <w:p w14:paraId="48B9933A"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Group was divided into quartiles based on BA PI</w:t>
      </w:r>
    </w:p>
    <w:p w14:paraId="1251FEF3" w14:textId="30EF98A3"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Adjusted by Age, Sex, </w:t>
      </w:r>
      <w:r w:rsidR="0087576B">
        <w:rPr>
          <w:rFonts w:ascii="Times New Roman" w:hAnsi="Times New Roman" w:cs="Times New Roman"/>
          <w:sz w:val="24"/>
          <w:szCs w:val="24"/>
        </w:rPr>
        <w:t xml:space="preserve">History of </w:t>
      </w:r>
      <w:r w:rsidR="008018A9">
        <w:rPr>
          <w:rFonts w:ascii="Times New Roman" w:hAnsi="Times New Roman" w:cs="Times New Roman"/>
          <w:sz w:val="24"/>
          <w:szCs w:val="24"/>
        </w:rPr>
        <w:t xml:space="preserve">Hypertension, </w:t>
      </w:r>
      <w:r w:rsidR="0087576B">
        <w:rPr>
          <w:rFonts w:ascii="Times New Roman" w:hAnsi="Times New Roman" w:cs="Times New Roman"/>
          <w:sz w:val="24"/>
          <w:szCs w:val="24"/>
        </w:rPr>
        <w:t xml:space="preserve">History of </w:t>
      </w:r>
      <w:r w:rsidR="008018A9">
        <w:rPr>
          <w:rFonts w:ascii="Times New Roman" w:hAnsi="Times New Roman" w:cs="Times New Roman"/>
          <w:sz w:val="24"/>
          <w:szCs w:val="24"/>
        </w:rPr>
        <w:t xml:space="preserve">Diabetes Mellitus, </w:t>
      </w:r>
      <w:r>
        <w:rPr>
          <w:rFonts w:ascii="Times New Roman" w:hAnsi="Times New Roman" w:cs="Times New Roman"/>
          <w:sz w:val="24"/>
          <w:szCs w:val="24"/>
        </w:rPr>
        <w:t xml:space="preserve">National Institutes of Health Stroke Scale at admission, Systolic blood pressure, Serum homocysteine level, Cerebral atherosclerosis score </w:t>
      </w:r>
    </w:p>
    <w:p w14:paraId="6EAE72D0" w14:textId="77777777" w:rsidR="00FA5CE1" w:rsidRDefault="00FA5CE1" w:rsidP="002D3EBD">
      <w:pPr>
        <w:wordWrap/>
        <w:spacing w:line="480" w:lineRule="auto"/>
        <w:ind w:firstLineChars="50" w:firstLine="120"/>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&lt; 0.05</w:t>
      </w:r>
    </w:p>
    <w:p w14:paraId="159A4FCD" w14:textId="77777777" w:rsidR="00287872" w:rsidRPr="00FA5CE1" w:rsidRDefault="00287872" w:rsidP="002D3EBD">
      <w:pPr>
        <w:spacing w:line="480" w:lineRule="auto"/>
      </w:pPr>
    </w:p>
    <w:sectPr w:rsidR="00287872" w:rsidRPr="00FA5CE1" w:rsidSect="00E676AF">
      <w:footerReference w:type="default" r:id="rId7"/>
      <w:pgSz w:w="11906" w:h="16838" w:code="9"/>
      <w:pgMar w:top="1418" w:right="1418" w:bottom="1418" w:left="1418" w:header="851" w:footer="992" w:gutter="0"/>
      <w:lnNumType w:countBy="1" w:restart="continuous"/>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DD3AA1" w14:textId="77777777" w:rsidR="004C16AD" w:rsidRDefault="004C16AD">
      <w:pPr>
        <w:spacing w:after="0" w:line="240" w:lineRule="auto"/>
      </w:pPr>
      <w:r>
        <w:separator/>
      </w:r>
    </w:p>
  </w:endnote>
  <w:endnote w:type="continuationSeparator" w:id="0">
    <w:p w14:paraId="7F43A815" w14:textId="77777777" w:rsidR="004C16AD" w:rsidRDefault="004C1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STIX-Regular">
    <w:altName w:val="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BF283" w14:textId="741C1D8E" w:rsidR="008164D2" w:rsidRDefault="00FA5CE1">
    <w:pPr>
      <w:pStyle w:val="a5"/>
      <w:jc w:val="center"/>
    </w:pPr>
    <w:r>
      <w:fldChar w:fldCharType="begin"/>
    </w:r>
    <w:r>
      <w:instrText xml:space="preserve"> PAGE   \* MERGEFORMAT </w:instrText>
    </w:r>
    <w:r>
      <w:fldChar w:fldCharType="separate"/>
    </w:r>
    <w:r w:rsidR="005E60E5" w:rsidRPr="005E60E5">
      <w:rPr>
        <w:noProof/>
        <w:lang w:val="ko-KR"/>
      </w:rPr>
      <w:t>1</w:t>
    </w:r>
    <w:r>
      <w:fldChar w:fldCharType="end"/>
    </w:r>
  </w:p>
  <w:p w14:paraId="08C35E17" w14:textId="77777777" w:rsidR="008164D2" w:rsidRDefault="004C16A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1D00DF" w14:textId="77777777" w:rsidR="004C16AD" w:rsidRDefault="004C16AD">
      <w:pPr>
        <w:spacing w:after="0" w:line="240" w:lineRule="auto"/>
      </w:pPr>
      <w:r>
        <w:separator/>
      </w:r>
    </w:p>
  </w:footnote>
  <w:footnote w:type="continuationSeparator" w:id="0">
    <w:p w14:paraId="76ABB577" w14:textId="77777777" w:rsidR="004C16AD" w:rsidRDefault="004C1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0A6412A"/>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Clinical Neurol&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t00vepq5wwa4evsr4x5pfc22xefxxe092p&quot;&gt;김교수님논문 reference-Converted&lt;record-ids&gt;&lt;item&gt;59&lt;/item&gt;&lt;item&gt;64&lt;/item&gt;&lt;item&gt;81&lt;/item&gt;&lt;/record-ids&gt;&lt;/item&gt;&lt;/Libraries&gt;"/>
  </w:docVars>
  <w:rsids>
    <w:rsidRoot w:val="00835E6E"/>
    <w:rsid w:val="000505F2"/>
    <w:rsid w:val="000907D3"/>
    <w:rsid w:val="000D418E"/>
    <w:rsid w:val="00121A86"/>
    <w:rsid w:val="001C3BDD"/>
    <w:rsid w:val="00257214"/>
    <w:rsid w:val="00287872"/>
    <w:rsid w:val="002D3EBD"/>
    <w:rsid w:val="0037661C"/>
    <w:rsid w:val="00396644"/>
    <w:rsid w:val="003D7D6B"/>
    <w:rsid w:val="004C16AD"/>
    <w:rsid w:val="00501D5E"/>
    <w:rsid w:val="00526C10"/>
    <w:rsid w:val="00590892"/>
    <w:rsid w:val="005A4195"/>
    <w:rsid w:val="005A4985"/>
    <w:rsid w:val="005A61C1"/>
    <w:rsid w:val="005E60E5"/>
    <w:rsid w:val="00610AD0"/>
    <w:rsid w:val="007A1B38"/>
    <w:rsid w:val="007B77A8"/>
    <w:rsid w:val="007B7B2F"/>
    <w:rsid w:val="008018A9"/>
    <w:rsid w:val="00835E6E"/>
    <w:rsid w:val="00843C00"/>
    <w:rsid w:val="0087576B"/>
    <w:rsid w:val="0088782F"/>
    <w:rsid w:val="008A573E"/>
    <w:rsid w:val="008D0941"/>
    <w:rsid w:val="008D712E"/>
    <w:rsid w:val="00916021"/>
    <w:rsid w:val="009324E5"/>
    <w:rsid w:val="0094527A"/>
    <w:rsid w:val="00974903"/>
    <w:rsid w:val="00993483"/>
    <w:rsid w:val="009C4D41"/>
    <w:rsid w:val="00A16F87"/>
    <w:rsid w:val="00A3183F"/>
    <w:rsid w:val="00A4409B"/>
    <w:rsid w:val="00AB2DB8"/>
    <w:rsid w:val="00AC087E"/>
    <w:rsid w:val="00AE7A53"/>
    <w:rsid w:val="00AF5F58"/>
    <w:rsid w:val="00B14AA2"/>
    <w:rsid w:val="00B80AA5"/>
    <w:rsid w:val="00B83354"/>
    <w:rsid w:val="00BC4667"/>
    <w:rsid w:val="00C17D14"/>
    <w:rsid w:val="00CD4E6A"/>
    <w:rsid w:val="00CD70D4"/>
    <w:rsid w:val="00D04444"/>
    <w:rsid w:val="00DB7EB1"/>
    <w:rsid w:val="00DE16ED"/>
    <w:rsid w:val="00E04D34"/>
    <w:rsid w:val="00E330DD"/>
    <w:rsid w:val="00E627A9"/>
    <w:rsid w:val="00E676AF"/>
    <w:rsid w:val="00E94DCF"/>
    <w:rsid w:val="00EB570E"/>
    <w:rsid w:val="00EF4AC1"/>
    <w:rsid w:val="00F11406"/>
    <w:rsid w:val="00F3033E"/>
    <w:rsid w:val="00F3107D"/>
    <w:rsid w:val="00F5022B"/>
    <w:rsid w:val="00FA5CE1"/>
    <w:rsid w:val="00FD3ADD"/>
    <w:rsid w:val="00FF23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ED884"/>
  <w15:chartTrackingRefBased/>
  <w15:docId w15:val="{C62A254C-2EA6-4B94-A7C2-4202AEAC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B2DB8"/>
    <w:pPr>
      <w:widowControl w:val="0"/>
      <w:wordWrap w:val="0"/>
      <w:autoSpaceDE w:val="0"/>
      <w:autoSpaceDN w:val="0"/>
      <w:spacing w:line="256" w:lineRule="auto"/>
    </w:pPr>
  </w:style>
  <w:style w:type="paragraph" w:styleId="1">
    <w:name w:val="heading 1"/>
    <w:basedOn w:val="a0"/>
    <w:next w:val="a0"/>
    <w:link w:val="1Char"/>
    <w:uiPriority w:val="9"/>
    <w:qFormat/>
    <w:rsid w:val="00835E6E"/>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unhideWhenUsed/>
    <w:qFormat/>
    <w:rsid w:val="00835E6E"/>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835E6E"/>
    <w:rPr>
      <w:rFonts w:asciiTheme="majorHAnsi" w:eastAsiaTheme="majorEastAsia" w:hAnsiTheme="majorHAnsi" w:cstheme="majorBidi"/>
      <w:sz w:val="28"/>
      <w:szCs w:val="28"/>
    </w:rPr>
  </w:style>
  <w:style w:type="character" w:customStyle="1" w:styleId="2Char">
    <w:name w:val="제목 2 Char"/>
    <w:basedOn w:val="a1"/>
    <w:link w:val="2"/>
    <w:uiPriority w:val="9"/>
    <w:rsid w:val="00835E6E"/>
    <w:rPr>
      <w:rFonts w:asciiTheme="majorHAnsi" w:eastAsiaTheme="majorEastAsia" w:hAnsiTheme="majorHAnsi" w:cstheme="majorBidi"/>
    </w:rPr>
  </w:style>
  <w:style w:type="paragraph" w:styleId="a4">
    <w:name w:val="header"/>
    <w:basedOn w:val="a0"/>
    <w:link w:val="Char"/>
    <w:uiPriority w:val="99"/>
    <w:unhideWhenUsed/>
    <w:rsid w:val="00835E6E"/>
    <w:pPr>
      <w:tabs>
        <w:tab w:val="center" w:pos="4513"/>
        <w:tab w:val="right" w:pos="9026"/>
      </w:tabs>
      <w:snapToGrid w:val="0"/>
    </w:pPr>
  </w:style>
  <w:style w:type="character" w:customStyle="1" w:styleId="Char">
    <w:name w:val="머리글 Char"/>
    <w:basedOn w:val="a1"/>
    <w:link w:val="a4"/>
    <w:uiPriority w:val="99"/>
    <w:rsid w:val="00835E6E"/>
  </w:style>
  <w:style w:type="paragraph" w:styleId="a5">
    <w:name w:val="footer"/>
    <w:basedOn w:val="a0"/>
    <w:link w:val="Char0"/>
    <w:uiPriority w:val="99"/>
    <w:unhideWhenUsed/>
    <w:rsid w:val="00835E6E"/>
    <w:pPr>
      <w:tabs>
        <w:tab w:val="center" w:pos="4513"/>
        <w:tab w:val="right" w:pos="9026"/>
      </w:tabs>
      <w:snapToGrid w:val="0"/>
    </w:pPr>
  </w:style>
  <w:style w:type="character" w:customStyle="1" w:styleId="Char0">
    <w:name w:val="바닥글 Char"/>
    <w:basedOn w:val="a1"/>
    <w:link w:val="a5"/>
    <w:uiPriority w:val="99"/>
    <w:rsid w:val="00835E6E"/>
  </w:style>
  <w:style w:type="paragraph" w:customStyle="1" w:styleId="EndNoteBibliographyTitle">
    <w:name w:val="EndNote Bibliography Title"/>
    <w:basedOn w:val="a0"/>
    <w:link w:val="EndNoteBibliographyTitleChar"/>
    <w:rsid w:val="00835E6E"/>
    <w:pPr>
      <w:spacing w:after="0"/>
      <w:jc w:val="center"/>
    </w:pPr>
    <w:rPr>
      <w:rFonts w:ascii="맑은 고딕" w:eastAsia="맑은 고딕" w:hAnsi="맑은 고딕"/>
      <w:noProof/>
    </w:rPr>
  </w:style>
  <w:style w:type="character" w:customStyle="1" w:styleId="EndNoteBibliographyTitleChar">
    <w:name w:val="EndNote Bibliography Title Char"/>
    <w:basedOn w:val="a1"/>
    <w:link w:val="EndNoteBibliographyTitle"/>
    <w:rsid w:val="00835E6E"/>
    <w:rPr>
      <w:rFonts w:ascii="맑은 고딕" w:eastAsia="맑은 고딕" w:hAnsi="맑은 고딕"/>
      <w:noProof/>
    </w:rPr>
  </w:style>
  <w:style w:type="paragraph" w:customStyle="1" w:styleId="EndNoteBibliography">
    <w:name w:val="EndNote Bibliography"/>
    <w:basedOn w:val="a0"/>
    <w:link w:val="EndNoteBibliographyChar"/>
    <w:rsid w:val="00835E6E"/>
    <w:pPr>
      <w:spacing w:line="480" w:lineRule="auto"/>
    </w:pPr>
    <w:rPr>
      <w:rFonts w:ascii="맑은 고딕" w:eastAsia="맑은 고딕" w:hAnsi="맑은 고딕"/>
      <w:noProof/>
    </w:rPr>
  </w:style>
  <w:style w:type="character" w:customStyle="1" w:styleId="EndNoteBibliographyChar">
    <w:name w:val="EndNote Bibliography Char"/>
    <w:basedOn w:val="a1"/>
    <w:link w:val="EndNoteBibliography"/>
    <w:rsid w:val="00835E6E"/>
    <w:rPr>
      <w:rFonts w:ascii="맑은 고딕" w:eastAsia="맑은 고딕" w:hAnsi="맑은 고딕"/>
      <w:noProof/>
    </w:rPr>
  </w:style>
  <w:style w:type="table" w:styleId="a6">
    <w:name w:val="Table Grid"/>
    <w:basedOn w:val="a2"/>
    <w:uiPriority w:val="59"/>
    <w:rsid w:val="00835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rsid w:val="00835E6E"/>
    <w:pPr>
      <w:ind w:leftChars="400" w:left="800"/>
    </w:pPr>
  </w:style>
  <w:style w:type="character" w:styleId="a8">
    <w:name w:val="Hyperlink"/>
    <w:uiPriority w:val="99"/>
    <w:unhideWhenUsed/>
    <w:rsid w:val="00835E6E"/>
    <w:rPr>
      <w:color w:val="0000FF"/>
      <w:u w:val="single"/>
    </w:rPr>
  </w:style>
  <w:style w:type="paragraph" w:styleId="a9">
    <w:name w:val="Balloon Text"/>
    <w:basedOn w:val="a0"/>
    <w:link w:val="Char1"/>
    <w:uiPriority w:val="99"/>
    <w:semiHidden/>
    <w:unhideWhenUsed/>
    <w:rsid w:val="00835E6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9"/>
    <w:uiPriority w:val="99"/>
    <w:semiHidden/>
    <w:rsid w:val="00835E6E"/>
    <w:rPr>
      <w:rFonts w:asciiTheme="majorHAnsi" w:eastAsiaTheme="majorEastAsia" w:hAnsiTheme="majorHAnsi" w:cstheme="majorBidi"/>
      <w:sz w:val="18"/>
      <w:szCs w:val="18"/>
    </w:rPr>
  </w:style>
  <w:style w:type="paragraph" w:styleId="aa">
    <w:name w:val="Normal (Web)"/>
    <w:basedOn w:val="a0"/>
    <w:uiPriority w:val="99"/>
    <w:semiHidden/>
    <w:unhideWhenUsed/>
    <w:rsid w:val="00835E6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endnote text"/>
    <w:basedOn w:val="a0"/>
    <w:link w:val="Char2"/>
    <w:uiPriority w:val="99"/>
    <w:semiHidden/>
    <w:unhideWhenUsed/>
    <w:rsid w:val="00835E6E"/>
    <w:pPr>
      <w:snapToGrid w:val="0"/>
      <w:jc w:val="left"/>
    </w:pPr>
  </w:style>
  <w:style w:type="character" w:customStyle="1" w:styleId="Char2">
    <w:name w:val="미주 텍스트 Char"/>
    <w:basedOn w:val="a1"/>
    <w:link w:val="ab"/>
    <w:uiPriority w:val="99"/>
    <w:semiHidden/>
    <w:rsid w:val="00835E6E"/>
  </w:style>
  <w:style w:type="character" w:styleId="ac">
    <w:name w:val="endnote reference"/>
    <w:basedOn w:val="a1"/>
    <w:uiPriority w:val="99"/>
    <w:semiHidden/>
    <w:unhideWhenUsed/>
    <w:rsid w:val="00835E6E"/>
    <w:rPr>
      <w:vertAlign w:val="superscript"/>
    </w:rPr>
  </w:style>
  <w:style w:type="character" w:styleId="ad">
    <w:name w:val="annotation reference"/>
    <w:basedOn w:val="a1"/>
    <w:uiPriority w:val="99"/>
    <w:semiHidden/>
    <w:unhideWhenUsed/>
    <w:rsid w:val="00835E6E"/>
    <w:rPr>
      <w:sz w:val="18"/>
      <w:szCs w:val="18"/>
    </w:rPr>
  </w:style>
  <w:style w:type="paragraph" w:styleId="ae">
    <w:name w:val="annotation text"/>
    <w:basedOn w:val="a0"/>
    <w:link w:val="Char3"/>
    <w:uiPriority w:val="99"/>
    <w:unhideWhenUsed/>
    <w:rsid w:val="00835E6E"/>
    <w:pPr>
      <w:jc w:val="left"/>
    </w:pPr>
  </w:style>
  <w:style w:type="character" w:customStyle="1" w:styleId="Char3">
    <w:name w:val="메모 텍스트 Char"/>
    <w:basedOn w:val="a1"/>
    <w:link w:val="ae"/>
    <w:uiPriority w:val="99"/>
    <w:rsid w:val="00835E6E"/>
  </w:style>
  <w:style w:type="paragraph" w:styleId="af">
    <w:name w:val="annotation subject"/>
    <w:basedOn w:val="ae"/>
    <w:next w:val="ae"/>
    <w:link w:val="Char4"/>
    <w:uiPriority w:val="99"/>
    <w:semiHidden/>
    <w:unhideWhenUsed/>
    <w:rsid w:val="00835E6E"/>
    <w:rPr>
      <w:b/>
      <w:bCs/>
    </w:rPr>
  </w:style>
  <w:style w:type="character" w:customStyle="1" w:styleId="Char4">
    <w:name w:val="메모 주제 Char"/>
    <w:basedOn w:val="Char3"/>
    <w:link w:val="af"/>
    <w:uiPriority w:val="99"/>
    <w:semiHidden/>
    <w:rsid w:val="00835E6E"/>
    <w:rPr>
      <w:b/>
      <w:bCs/>
    </w:rPr>
  </w:style>
  <w:style w:type="paragraph" w:styleId="af0">
    <w:name w:val="footnote text"/>
    <w:basedOn w:val="a0"/>
    <w:link w:val="Char5"/>
    <w:uiPriority w:val="99"/>
    <w:semiHidden/>
    <w:unhideWhenUsed/>
    <w:rsid w:val="00835E6E"/>
    <w:pPr>
      <w:snapToGrid w:val="0"/>
      <w:jc w:val="left"/>
    </w:pPr>
  </w:style>
  <w:style w:type="character" w:customStyle="1" w:styleId="Char5">
    <w:name w:val="각주 텍스트 Char"/>
    <w:basedOn w:val="a1"/>
    <w:link w:val="af0"/>
    <w:uiPriority w:val="99"/>
    <w:semiHidden/>
    <w:rsid w:val="00835E6E"/>
  </w:style>
  <w:style w:type="character" w:styleId="af1">
    <w:name w:val="footnote reference"/>
    <w:basedOn w:val="a1"/>
    <w:uiPriority w:val="99"/>
    <w:semiHidden/>
    <w:unhideWhenUsed/>
    <w:rsid w:val="00835E6E"/>
    <w:rPr>
      <w:vertAlign w:val="superscript"/>
    </w:rPr>
  </w:style>
  <w:style w:type="paragraph" w:styleId="a">
    <w:name w:val="List Bullet"/>
    <w:basedOn w:val="a0"/>
    <w:uiPriority w:val="99"/>
    <w:unhideWhenUsed/>
    <w:rsid w:val="00835E6E"/>
    <w:pPr>
      <w:numPr>
        <w:numId w:val="1"/>
      </w:numPr>
      <w:contextualSpacing/>
    </w:pPr>
  </w:style>
  <w:style w:type="character" w:styleId="af2">
    <w:name w:val="line number"/>
    <w:basedOn w:val="a1"/>
    <w:uiPriority w:val="99"/>
    <w:semiHidden/>
    <w:unhideWhenUsed/>
    <w:rsid w:val="00E67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4750">
      <w:bodyDiv w:val="1"/>
      <w:marLeft w:val="0"/>
      <w:marRight w:val="0"/>
      <w:marTop w:val="0"/>
      <w:marBottom w:val="0"/>
      <w:divBdr>
        <w:top w:val="none" w:sz="0" w:space="0" w:color="auto"/>
        <w:left w:val="none" w:sz="0" w:space="0" w:color="auto"/>
        <w:bottom w:val="none" w:sz="0" w:space="0" w:color="auto"/>
        <w:right w:val="none" w:sz="0" w:space="0" w:color="auto"/>
      </w:divBdr>
    </w:div>
    <w:div w:id="254823708">
      <w:bodyDiv w:val="1"/>
      <w:marLeft w:val="0"/>
      <w:marRight w:val="0"/>
      <w:marTop w:val="0"/>
      <w:marBottom w:val="0"/>
      <w:divBdr>
        <w:top w:val="none" w:sz="0" w:space="0" w:color="auto"/>
        <w:left w:val="none" w:sz="0" w:space="0" w:color="auto"/>
        <w:bottom w:val="none" w:sz="0" w:space="0" w:color="auto"/>
        <w:right w:val="none" w:sz="0" w:space="0" w:color="auto"/>
      </w:divBdr>
    </w:div>
    <w:div w:id="195069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20</Pages>
  <Words>3601</Words>
  <Characters>20531</Characters>
  <Application>Microsoft Office Word</Application>
  <DocSecurity>0</DocSecurity>
  <Lines>171</Lines>
  <Paragraphs>48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57</cp:revision>
  <dcterms:created xsi:type="dcterms:W3CDTF">2021-06-16T13:43:00Z</dcterms:created>
  <dcterms:modified xsi:type="dcterms:W3CDTF">2021-06-21T11:54:00Z</dcterms:modified>
</cp:coreProperties>
</file>