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49" w:rsidRPr="00D101D4" w:rsidRDefault="00D101D4">
      <w:pPr>
        <w:rPr>
          <w:rFonts w:hint="eastAsia"/>
          <w:b/>
          <w:sz w:val="30"/>
        </w:rPr>
      </w:pPr>
      <w:r w:rsidRPr="00D101D4">
        <w:rPr>
          <w:b/>
          <w:sz w:val="30"/>
        </w:rPr>
        <w:t>M</w:t>
      </w:r>
      <w:r w:rsidRPr="00D101D4">
        <w:rPr>
          <w:rFonts w:hint="eastAsia"/>
          <w:b/>
          <w:sz w:val="30"/>
        </w:rPr>
        <w:t>G</w:t>
      </w:r>
    </w:p>
    <w:p w:rsidR="00D101D4" w:rsidRDefault="00D101D4">
      <w:proofErr w:type="spellStart"/>
      <w:r>
        <w:t>M</w:t>
      </w:r>
      <w:r>
        <w:rPr>
          <w:rFonts w:hint="eastAsia"/>
        </w:rPr>
        <w:t>yasthenic</w:t>
      </w:r>
      <w:proofErr w:type="spellEnd"/>
      <w:r>
        <w:rPr>
          <w:rFonts w:hint="eastAsia"/>
        </w:rPr>
        <w:t xml:space="preserve"> </w:t>
      </w:r>
      <w:r>
        <w:t xml:space="preserve">crisis after trans-sternal </w:t>
      </w:r>
      <w:proofErr w:type="spellStart"/>
      <w:r>
        <w:t>thymectomy</w:t>
      </w:r>
      <w:proofErr w:type="spellEnd"/>
      <w:r>
        <w:t>: 6-34%</w:t>
      </w:r>
    </w:p>
    <w:p w:rsidR="009C4B1B" w:rsidRDefault="009C4B1B" w:rsidP="009C4B1B">
      <w:proofErr w:type="gramStart"/>
      <w:r>
        <w:t>VC(</w:t>
      </w:r>
      <w:proofErr w:type="gramEnd"/>
      <w:r>
        <w:t>liter)/indexed vital capacity(ml/kg)</w:t>
      </w:r>
    </w:p>
    <w:p w:rsidR="009C4B1B" w:rsidRDefault="009C4B1B" w:rsidP="009C4B1B">
      <w:proofErr w:type="gramStart"/>
      <w:r>
        <w:t>dysarthria/dysphagia</w:t>
      </w:r>
      <w:proofErr w:type="gramEnd"/>
      <w:r>
        <w:t xml:space="preserve"> (-/-)</w:t>
      </w:r>
    </w:p>
    <w:p w:rsidR="009C4B1B" w:rsidRDefault="009C4B1B" w:rsidP="009C4B1B">
      <w:pPr>
        <w:rPr>
          <w:rFonts w:hint="eastAsia"/>
        </w:rPr>
      </w:pPr>
      <w:r>
        <w:t>MG crisis history (-)</w:t>
      </w:r>
    </w:p>
    <w:p w:rsidR="009C4B1B" w:rsidRDefault="009C4B1B" w:rsidP="009C4B1B">
      <w:r>
        <w:t xml:space="preserve">*perioperative </w:t>
      </w:r>
      <w:proofErr w:type="spellStart"/>
      <w:r>
        <w:t>myasthenic</w:t>
      </w:r>
      <w:proofErr w:type="spellEnd"/>
      <w:r>
        <w:t xml:space="preserve"> crisis risk factor</w:t>
      </w:r>
    </w:p>
    <w:p w:rsidR="009C4B1B" w:rsidRDefault="009C4B1B" w:rsidP="009C4B1B">
      <w:r>
        <w:t xml:space="preserve">Vital capacity &lt;2 to 2.9 L </w:t>
      </w:r>
    </w:p>
    <w:p w:rsidR="009C4B1B" w:rsidRDefault="009C4B1B" w:rsidP="009C4B1B">
      <w:r>
        <w:t>Duration of MG (greater than six years)</w:t>
      </w:r>
    </w:p>
    <w:p w:rsidR="009C4B1B" w:rsidRDefault="009C4B1B" w:rsidP="009C4B1B">
      <w:r>
        <w:t xml:space="preserve">History of chronic pulmonary disease </w:t>
      </w:r>
    </w:p>
    <w:p w:rsidR="009C4B1B" w:rsidRDefault="009C4B1B" w:rsidP="009C4B1B">
      <w:r>
        <w:t xml:space="preserve">Preoperative bulbar symptoms </w:t>
      </w:r>
    </w:p>
    <w:p w:rsidR="009C4B1B" w:rsidRDefault="009C4B1B" w:rsidP="009C4B1B">
      <w:r>
        <w:t xml:space="preserve">History of </w:t>
      </w:r>
      <w:proofErr w:type="spellStart"/>
      <w:r>
        <w:t>myasthenic</w:t>
      </w:r>
      <w:proofErr w:type="spellEnd"/>
      <w:r>
        <w:t xml:space="preserve"> crisis </w:t>
      </w:r>
    </w:p>
    <w:p w:rsidR="009C4B1B" w:rsidRDefault="009C4B1B" w:rsidP="009C4B1B">
      <w:r>
        <w:t xml:space="preserve">Intraoperative blood loss &gt;1000 mL </w:t>
      </w:r>
    </w:p>
    <w:p w:rsidR="009C4B1B" w:rsidRDefault="009C4B1B" w:rsidP="009C4B1B">
      <w:r>
        <w:t xml:space="preserve">Serum </w:t>
      </w:r>
      <w:proofErr w:type="spellStart"/>
      <w:r>
        <w:t>antiacetylcholine</w:t>
      </w:r>
      <w:proofErr w:type="spellEnd"/>
      <w:r>
        <w:t xml:space="preserve"> receptor antibody &gt;100 </w:t>
      </w:r>
      <w:proofErr w:type="spellStart"/>
      <w:r>
        <w:t>nmol</w:t>
      </w:r>
      <w:proofErr w:type="spellEnd"/>
      <w:r>
        <w:t xml:space="preserve">/mL </w:t>
      </w:r>
    </w:p>
    <w:p w:rsidR="009C4B1B" w:rsidRDefault="009C4B1B" w:rsidP="009C4B1B">
      <w:r>
        <w:t xml:space="preserve">More pronounced </w:t>
      </w:r>
      <w:proofErr w:type="spellStart"/>
      <w:r>
        <w:t>decremental</w:t>
      </w:r>
      <w:proofErr w:type="spellEnd"/>
      <w:r>
        <w:t xml:space="preserve"> response (18 to 20 percent) on low frequency repetitive nerve stimulation</w:t>
      </w:r>
    </w:p>
    <w:p w:rsidR="009C4B1B" w:rsidRDefault="009C4B1B" w:rsidP="009C4B1B">
      <w:pPr>
        <w:rPr>
          <w:rFonts w:hint="eastAsia"/>
        </w:rPr>
      </w:pPr>
      <w:proofErr w:type="spellStart"/>
      <w:proofErr w:type="gramStart"/>
      <w:r>
        <w:t>pyridost</w:t>
      </w:r>
      <w:r>
        <w:t>igmine</w:t>
      </w:r>
      <w:proofErr w:type="spellEnd"/>
      <w:proofErr w:type="gramEnd"/>
      <w:r>
        <w:t xml:space="preserve"> dose: 390mg (&lt;750mg/day)</w:t>
      </w:r>
    </w:p>
    <w:p w:rsidR="00D101D4" w:rsidRPr="0059425C" w:rsidRDefault="009C4B1B" w:rsidP="009C4B1B">
      <w:pPr>
        <w:rPr>
          <w:rFonts w:hint="eastAsia"/>
        </w:rPr>
      </w:pPr>
      <w:proofErr w:type="spellStart"/>
      <w:r>
        <w:rPr>
          <w:rFonts w:hint="eastAsia"/>
        </w:rPr>
        <w:t>수술중</w:t>
      </w:r>
      <w:proofErr w:type="spellEnd"/>
      <w:r>
        <w:t xml:space="preserve"> neuromuscular blocker사용에 유의, </w:t>
      </w:r>
      <w:proofErr w:type="spellStart"/>
      <w:r>
        <w:t>수술후</w:t>
      </w:r>
      <w:proofErr w:type="spellEnd"/>
      <w:r>
        <w:t xml:space="preserve"> aminoglycoside나 quinolone등의 항생제 가급적 피해주시고 </w:t>
      </w:r>
      <w:proofErr w:type="spellStart"/>
      <w:r>
        <w:t>pyridostigmine</w:t>
      </w:r>
      <w:proofErr w:type="spellEnd"/>
      <w:r>
        <w:t xml:space="preserve">은 수술당일 아침까지 </w:t>
      </w:r>
      <w:proofErr w:type="spellStart"/>
      <w:r>
        <w:t>복용후</w:t>
      </w:r>
      <w:proofErr w:type="spellEnd"/>
      <w:r>
        <w:t xml:space="preserve"> </w:t>
      </w:r>
      <w:proofErr w:type="spellStart"/>
      <w:r>
        <w:t>수술후</w:t>
      </w:r>
      <w:proofErr w:type="spellEnd"/>
      <w:r>
        <w:t xml:space="preserve"> </w:t>
      </w:r>
      <w:proofErr w:type="spellStart"/>
      <w:r>
        <w:t>재시작</w:t>
      </w:r>
      <w:proofErr w:type="spellEnd"/>
      <w:r>
        <w:t xml:space="preserve"> 해주시고 </w:t>
      </w:r>
      <w:proofErr w:type="spellStart"/>
      <w:r>
        <w:t>수술중</w:t>
      </w:r>
      <w:proofErr w:type="spellEnd"/>
      <w:r>
        <w:t xml:space="preserve"> IV로 사용할 경우에는 neostigmine 3mg IV하시면 되겠습니다.</w:t>
      </w:r>
      <w:r w:rsidR="0059425C">
        <w:t xml:space="preserve"> Oral prednisolone</w:t>
      </w:r>
      <w:r w:rsidR="0059425C">
        <w:rPr>
          <w:rFonts w:hint="eastAsia"/>
        </w:rPr>
        <w:t xml:space="preserve">은 </w:t>
      </w:r>
      <w:proofErr w:type="spellStart"/>
      <w:proofErr w:type="gramStart"/>
      <w:r w:rsidR="0059425C">
        <w:rPr>
          <w:rFonts w:hint="eastAsia"/>
        </w:rPr>
        <w:t>수술전날</w:t>
      </w:r>
      <w:proofErr w:type="spellEnd"/>
      <w:r w:rsidR="0059425C">
        <w:rPr>
          <w:rFonts w:hint="eastAsia"/>
        </w:rPr>
        <w:t xml:space="preserve"> 까지</w:t>
      </w:r>
      <w:proofErr w:type="gramEnd"/>
      <w:r w:rsidR="0059425C">
        <w:rPr>
          <w:rFonts w:hint="eastAsia"/>
        </w:rPr>
        <w:t xml:space="preserve"> </w:t>
      </w:r>
      <w:r w:rsidR="0059425C">
        <w:t>daily hydrocortisone(100mg IV)</w:t>
      </w:r>
      <w:r w:rsidR="0059425C">
        <w:rPr>
          <w:rFonts w:hint="eastAsia"/>
        </w:rPr>
        <w:t xml:space="preserve">와 병행해주시고 </w:t>
      </w:r>
      <w:proofErr w:type="spellStart"/>
      <w:r w:rsidR="0059425C">
        <w:rPr>
          <w:rFonts w:hint="eastAsia"/>
        </w:rPr>
        <w:t>수술날</w:t>
      </w:r>
      <w:proofErr w:type="spellEnd"/>
      <w:r w:rsidR="0059425C">
        <w:rPr>
          <w:rFonts w:hint="eastAsia"/>
        </w:rPr>
        <w:t xml:space="preserve"> 아침부터는 oral prednisolone은 중단,</w:t>
      </w:r>
      <w:r w:rsidR="0059425C">
        <w:t xml:space="preserve"> hydrocortisone</w:t>
      </w:r>
      <w:r w:rsidR="0059425C">
        <w:rPr>
          <w:rFonts w:hint="eastAsia"/>
        </w:rPr>
        <w:t xml:space="preserve"> </w:t>
      </w:r>
      <w:r w:rsidR="0059425C">
        <w:t>200mg IV</w:t>
      </w:r>
      <w:r w:rsidR="0059425C">
        <w:rPr>
          <w:rFonts w:hint="eastAsia"/>
        </w:rPr>
        <w:t>으로 변경해 주십시오.</w:t>
      </w:r>
      <w:r w:rsidR="0059425C">
        <w:t xml:space="preserve"> </w:t>
      </w:r>
      <w:r w:rsidR="0059425C">
        <w:rPr>
          <w:rFonts w:hint="eastAsia"/>
        </w:rPr>
        <w:t xml:space="preserve">수술 이후 특이사항이 없다면 경구로 약물 투여가 가능한 시점까지 </w:t>
      </w:r>
      <w:r w:rsidR="0059425C">
        <w:t>hydrocortisone</w:t>
      </w:r>
      <w:r w:rsidR="0059425C">
        <w:rPr>
          <w:rFonts w:hint="eastAsia"/>
        </w:rPr>
        <w:t xml:space="preserve">은 </w:t>
      </w:r>
      <w:r w:rsidR="0059425C">
        <w:t>daily 25%</w:t>
      </w:r>
      <w:r w:rsidR="0059425C">
        <w:rPr>
          <w:rFonts w:hint="eastAsia"/>
        </w:rPr>
        <w:t xml:space="preserve">씩 감량해주시고 경구 약물 투여 </w:t>
      </w:r>
      <w:proofErr w:type="spellStart"/>
      <w:r w:rsidR="0059425C">
        <w:rPr>
          <w:rFonts w:hint="eastAsia"/>
        </w:rPr>
        <w:t>가능시</w:t>
      </w:r>
      <w:proofErr w:type="spellEnd"/>
      <w:r w:rsidR="0059425C">
        <w:rPr>
          <w:rFonts w:hint="eastAsia"/>
        </w:rPr>
        <w:t xml:space="preserve"> 이전과 같은 용량으로 </w:t>
      </w:r>
      <w:r w:rsidR="0059425C">
        <w:t>prednisolone</w:t>
      </w:r>
      <w:r w:rsidR="0059425C">
        <w:rPr>
          <w:rFonts w:hint="eastAsia"/>
        </w:rPr>
        <w:t>재시작 해주십시오.</w:t>
      </w:r>
      <w:r w:rsidR="0059425C">
        <w:t xml:space="preserve"> </w:t>
      </w:r>
      <w:r w:rsidR="001E20C2">
        <w:t>Tacrolimus</w:t>
      </w:r>
      <w:r w:rsidR="001E20C2">
        <w:rPr>
          <w:rFonts w:hint="eastAsia"/>
        </w:rPr>
        <w:t xml:space="preserve">는 </w:t>
      </w:r>
      <w:proofErr w:type="spellStart"/>
      <w:r w:rsidR="00D8234D">
        <w:rPr>
          <w:rFonts w:hint="eastAsia"/>
        </w:rPr>
        <w:t>수술날</w:t>
      </w:r>
      <w:proofErr w:type="spellEnd"/>
      <w:r w:rsidR="00D8234D">
        <w:rPr>
          <w:rFonts w:hint="eastAsia"/>
        </w:rPr>
        <w:t xml:space="preserve"> 당일까지 투약해주시고 </w:t>
      </w:r>
      <w:proofErr w:type="spellStart"/>
      <w:r w:rsidR="00D8234D">
        <w:rPr>
          <w:rFonts w:hint="eastAsia"/>
        </w:rPr>
        <w:t>수술후</w:t>
      </w:r>
      <w:proofErr w:type="spellEnd"/>
      <w:r w:rsidR="00D8234D">
        <w:rPr>
          <w:rFonts w:hint="eastAsia"/>
        </w:rPr>
        <w:t xml:space="preserve"> 감염의 위험이나 특이 이상이 없다면 </w:t>
      </w:r>
      <w:proofErr w:type="spellStart"/>
      <w:r w:rsidR="00D8234D">
        <w:rPr>
          <w:rFonts w:hint="eastAsia"/>
        </w:rPr>
        <w:t>재시작</w:t>
      </w:r>
      <w:proofErr w:type="spellEnd"/>
      <w:r w:rsidR="00D8234D">
        <w:rPr>
          <w:rFonts w:hint="eastAsia"/>
        </w:rPr>
        <w:t xml:space="preserve"> 해주십시오.</w:t>
      </w:r>
      <w:r w:rsidR="00D8234D">
        <w:t xml:space="preserve"> </w:t>
      </w:r>
      <w:bookmarkStart w:id="0" w:name="_GoBack"/>
      <w:bookmarkEnd w:id="0"/>
    </w:p>
    <w:p w:rsidR="001E189E" w:rsidRDefault="001E189E" w:rsidP="009C4B1B">
      <w:r>
        <w:rPr>
          <w:rFonts w:hint="eastAsia"/>
        </w:rPr>
        <w:t xml:space="preserve">수술 후 </w:t>
      </w:r>
      <w:r>
        <w:t>tidal volume</w:t>
      </w:r>
      <w:r>
        <w:rPr>
          <w:rFonts w:hint="eastAsia"/>
        </w:rPr>
        <w:t xml:space="preserve">이 </w:t>
      </w:r>
      <w:r>
        <w:t>5ml/kg</w:t>
      </w:r>
      <w:r>
        <w:rPr>
          <w:rFonts w:hint="eastAsia"/>
        </w:rPr>
        <w:t xml:space="preserve">이상 </w:t>
      </w:r>
      <w:r>
        <w:t>Train-of-four ratio</w:t>
      </w:r>
      <w:r>
        <w:rPr>
          <w:rFonts w:hint="eastAsia"/>
        </w:rPr>
        <w:t xml:space="preserve">가 </w:t>
      </w:r>
      <w:r>
        <w:t>90%</w:t>
      </w:r>
      <w:r>
        <w:rPr>
          <w:rFonts w:hint="eastAsia"/>
        </w:rPr>
        <w:t xml:space="preserve">이상이 되면 </w:t>
      </w:r>
      <w:proofErr w:type="spellStart"/>
      <w:r>
        <w:t>extubation</w:t>
      </w:r>
      <w:proofErr w:type="spellEnd"/>
      <w:r>
        <w:rPr>
          <w:rFonts w:hint="eastAsia"/>
        </w:rPr>
        <w:t>해주십시오.</w:t>
      </w:r>
    </w:p>
    <w:p w:rsidR="0059425C" w:rsidRDefault="0059425C" w:rsidP="009C4B1B">
      <w:r w:rsidRPr="0059425C">
        <w:rPr>
          <w:noProof/>
        </w:rPr>
        <w:lastRenderedPageBreak/>
        <w:drawing>
          <wp:inline distT="0" distB="0" distL="0" distR="0">
            <wp:extent cx="5731510" cy="336092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BB" w:rsidRDefault="001875BB" w:rsidP="009C4B1B">
      <w:r>
        <w:rPr>
          <w:rFonts w:hint="eastAsia"/>
          <w:noProof/>
        </w:rPr>
        <w:drawing>
          <wp:inline distT="0" distB="0" distL="0" distR="0">
            <wp:extent cx="5724525" cy="31813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BB" w:rsidRDefault="001875BB" w:rsidP="009C4B1B">
      <w:r>
        <w:rPr>
          <w:rFonts w:hint="eastAsia"/>
          <w:noProof/>
        </w:rPr>
        <w:lastRenderedPageBreak/>
        <w:drawing>
          <wp:inline distT="0" distB="0" distL="0" distR="0">
            <wp:extent cx="5734050" cy="34956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5BB" w:rsidRPr="009C4B1B" w:rsidRDefault="001875BB" w:rsidP="009C4B1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4050" cy="95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5BB" w:rsidRPr="009C4B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D4"/>
    <w:rsid w:val="001875BB"/>
    <w:rsid w:val="001E189E"/>
    <w:rsid w:val="001E20C2"/>
    <w:rsid w:val="00323DF8"/>
    <w:rsid w:val="0059425C"/>
    <w:rsid w:val="009C4B1B"/>
    <w:rsid w:val="00D101D4"/>
    <w:rsid w:val="00D8234D"/>
    <w:rsid w:val="00D8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E7CD-67FA-48BB-B243-10CA978E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SNUH</dc:creator>
  <cp:keywords/>
  <dc:description/>
  <cp:lastModifiedBy>SNUH</cp:lastModifiedBy>
  <cp:revision>5</cp:revision>
  <dcterms:created xsi:type="dcterms:W3CDTF">2021-01-06T00:09:00Z</dcterms:created>
  <dcterms:modified xsi:type="dcterms:W3CDTF">2021-01-06T03:41:00Z</dcterms:modified>
</cp:coreProperties>
</file>