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Microsoft JhengHei" w:cs="Microsoft JhengHei" w:eastAsia="Microsoft JhengHei" w:hAnsi="Microsoft JhengHei"/>
          <w:b/>
          <w:bCs/>
          <w:i w:val="false"/>
          <w:iCs w:val="false"/>
          <w:color w:val="1F3A5F"/>
          <w:sz w:val="44"/>
          <w:szCs w:val="44"/>
        </w:rPr>
        <w:t xml:space="preserve">IELTS Writing Task 1</w:t>
      </w:r>
    </w:p>
    <w:p>
      <w:pPr>
        <w:spacing w:after="60"/>
        <w:jc w:val="center"/>
      </w:pPr>
      <w:r>
        <w:rPr>
          <w:rFonts w:ascii="Microsoft JhengHei" w:cs="Microsoft JhengHei" w:eastAsia="Microsoft JhengHei" w:hAnsi="Microsoft JhengHei"/>
          <w:b/>
          <w:bCs/>
          <w:i w:val="false"/>
          <w:iCs w:val="false"/>
          <w:color w:val="D9760A"/>
          <w:sz w:val="34"/>
          <w:szCs w:val="34"/>
        </w:rPr>
        <w:t xml:space="preserve">診斷式批改報告</w:t>
      </w:r>
    </w:p>
    <w:p>
      <w:pPr>
        <w:spacing w:after="400"/>
        <w:jc w:val="center"/>
      </w:pPr>
      <w:r>
        <w:rPr>
          <w:rFonts w:ascii="Microsoft JhengHei" w:cs="Microsoft JhengHei" w:eastAsia="Microsoft JhengHei" w:hAnsi="Microsoft JhengHei"/>
          <w:b w:val="false"/>
          <w:bCs w:val="false"/>
          <w:i/>
          <w:iCs/>
          <w:color w:val="3A3A3A"/>
          <w:sz w:val="22"/>
          <w:szCs w:val="22"/>
        </w:rPr>
        <w:t xml:space="preserve">Diagram Comparison ｜ Pellet Stove vs. Pellet Boiler</w:t>
      </w:r>
    </w:p>
    <w:p>
      <w:pPr>
        <w:pBdr>
          <w:top w:val="single" w:color="D9760A" w:sz="8" w:space="8"/>
        </w:pBdr>
        <w:spacing w:after="40"/>
        <w:jc w:val="center"/>
      </w:pPr>
      <w:r>
        <w:rPr>
          <w:rFonts w:ascii="Microsoft JhengHei" w:cs="Microsoft JhengHei" w:eastAsia="Microsoft JhengHei" w:hAnsi="Microsoft JhengHei"/>
          <w:b w:val="false"/>
          <w:bCs w:val="false"/>
          <w:i w:val="false"/>
          <w:iCs w:val="false"/>
          <w:color w:val="3A3A3A"/>
          <w:sz w:val="4"/>
          <w:szCs w:val="4"/>
        </w:rPr>
        <w:t xml:space="preserve"> </w:t>
      </w:r>
    </w:p>
    <w:p>
      <w:pPr>
        <w:spacing w:after="300"/>
      </w:pPr>
      <w:r>
        <w:rPr>
          <w:rFonts w:ascii="Microsoft JhengHei" w:cs="Microsoft JhengHei" w:eastAsia="Microsoft JhengHei" w:hAnsi="Microsoft JhengHei"/>
          <w:b w:val="false"/>
          <w:bCs w:val="false"/>
          <w:i w:val="false"/>
          <w:iCs w:val="false"/>
          <w:color w:val="3A3A3A"/>
          <w:sz w:val="21"/>
          <w:szCs w:val="21"/>
        </w:rPr>
        <w:t xml:space="preserve"/>
      </w:r>
    </w:p>
    <w:p>
      <w:pPr>
        <w:pStyle w:val="Heading1"/>
        <w:pBdr>
          <w:bottom w:val="single" w:color="D9760A" w:sz="12" w:space="4"/>
        </w:pBdr>
        <w:spacing w:after="160" w:before="340"/>
      </w:pPr>
      <w:r>
        <w:rPr>
          <w:rFonts w:ascii="Microsoft JhengHei" w:cs="Microsoft JhengHei" w:eastAsia="Microsoft JhengHei" w:hAnsi="Microsoft JhengHei"/>
          <w:b/>
          <w:bCs/>
          <w:i w:val="false"/>
          <w:iCs w:val="false"/>
          <w:color w:val="1F3A5F"/>
          <w:sz w:val="30"/>
          <w:szCs w:val="30"/>
        </w:rPr>
        <w:t xml:space="preserve">一、總分預估 Overall Band Estimate</w:t>
      </w:r>
    </w:p>
    <w:tbl>
      <w:tblPr>
        <w:tblW w:type="dxa" w:w="9746"/>
        <w:tblBorders>
          <w:top w:val="single" w:color="CBB89A" w:sz="4"/>
          <w:left w:val="single" w:color="CBB89A" w:sz="4"/>
          <w:bottom w:val="single" w:color="CBB89A" w:sz="4"/>
          <w:right w:val="single" w:color="CBB89A" w:sz="4"/>
          <w:insideH w:val="single" w:color="DDD0BC" w:sz="2"/>
          <w:insideV w:val="single" w:color="DDD0BC" w:sz="2"/>
        </w:tblBorders>
      </w:tblPr>
      <w:tblGrid>
        <w:gridCol w:w="4400"/>
        <w:gridCol w:w="1600"/>
        <w:gridCol w:w="3746"/>
      </w:tblGrid>
      <w:tr>
        <w:trPr>
          <w:tblHeader/>
        </w:trPr>
        <w:tc>
          <w:tcPr>
            <w:tcW w:type="dxa" w:w="44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評分項目 Criterion</w:t>
            </w:r>
          </w:p>
        </w:tc>
        <w:tc>
          <w:tcPr>
            <w:tcW w:type="dxa" w:w="16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預估分數 Band</w:t>
            </w:r>
          </w:p>
        </w:tc>
        <w:tc>
          <w:tcPr>
            <w:tcW w:type="dxa" w:w="3746"/>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一句話講評</w:t>
            </w:r>
          </w:p>
        </w:tc>
      </w:tr>
      <w:tr>
        <w:tc>
          <w:tcPr>
            <w:tcW w:type="dxa" w:w="44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Task Achievement (內容完整度)</w:t>
            </w:r>
          </w:p>
        </w:tc>
        <w:tc>
          <w:tcPr>
            <w:tcW w:type="dxa" w:w="16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5.0</w:t>
            </w:r>
          </w:p>
        </w:tc>
        <w:tc>
          <w:tcPr>
            <w:tcW w:type="dxa" w:w="3746"/>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缺少 Overview，漏掉最關鍵的「單間 vs 全屋」比較</w:t>
            </w:r>
          </w:p>
        </w:tc>
      </w:tr>
      <w:tr>
        <w:tc>
          <w:tcPr>
            <w:tcW w:type="dxa" w:w="44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Coherence &amp; Cohesion (連貫與銜接)</w:t>
            </w:r>
          </w:p>
        </w:tc>
        <w:tc>
          <w:tcPr>
            <w:tcW w:type="dxa" w:w="16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5.5</w:t>
            </w:r>
          </w:p>
        </w:tc>
        <w:tc>
          <w:tcPr>
            <w:tcW w:type="dxa" w:w="3746"/>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段落分工正確，但缺少總覽段，銜接詞單一 (then/and)</w:t>
            </w:r>
          </w:p>
        </w:tc>
      </w:tr>
      <w:tr>
        <w:tc>
          <w:tcPr>
            <w:tcW w:type="dxa" w:w="44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Lexical Resource (詞彙廣度與準確度)</w:t>
            </w:r>
          </w:p>
        </w:tc>
        <w:tc>
          <w:tcPr>
            <w:tcW w:type="dxa" w:w="16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5.0</w:t>
            </w:r>
          </w:p>
        </w:tc>
        <w:tc>
          <w:tcPr>
            <w:tcW w:type="dxa" w:w="3746"/>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出現嚴重詞彙誤用 (continent ≠ container)，搭配詞不自然</w:t>
            </w:r>
          </w:p>
        </w:tc>
      </w:tr>
      <w:tr>
        <w:tc>
          <w:tcPr>
            <w:tcW w:type="dxa" w:w="44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Grammatical Range &amp; Accuracy (文法廣度與準確度)</w:t>
            </w:r>
          </w:p>
        </w:tc>
        <w:tc>
          <w:tcPr>
            <w:tcW w:type="dxa" w:w="16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5.0</w:t>
            </w:r>
          </w:p>
        </w:tc>
        <w:tc>
          <w:tcPr>
            <w:tcW w:type="dxa" w:w="3746"/>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主詞動詞一致性錯誤、句子偏簡單、缺乏複雜句型</w:t>
            </w:r>
          </w:p>
        </w:tc>
      </w:tr>
    </w:tbl>
    <w:p>
      <w:pPr>
        <w:spacing w:after="160"/>
      </w:pPr>
      <w:r>
        <w:rPr>
          <w:rFonts w:ascii="Microsoft JhengHei" w:cs="Microsoft JhengHei" w:eastAsia="Microsoft JhengHei" w:hAnsi="Microsoft JhengHei"/>
          <w:b w:val="false"/>
          <w:bCs w:val="false"/>
          <w:i w:val="false"/>
          <w:iCs w:val="false"/>
          <w:color w:val="3A3A3A"/>
          <w:sz w:val="21"/>
          <w:szCs w:val="21"/>
        </w:rPr>
        <w:t xml:space="preserve"/>
      </w:r>
    </w:p>
    <w:tbl>
      <w:tblPr>
        <w:tblW w:type="dxa" w:w="9746"/>
        <w:tblBorders>
          <w:top w:val="single" w:color="C9960A" w:sz="4"/>
          <w:left w:val="single" w:color="C9960A" w:sz="24"/>
          <w:bottom w:val="single" w:color="C9960A" w:sz="4"/>
          <w:right w:val="single" w:color="C9960A" w:sz="4"/>
          <w:insideH w:val="single" w:color="auto" w:sz="4"/>
          <w:insideV w:val="single" w:color="auto" w:sz="4"/>
        </w:tblBorders>
      </w:tblPr>
      <w:tblGrid>
        <w:gridCol w:w="9746"/>
      </w:tblGrid>
      <w:tr>
        <w:tc>
          <w:tcPr>
            <w:tcW w:type="dxa" w:w="9746"/>
            <w:shd w:fill="FFF6DE"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C9960A"/>
                <w:sz w:val="21"/>
                <w:szCs w:val="21"/>
              </w:rPr>
              <w:t xml:space="preserve">考點提醒 ｜ 總評 Overall Band Estimate：約 5.0</w:t>
            </w:r>
          </w:p>
          <w:p>
            <w:pPr>
              <w:spacing w:after="40" w:line="280"/>
            </w:pPr>
            <w:r>
              <w:rPr>
                <w:rFonts w:ascii="Microsoft JhengHei" w:cs="Microsoft JhengHei" w:eastAsia="Microsoft JhengHei" w:hAnsi="Microsoft JhengHei"/>
                <w:b w:val="false"/>
                <w:bCs w:val="false"/>
                <w:i w:val="false"/>
                <w:iCs w:val="false"/>
                <w:color w:val="3A3A3A"/>
                <w:sz w:val="20"/>
                <w:szCs w:val="20"/>
              </w:rPr>
              <w:t xml:space="preserve">目前程度落在 Band 5 區間，距離 7.5 有明確但可達成的差距。真正卡住分數的不是「寫不出句子」，而是三個結構性問題：</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完全沒有 Overview（總覽段）——這在 Task 1 佔 Task Achievement 分數的核心，沒有它天花板就是 Band 5-6。</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漏掉整張圖組最重要的對比：暖爐機（stove）只加熱單一房間，鍋爐（boiler）透過熱水管網加熱全屋——這是考官第一眼在找的重點。</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詞彙精準度不足，出現如 continent（大陸）誤用為 container（容器）這類會讓考官質疑用字是否經過思考的錯誤。</w:t>
            </w:r>
          </w:p>
        </w:tc>
      </w:tr>
    </w:tbl>
    <w:p>
      <w:pPr>
        <w:pStyle w:val="Heading1"/>
        <w:pBdr>
          <w:bottom w:val="single" w:color="D9760A" w:sz="12" w:space="4"/>
        </w:pBdr>
        <w:spacing w:after="160" w:before="340"/>
      </w:pPr>
      <w:r>
        <w:rPr>
          <w:rFonts w:ascii="Microsoft JhengHei" w:cs="Microsoft JhengHei" w:eastAsia="Microsoft JhengHei" w:hAnsi="Microsoft JhengHei"/>
          <w:b/>
          <w:bCs/>
          <w:i w:val="false"/>
          <w:iCs w:val="false"/>
          <w:color w:val="1F3A5F"/>
          <w:sz w:val="30"/>
          <w:szCs w:val="30"/>
        </w:rPr>
        <w:t xml:space="preserve">二、逐句錯誤分析 Sentence-by-Sentence Correction</w:t>
      </w:r>
    </w:p>
    <w:p>
      <w:pPr>
        <w:pStyle w:val="Heading2"/>
        <w:spacing w:after="120" w:before="240"/>
      </w:pPr>
      <w:r>
        <w:rPr>
          <w:rFonts w:ascii="Microsoft JhengHei" w:cs="Microsoft JhengHei" w:eastAsia="Microsoft JhengHei" w:hAnsi="Microsoft JhengHei"/>
          <w:b/>
          <w:bCs/>
          <w:i w:val="false"/>
          <w:iCs w:val="false"/>
          <w:color w:val="D9760A"/>
          <w:sz w:val="24"/>
          <w:szCs w:val="24"/>
        </w:rPr>
        <w:t xml:space="preserve">第一段（Pellet Stove）</w:t>
      </w:r>
    </w:p>
    <w:tbl>
      <w:tblPr>
        <w:tblW w:type="dxa" w:w="9746"/>
        <w:tblBorders>
          <w:top w:val="single" w:color="CBB89A" w:sz="4"/>
          <w:left w:val="single" w:color="CBB89A" w:sz="4"/>
          <w:bottom w:val="single" w:color="CBB89A" w:sz="4"/>
          <w:right w:val="single" w:color="CBB89A" w:sz="4"/>
          <w:insideH w:val="single" w:color="DDD0BC" w:sz="2"/>
          <w:insideV w:val="single" w:color="DDD0BC" w:sz="2"/>
        </w:tblBorders>
      </w:tblPr>
      <w:tblGrid>
        <w:gridCol w:w="3600"/>
        <w:gridCol w:w="2646"/>
        <w:gridCol w:w="3500"/>
      </w:tblGrid>
      <w:tr>
        <w:trPr>
          <w:tblHeader/>
        </w:trPr>
        <w:tc>
          <w:tcPr>
            <w:tcW w:type="dxa" w:w="36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原句摘錄</w:t>
            </w:r>
          </w:p>
        </w:tc>
        <w:tc>
          <w:tcPr>
            <w:tcW w:type="dxa" w:w="2646"/>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問題</w:t>
            </w:r>
          </w:p>
        </w:tc>
        <w:tc>
          <w:tcPr>
            <w:tcW w:type="dxa" w:w="35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建議修改</w:t>
            </w:r>
          </w:p>
        </w:tc>
      </w:tr>
      <w:tr>
        <w:tc>
          <w:tcPr>
            <w:tcW w:type="dxa" w:w="36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put int the fuel hopper</w:t>
            </w:r>
          </w:p>
        </w:tc>
        <w:tc>
          <w:tcPr>
            <w:tcW w:type="dxa" w:w="2646"/>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拼字錯誤：int → into</w:t>
            </w:r>
          </w:p>
        </w:tc>
        <w:tc>
          <w:tcPr>
            <w:tcW w:type="dxa" w:w="35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...are loaded into the fuel hopper</w:t>
            </w:r>
          </w:p>
        </w:tc>
      </w:tr>
      <w:tr>
        <w:tc>
          <w:tcPr>
            <w:tcW w:type="dxa" w:w="36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the fuel would be sent to the combustion chamber</w:t>
            </w:r>
          </w:p>
        </w:tc>
        <w:tc>
          <w:tcPr>
            <w:tcW w:type="dxa" w:w="2646"/>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would 用法不精準；process diagram 應使用現在式被動</w:t>
            </w:r>
          </w:p>
        </w:tc>
        <w:tc>
          <w:tcPr>
            <w:tcW w:type="dxa" w:w="35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the fuel is then fed into the combustion chamber</w:t>
            </w:r>
          </w:p>
        </w:tc>
      </w:tr>
      <w:tr>
        <w:tc>
          <w:tcPr>
            <w:tcW w:type="dxa" w:w="36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observe the scale of a fireplace through the window</w:t>
            </w:r>
          </w:p>
        </w:tc>
        <w:tc>
          <w:tcPr>
            <w:tcW w:type="dxa" w:w="2646"/>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scale 用字錯誤（原意應為火焰大小），fireplace 不是準確術語</w:t>
            </w:r>
          </w:p>
        </w:tc>
        <w:tc>
          <w:tcPr>
            <w:tcW w:type="dxa" w:w="35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monitor the size of the flame through the viewing window</w:t>
            </w:r>
          </w:p>
        </w:tc>
      </w:tr>
      <w:tr>
        <w:tc>
          <w:tcPr>
            <w:tcW w:type="dxa" w:w="36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Hot air, which go through a combustion fan, is created by the fireplace</w:t>
            </w:r>
          </w:p>
        </w:tc>
        <w:tc>
          <w:tcPr>
            <w:tcW w:type="dxa" w:w="2646"/>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主詞動詞不一致 (go→goes)；邏輯順序顛倒，熱氣是先產生才被風扇吹出</w:t>
            </w:r>
          </w:p>
        </w:tc>
        <w:tc>
          <w:tcPr>
            <w:tcW w:type="dxa" w:w="35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Hot air generated in the combustion chamber is then blown outward by the combustion fan</w:t>
            </w:r>
          </w:p>
        </w:tc>
      </w:tr>
      <w:tr>
        <w:tc>
          <w:tcPr>
            <w:tcW w:type="dxa" w:w="36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the part of created air that could be harmful to human, will be excluded through the exhaust duct</w:t>
            </w:r>
          </w:p>
        </w:tc>
        <w:tc>
          <w:tcPr>
            <w:tcW w:type="dxa" w:w="2646"/>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用字模糊 (created air / excluded)；human 漏 s</w:t>
            </w:r>
          </w:p>
        </w:tc>
        <w:tc>
          <w:tcPr>
            <w:tcW w:type="dxa" w:w="35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any harmful gases produced during combustion are expelled through the exhaust duct</w:t>
            </w:r>
          </w:p>
        </w:tc>
      </w:tr>
    </w:tbl>
    <w:p>
      <w:pPr>
        <w:spacing w:after="160"/>
      </w:pPr>
      <w:r>
        <w:rPr>
          <w:rFonts w:ascii="Microsoft JhengHei" w:cs="Microsoft JhengHei" w:eastAsia="Microsoft JhengHei" w:hAnsi="Microsoft JhengHei"/>
          <w:b w:val="false"/>
          <w:bCs w:val="false"/>
          <w:i w:val="false"/>
          <w:iCs w:val="false"/>
          <w:color w:val="3A3A3A"/>
          <w:sz w:val="21"/>
          <w:szCs w:val="21"/>
        </w:rPr>
        <w:t xml:space="preserve"/>
      </w:r>
    </w:p>
    <w:p>
      <w:pPr>
        <w:pStyle w:val="Heading2"/>
        <w:spacing w:after="120" w:before="240"/>
      </w:pPr>
      <w:r>
        <w:rPr>
          <w:rFonts w:ascii="Microsoft JhengHei" w:cs="Microsoft JhengHei" w:eastAsia="Microsoft JhengHei" w:hAnsi="Microsoft JhengHei"/>
          <w:b/>
          <w:bCs/>
          <w:i w:val="false"/>
          <w:iCs w:val="false"/>
          <w:color w:val="D9760A"/>
          <w:sz w:val="24"/>
          <w:szCs w:val="24"/>
        </w:rPr>
        <w:t xml:space="preserve">第二段（Pellet Boiler）</w:t>
      </w:r>
    </w:p>
    <w:tbl>
      <w:tblPr>
        <w:tblW w:type="dxa" w:w="9746"/>
        <w:tblBorders>
          <w:top w:val="single" w:color="CBB89A" w:sz="4"/>
          <w:left w:val="single" w:color="CBB89A" w:sz="4"/>
          <w:bottom w:val="single" w:color="CBB89A" w:sz="4"/>
          <w:right w:val="single" w:color="CBB89A" w:sz="4"/>
          <w:insideH w:val="single" w:color="DDD0BC" w:sz="2"/>
          <w:insideV w:val="single" w:color="DDD0BC" w:sz="2"/>
        </w:tblBorders>
      </w:tblPr>
      <w:tblGrid>
        <w:gridCol w:w="3600"/>
        <w:gridCol w:w="2646"/>
        <w:gridCol w:w="3500"/>
      </w:tblGrid>
      <w:tr>
        <w:trPr>
          <w:tblHeader/>
        </w:trPr>
        <w:tc>
          <w:tcPr>
            <w:tcW w:type="dxa" w:w="36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原句摘錄</w:t>
            </w:r>
          </w:p>
        </w:tc>
        <w:tc>
          <w:tcPr>
            <w:tcW w:type="dxa" w:w="2646"/>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問題</w:t>
            </w:r>
          </w:p>
        </w:tc>
        <w:tc>
          <w:tcPr>
            <w:tcW w:type="dxa" w:w="35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建議修改</w:t>
            </w:r>
          </w:p>
        </w:tc>
      </w:tr>
      <w:tr>
        <w:tc>
          <w:tcPr>
            <w:tcW w:type="dxa" w:w="36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wood pellets are used as the resource of fuel, too</w:t>
            </w:r>
          </w:p>
        </w:tc>
        <w:tc>
          <w:tcPr>
            <w:tcW w:type="dxa" w:w="2646"/>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搭配詞錯誤：resource of fuel 應為 fuel source</w:t>
            </w:r>
          </w:p>
        </w:tc>
        <w:tc>
          <w:tcPr>
            <w:tcW w:type="dxa" w:w="35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wood pellets likewise serve as the fuel source</w:t>
            </w:r>
          </w:p>
        </w:tc>
      </w:tr>
      <w:tr>
        <w:tc>
          <w:tcPr>
            <w:tcW w:type="dxa" w:w="36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Unlike the pellet stove having the window..., there is a furnace used to transform cold water into hot water</w:t>
            </w:r>
          </w:p>
        </w:tc>
        <w:tc>
          <w:tcPr>
            <w:tcW w:type="dxa" w:w="2646"/>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句子過長、比較結構不清楚（unlike 後面應接可比較的名詞/子句）</w:t>
            </w:r>
          </w:p>
        </w:tc>
        <w:tc>
          <w:tcPr>
            <w:tcW w:type="dxa" w:w="35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Unlike the stove, however, the boiler contains a furnace that heats cold water into hot water rather than releasing warm air directly</w:t>
            </w:r>
          </w:p>
        </w:tc>
      </w:tr>
      <w:tr>
        <w:tc>
          <w:tcPr>
            <w:tcW w:type="dxa" w:w="36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iCs/>
                <w:color w:val="B93A2B"/>
                <w:sz w:val="21"/>
                <w:szCs w:val="21"/>
              </w:rPr>
              <w:t xml:space="preserve">Both cases have the continent for collecting the ash</w:t>
            </w:r>
          </w:p>
        </w:tc>
        <w:tc>
          <w:tcPr>
            <w:tcW w:type="dxa" w:w="2646"/>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B93A2B"/>
                <w:sz w:val="19"/>
                <w:szCs w:val="19"/>
              </w:rPr>
              <w:t xml:space="preserve">嚴重詞彙誤用：continent（大陸）應為 container（容器）</w:t>
            </w:r>
          </w:p>
        </w:tc>
        <w:tc>
          <w:tcPr>
            <w:tcW w:type="dxa" w:w="3500"/>
            <w:shd w:fill="FFFFFF"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Both systems have a receptacle for collecting the resulting ash</w:t>
            </w:r>
          </w:p>
        </w:tc>
      </w:tr>
      <w:tr>
        <w:tc>
          <w:tcPr>
            <w:tcW w:type="dxa" w:w="36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iCs/>
                <w:color w:val="3A3A3A"/>
                <w:sz w:val="21"/>
                <w:szCs w:val="21"/>
              </w:rPr>
              <w:t xml:space="preserve">ash pan is used in stove, while receptacle for another one</w:t>
            </w:r>
          </w:p>
        </w:tc>
        <w:tc>
          <w:tcPr>
            <w:tcW w:type="dxa" w:w="2646"/>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val="false"/>
                <w:bCs w:val="false"/>
                <w:i w:val="false"/>
                <w:iCs w:val="false"/>
                <w:color w:val="3A3A3A"/>
                <w:sz w:val="19"/>
                <w:szCs w:val="19"/>
              </w:rPr>
              <w:t xml:space="preserve">冠詞缺漏、省略句不完整，another one 指代不清</w:t>
            </w:r>
          </w:p>
        </w:tc>
        <w:tc>
          <w:tcPr>
            <w:tcW w:type="dxa" w:w="3500"/>
            <w:shd w:fill="FBF1DD" w:val="clear"/>
            <w:tcMar>
              <w:top w:type="dxa" w:w="90"/>
              <w:left w:type="dxa" w:w="120"/>
              <w:bottom w:type="dxa" w:w="90"/>
              <w:right w:type="dxa" w:w="120"/>
            </w:tcMar>
            <w:vAlign w:val="center"/>
          </w:tcPr>
          <w:p>
            <w:pPr>
              <w:spacing w:after="40" w:line="280"/>
            </w:pPr>
            <w:r>
              <w:rPr>
                <w:rFonts w:ascii="Microsoft JhengHei" w:cs="Microsoft JhengHei" w:eastAsia="Microsoft JhengHei" w:hAnsi="Microsoft JhengHei"/>
                <w:b/>
                <w:bCs/>
                <w:i w:val="false"/>
                <w:iCs w:val="false"/>
                <w:color w:val="1F3A5F"/>
                <w:sz w:val="19"/>
                <w:szCs w:val="19"/>
              </w:rPr>
              <w:t xml:space="preserve">an ash pan is used in the stove, whereas an ash receptacle serves the same purpose in the boiler</w:t>
            </w:r>
          </w:p>
        </w:tc>
      </w:tr>
    </w:tbl>
    <w:p>
      <w:pPr>
        <w:spacing w:after="160"/>
      </w:pPr>
      <w:r>
        <w:rPr>
          <w:rFonts w:ascii="Microsoft JhengHei" w:cs="Microsoft JhengHei" w:eastAsia="Microsoft JhengHei" w:hAnsi="Microsoft JhengHei"/>
          <w:b w:val="false"/>
          <w:bCs w:val="false"/>
          <w:i w:val="false"/>
          <w:iCs w:val="false"/>
          <w:color w:val="3A3A3A"/>
          <w:sz w:val="21"/>
          <w:szCs w:val="21"/>
        </w:rPr>
        <w:t xml:space="preserve"/>
      </w:r>
    </w:p>
    <w:tbl>
      <w:tblPr>
        <w:tblW w:type="dxa" w:w="9746"/>
        <w:tblBorders>
          <w:top w:val="single" w:color="B93A2B" w:sz="4"/>
          <w:left w:val="single" w:color="B93A2B" w:sz="24"/>
          <w:bottom w:val="single" w:color="B93A2B" w:sz="4"/>
          <w:right w:val="single" w:color="B93A2B" w:sz="4"/>
          <w:insideH w:val="single" w:color="auto" w:sz="4"/>
          <w:insideV w:val="single" w:color="auto" w:sz="4"/>
        </w:tblBorders>
      </w:tblPr>
      <w:tblGrid>
        <w:gridCol w:w="9746"/>
      </w:tblGrid>
      <w:tr>
        <w:tc>
          <w:tcPr>
            <w:tcW w:type="dxa" w:w="9746"/>
            <w:shd w:fill="FCEAE8"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B93A2B"/>
                <w:sz w:val="21"/>
                <w:szCs w:val="21"/>
              </w:rPr>
              <w:t xml:space="preserve">錯誤陷阱 ｜ continent vs. container</w:t>
            </w:r>
          </w:p>
          <w:p>
            <w:pPr>
              <w:spacing w:after="40" w:line="280"/>
            </w:pPr>
            <w:r>
              <w:rPr>
                <w:rFonts w:ascii="Microsoft JhengHei" w:cs="Microsoft JhengHei" w:eastAsia="Microsoft JhengHei" w:hAnsi="Microsoft JhengHei"/>
                <w:b w:val="false"/>
                <w:bCs w:val="false"/>
                <w:i w:val="false"/>
                <w:iCs w:val="false"/>
                <w:color w:val="3A3A3A"/>
                <w:sz w:val="20"/>
                <w:szCs w:val="20"/>
              </w:rPr>
              <w:t xml:space="preserve">這應該是打字時中文選字 / 自動校正誤選造成的問題，但考官只看到結果：一個代表「大陸、洲」的單字出現在完全不相關的句子中。</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這類錯誤殺傷力遠大於文法小錯，因為它讓考官懷疑你是否真的理解自己寫出來的字。</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寫完後務必「朗讀」一遍全文——文法檢查工具抓得到拼字，但抓不到「拼對但選錯的字」。</w:t>
            </w:r>
          </w:p>
        </w:tc>
      </w:tr>
    </w:tbl>
    <w:p>
      <w:pPr>
        <w:pStyle w:val="Heading1"/>
        <w:pBdr>
          <w:bottom w:val="single" w:color="D9760A" w:sz="12" w:space="4"/>
        </w:pBdr>
        <w:spacing w:after="160" w:before="340"/>
      </w:pPr>
      <w:r>
        <w:rPr>
          <w:rFonts w:ascii="Microsoft JhengHei" w:cs="Microsoft JhengHei" w:eastAsia="Microsoft JhengHei" w:hAnsi="Microsoft JhengHei"/>
          <w:b/>
          <w:bCs/>
          <w:i w:val="false"/>
          <w:iCs w:val="false"/>
          <w:color w:val="1F3A5F"/>
          <w:sz w:val="30"/>
          <w:szCs w:val="30"/>
        </w:rPr>
        <w:t xml:space="preserve">三、內容完整度 Task Achievement</w:t>
      </w:r>
    </w:p>
    <w:tbl>
      <w:tblPr>
        <w:tblW w:type="dxa" w:w="9746"/>
        <w:tblBorders>
          <w:top w:val="single" w:color="C9960A" w:sz="4"/>
          <w:left w:val="single" w:color="C9960A" w:sz="24"/>
          <w:bottom w:val="single" w:color="C9960A" w:sz="4"/>
          <w:right w:val="single" w:color="C9960A" w:sz="4"/>
          <w:insideH w:val="single" w:color="auto" w:sz="4"/>
          <w:insideV w:val="single" w:color="auto" w:sz="4"/>
        </w:tblBorders>
      </w:tblPr>
      <w:tblGrid>
        <w:gridCol w:w="9746"/>
      </w:tblGrid>
      <w:tr>
        <w:tc>
          <w:tcPr>
            <w:tcW w:type="dxa" w:w="9746"/>
            <w:shd w:fill="FFF6DE"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C9960A"/>
                <w:sz w:val="21"/>
                <w:szCs w:val="21"/>
              </w:rPr>
              <w:t xml:space="preserve">考點提醒 ｜ 最大扣分點：沒有 Overview 段落</w:t>
            </w:r>
          </w:p>
          <w:p>
            <w:pPr>
              <w:spacing w:after="40" w:line="280"/>
            </w:pPr>
            <w:r>
              <w:rPr>
                <w:rFonts w:ascii="Microsoft JhengHei" w:cs="Microsoft JhengHei" w:eastAsia="Microsoft JhengHei" w:hAnsi="Microsoft JhengHei"/>
                <w:b w:val="false"/>
                <w:bCs w:val="false"/>
                <w:i w:val="false"/>
                <w:iCs w:val="false"/>
                <w:color w:val="3A3A3A"/>
                <w:sz w:val="20"/>
                <w:szCs w:val="20"/>
              </w:rPr>
              <w:t xml:space="preserve">Task 1（流程圖 / 機制比較題）的評分標準明確要求：在細節之前，先用 1-2 句話點出「全局最重要的相似或相異之處」。你的兩段都直接進細節，考官找不到這個總覽，Task Achievement 分數會被鎖在 Band 5-6。</w:t>
            </w:r>
          </w:p>
          <w:p>
            <w:pPr>
              <w:spacing w:after="40" w:line="280"/>
            </w:pPr>
            <w:r>
              <w:rPr>
                <w:rFonts w:ascii="Microsoft JhengHei" w:cs="Microsoft JhengHei" w:eastAsia="Microsoft JhengHei" w:hAnsi="Microsoft JhengHei"/>
                <w:b/>
                <w:bCs/>
                <w:i w:val="false"/>
                <w:iCs w:val="false"/>
                <w:color w:val="1F3A5F"/>
                <w:sz w:val="20"/>
                <w:szCs w:val="20"/>
              </w:rPr>
              <w:t xml:space="preserve">這張圖組真正的核心對比，你完全沒有提到：</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Pellet Stove：直接把熱空氣吹進「所在的那個房間」——單一空間、直接加熱。</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Pellet Boiler：透過燃燒加熱冷水，再用管線把熱水送到臥室與客廳的暖氣片——全屋、間接、集中式加熱。</w:t>
            </w:r>
          </w:p>
          <w:p>
            <w:pPr>
              <w:spacing w:after="40" w:line="280"/>
            </w:pPr>
            <w:r>
              <w:rPr>
                <w:rFonts w:ascii="Microsoft JhengHei" w:cs="Microsoft JhengHei" w:eastAsia="Microsoft JhengHei" w:hAnsi="Microsoft JhengHei"/>
                <w:b/>
                <w:bCs/>
                <w:i w:val="false"/>
                <w:iCs w:val="false"/>
                <w:color w:val="1F3A5F"/>
                <w:sz w:val="20"/>
                <w:szCs w:val="20"/>
              </w:rPr>
              <w:t xml:space="preserve">建議 Overview 寫法（可直接套用）：</w:t>
            </w:r>
          </w:p>
          <w:p>
            <w:pPr>
              <w:spacing w:after="40" w:line="280"/>
            </w:pPr>
            <w:r>
              <w:rPr>
                <w:rFonts w:ascii="Microsoft JhengHei" w:cs="Microsoft JhengHei" w:eastAsia="Microsoft JhengHei" w:hAnsi="Microsoft JhengHei"/>
                <w:b w:val="false"/>
                <w:bCs w:val="false"/>
                <w:i/>
                <w:iCs/>
                <w:color w:val="1F3A5F"/>
                <w:sz w:val="20"/>
                <w:szCs w:val="20"/>
              </w:rPr>
              <w:t xml:space="preserve">“Overall, while both appliances burn wood pellets to generate heat, the pellet stove warms a single room directly by blowing hot air into it, whereas the pellet boiler heats an entire house indirectly by circulating hot water through a network of pipes to radiators in different rooms.”</w:t>
            </w:r>
          </w:p>
        </w:tc>
      </w:tr>
    </w:tbl>
    <w:p>
      <w:pPr>
        <w:pStyle w:val="Heading1"/>
        <w:pBdr>
          <w:bottom w:val="single" w:color="D9760A" w:sz="12" w:space="4"/>
        </w:pBdr>
        <w:spacing w:after="160" w:before="340"/>
      </w:pPr>
      <w:r>
        <w:rPr>
          <w:rFonts w:ascii="Microsoft JhengHei" w:cs="Microsoft JhengHei" w:eastAsia="Microsoft JhengHei" w:hAnsi="Microsoft JhengHei"/>
          <w:b/>
          <w:bCs/>
          <w:i w:val="false"/>
          <w:iCs w:val="false"/>
          <w:color w:val="1F3A5F"/>
          <w:sz w:val="30"/>
          <w:szCs w:val="30"/>
        </w:rPr>
        <w:t xml:space="preserve">四、詞彙升級 Lexical Resource</w:t>
      </w:r>
    </w:p>
    <w:tbl>
      <w:tblPr>
        <w:tblW w:type="dxa" w:w="9746"/>
        <w:tblBorders>
          <w:top w:val="single" w:color="CBB89A" w:sz="4"/>
          <w:left w:val="single" w:color="CBB89A" w:sz="4"/>
          <w:bottom w:val="single" w:color="CBB89A" w:sz="4"/>
          <w:right w:val="single" w:color="CBB89A" w:sz="4"/>
          <w:insideH w:val="single" w:color="DDD0BC" w:sz="2"/>
          <w:insideV w:val="single" w:color="DDD0BC" w:sz="2"/>
        </w:tblBorders>
      </w:tblPr>
      <w:tblGrid>
        <w:gridCol w:w="2800"/>
        <w:gridCol w:w="2800"/>
        <w:gridCol w:w="4146"/>
      </w:tblGrid>
      <w:tr>
        <w:trPr>
          <w:tblHeader/>
        </w:trPr>
        <w:tc>
          <w:tcPr>
            <w:tcW w:type="dxa" w:w="28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原文用字</w:t>
            </w:r>
          </w:p>
        </w:tc>
        <w:tc>
          <w:tcPr>
            <w:tcW w:type="dxa" w:w="2800"/>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問題</w:t>
            </w:r>
          </w:p>
        </w:tc>
        <w:tc>
          <w:tcPr>
            <w:tcW w:type="dxa" w:w="4146"/>
            <w:shd w:fill="1F3A5F" w:val="clear"/>
            <w:tcMar>
              <w:top w:type="dxa" w:w="90"/>
              <w:left w:type="dxa" w:w="120"/>
              <w:bottom w:type="dxa" w:w="90"/>
              <w:right w:type="dxa" w:w="120"/>
            </w:tcMar>
            <w:vAlign w:val="center"/>
          </w:tcPr>
          <w:p>
            <w:r>
              <w:rPr>
                <w:rFonts w:ascii="Microsoft JhengHei" w:cs="Microsoft JhengHei" w:eastAsia="Microsoft JhengHei" w:hAnsi="Microsoft JhengHei"/>
                <w:b/>
                <w:bCs/>
                <w:i w:val="false"/>
                <w:iCs w:val="false"/>
                <w:color w:val="FFFFFF"/>
                <w:sz w:val="20"/>
                <w:szCs w:val="20"/>
              </w:rPr>
              <w:t xml:space="preserve">建議替換 / 升級</w:t>
            </w:r>
          </w:p>
        </w:tc>
      </w:tr>
      <w:tr>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put int</w:t>
            </w:r>
          </w:p>
        </w:tc>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拼字錯誤</w:t>
            </w:r>
          </w:p>
        </w:tc>
        <w:tc>
          <w:tcPr>
            <w:tcW w:type="dxa" w:w="4146"/>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load / feed ... into</w:t>
            </w:r>
          </w:p>
        </w:tc>
      </w:tr>
      <w:tr>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would be sent to</w:t>
            </w:r>
          </w:p>
        </w:tc>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時態不精準</w:t>
            </w:r>
          </w:p>
        </w:tc>
        <w:tc>
          <w:tcPr>
            <w:tcW w:type="dxa" w:w="4146"/>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is fed into / is transferred to</w:t>
            </w:r>
          </w:p>
        </w:tc>
      </w:tr>
      <w:tr>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scale of a fireplace</w:t>
            </w:r>
          </w:p>
        </w:tc>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用字錯誤</w:t>
            </w:r>
          </w:p>
        </w:tc>
        <w:tc>
          <w:tcPr>
            <w:tcW w:type="dxa" w:w="4146"/>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size of the flame</w:t>
            </w:r>
          </w:p>
        </w:tc>
      </w:tr>
      <w:tr>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created air</w:t>
            </w:r>
          </w:p>
        </w:tc>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用詞模糊</w:t>
            </w:r>
          </w:p>
        </w:tc>
        <w:tc>
          <w:tcPr>
            <w:tcW w:type="dxa" w:w="4146"/>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the air generated by combustion</w:t>
            </w:r>
          </w:p>
        </w:tc>
      </w:tr>
      <w:tr>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harmful to human</w:t>
            </w:r>
          </w:p>
        </w:tc>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冠詞/複數缺漏</w:t>
            </w:r>
          </w:p>
        </w:tc>
        <w:tc>
          <w:tcPr>
            <w:tcW w:type="dxa" w:w="4146"/>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harmful to humans</w:t>
            </w:r>
          </w:p>
        </w:tc>
      </w:tr>
      <w:tr>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resource of fuel</w:t>
            </w:r>
          </w:p>
        </w:tc>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搭配詞錯誤</w:t>
            </w:r>
          </w:p>
        </w:tc>
        <w:tc>
          <w:tcPr>
            <w:tcW w:type="dxa" w:w="4146"/>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fuel source / source of fuel</w:t>
            </w:r>
          </w:p>
        </w:tc>
      </w:tr>
      <w:tr>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continent</w:t>
            </w:r>
          </w:p>
        </w:tc>
        <w:tc>
          <w:tcPr>
            <w:tcW w:type="dxa" w:w="2800"/>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嚴重詞彙誤用</w:t>
            </w:r>
          </w:p>
        </w:tc>
        <w:tc>
          <w:tcPr>
            <w:tcW w:type="dxa" w:w="4146"/>
            <w:shd w:fill="FFFFFF"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container / receptacle</w:t>
            </w:r>
          </w:p>
        </w:tc>
      </w:tr>
      <w:tr>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another one</w:t>
            </w:r>
          </w:p>
        </w:tc>
        <w:tc>
          <w:tcPr>
            <w:tcW w:type="dxa" w:w="2800"/>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指代不清</w:t>
            </w:r>
          </w:p>
        </w:tc>
        <w:tc>
          <w:tcPr>
            <w:tcW w:type="dxa" w:w="4146"/>
            <w:shd w:fill="FBF1DD" w:val="clear"/>
            <w:tcMar>
              <w:top w:type="dxa" w:w="90"/>
              <w:left w:type="dxa" w:w="120"/>
              <w:bottom w:type="dxa" w:w="90"/>
              <w:right w:type="dxa" w:w="120"/>
            </w:tcMar>
            <w:vAlign w:val="center"/>
          </w:tcPr>
          <w:p>
            <w:r>
              <w:rPr>
                <w:rFonts w:ascii="Microsoft JhengHei" w:cs="Microsoft JhengHei" w:eastAsia="Microsoft JhengHei" w:hAnsi="Microsoft JhengHei"/>
                <w:b w:val="false"/>
                <w:bCs w:val="false"/>
                <w:i w:val="false"/>
                <w:iCs w:val="false"/>
                <w:color w:val="3A3A3A"/>
                <w:sz w:val="19"/>
                <w:szCs w:val="19"/>
              </w:rPr>
              <w:t xml:space="preserve">the boiler（明確寫出設備名稱）</w:t>
            </w:r>
          </w:p>
        </w:tc>
      </w:tr>
    </w:tbl>
    <w:p>
      <w:pPr>
        <w:spacing w:after="160"/>
      </w:pPr>
      <w:r>
        <w:rPr>
          <w:rFonts w:ascii="Microsoft JhengHei" w:cs="Microsoft JhengHei" w:eastAsia="Microsoft JhengHei" w:hAnsi="Microsoft JhengHei"/>
          <w:b w:val="false"/>
          <w:bCs w:val="false"/>
          <w:i w:val="false"/>
          <w:iCs w:val="false"/>
          <w:color w:val="3A3A3A"/>
          <w:sz w:val="21"/>
          <w:szCs w:val="21"/>
        </w:rPr>
        <w:t xml:space="preserve"/>
      </w:r>
    </w:p>
    <w:tbl>
      <w:tblPr>
        <w:tblW w:type="dxa" w:w="9746"/>
        <w:tblBorders>
          <w:top w:val="single" w:color="2E7D4F" w:sz="4"/>
          <w:left w:val="single" w:color="2E7D4F" w:sz="24"/>
          <w:bottom w:val="single" w:color="2E7D4F" w:sz="4"/>
          <w:right w:val="single" w:color="2E7D4F" w:sz="4"/>
          <w:insideH w:val="single" w:color="auto" w:sz="4"/>
          <w:insideV w:val="single" w:color="auto" w:sz="4"/>
        </w:tblBorders>
      </w:tblPr>
      <w:tblGrid>
        <w:gridCol w:w="9746"/>
      </w:tblGrid>
      <w:tr>
        <w:tc>
          <w:tcPr>
            <w:tcW w:type="dxa" w:w="9746"/>
            <w:shd w:fill="E9F5EC"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2E7D4F"/>
                <w:sz w:val="21"/>
                <w:szCs w:val="21"/>
              </w:rPr>
              <w:t xml:space="preserve">結論 / 記憶點 ｜ 流程 / 對比題常用詞彙庫</w:t>
            </w:r>
          </w:p>
          <w:p>
            <w:pPr>
              <w:spacing w:after="40" w:line="280"/>
            </w:pPr>
            <w:r>
              <w:rPr>
                <w:rFonts w:ascii="Microsoft JhengHei" w:cs="Microsoft JhengHei" w:eastAsia="Microsoft JhengHei" w:hAnsi="Microsoft JhengHei"/>
                <w:b/>
                <w:bCs/>
                <w:i w:val="false"/>
                <w:iCs w:val="false"/>
                <w:color w:val="1F3A5F"/>
                <w:sz w:val="20"/>
                <w:szCs w:val="20"/>
              </w:rPr>
              <w:t xml:space="preserve">流程銜接：</w:t>
            </w:r>
            <w:r>
              <w:rPr>
                <w:rFonts w:ascii="Microsoft JhengHei" w:cs="Microsoft JhengHei" w:eastAsia="Microsoft JhengHei" w:hAnsi="Microsoft JhengHei"/>
                <w:b w:val="false"/>
                <w:bCs w:val="false"/>
                <w:i w:val="false"/>
                <w:iCs w:val="false"/>
                <w:color w:val="3A3A3A"/>
                <w:sz w:val="20"/>
                <w:szCs w:val="20"/>
              </w:rPr>
              <w:t xml:space="preserve">initially / subsequently / once ... this is then ... / at the same time / this process is then repeated</w:t>
            </w:r>
          </w:p>
          <w:p>
            <w:pPr>
              <w:spacing w:after="40" w:line="280"/>
            </w:pPr>
            <w:r>
              <w:rPr>
                <w:rFonts w:ascii="Microsoft JhengHei" w:cs="Microsoft JhengHei" w:eastAsia="Microsoft JhengHei" w:hAnsi="Microsoft JhengHei"/>
                <w:b/>
                <w:bCs/>
                <w:i w:val="false"/>
                <w:iCs w:val="false"/>
                <w:color w:val="1F3A5F"/>
                <w:sz w:val="20"/>
                <w:szCs w:val="20"/>
              </w:rPr>
              <w:t xml:space="preserve">因果與功能：</w:t>
            </w:r>
            <w:r>
              <w:rPr>
                <w:rFonts w:ascii="Microsoft JhengHei" w:cs="Microsoft JhengHei" w:eastAsia="Microsoft JhengHei" w:hAnsi="Microsoft JhengHei"/>
                <w:b w:val="false"/>
                <w:bCs w:val="false"/>
                <w:i w:val="false"/>
                <w:iCs w:val="false"/>
                <w:color w:val="3A3A3A"/>
                <w:sz w:val="20"/>
                <w:szCs w:val="20"/>
              </w:rPr>
              <w:t xml:space="preserve">in order to / so that / this allows ... to / is designed to</w:t>
            </w:r>
          </w:p>
          <w:p>
            <w:pPr>
              <w:spacing w:after="40" w:line="280"/>
            </w:pPr>
            <w:r>
              <w:rPr>
                <w:rFonts w:ascii="Microsoft JhengHei" w:cs="Microsoft JhengHei" w:eastAsia="Microsoft JhengHei" w:hAnsi="Microsoft JhengHei"/>
                <w:b/>
                <w:bCs/>
                <w:i w:val="false"/>
                <w:iCs w:val="false"/>
                <w:color w:val="1F3A5F"/>
                <w:sz w:val="20"/>
                <w:szCs w:val="20"/>
              </w:rPr>
              <w:t xml:space="preserve">比較與對比：</w:t>
            </w:r>
            <w:r>
              <w:rPr>
                <w:rFonts w:ascii="Microsoft JhengHei" w:cs="Microsoft JhengHei" w:eastAsia="Microsoft JhengHei" w:hAnsi="Microsoft JhengHei"/>
                <w:b w:val="false"/>
                <w:bCs w:val="false"/>
                <w:i w:val="false"/>
                <w:iCs w:val="false"/>
                <w:color w:val="3A3A3A"/>
                <w:sz w:val="20"/>
                <w:szCs w:val="20"/>
              </w:rPr>
              <w:t xml:space="preserve">whereas / unlike / in contrast / by comparison / while ... , ...</w:t>
            </w:r>
          </w:p>
          <w:p>
            <w:pPr>
              <w:spacing w:after="40" w:line="280"/>
            </w:pPr>
            <w:r>
              <w:rPr>
                <w:rFonts w:ascii="Microsoft JhengHei" w:cs="Microsoft JhengHei" w:eastAsia="Microsoft JhengHei" w:hAnsi="Microsoft JhengHei"/>
                <w:b/>
                <w:bCs/>
                <w:i w:val="false"/>
                <w:iCs w:val="false"/>
                <w:color w:val="1F3A5F"/>
                <w:sz w:val="20"/>
                <w:szCs w:val="20"/>
              </w:rPr>
              <w:t xml:space="preserve">被動語態（流程圖首選）：</w:t>
            </w:r>
            <w:r>
              <w:rPr>
                <w:rFonts w:ascii="Microsoft JhengHei" w:cs="Microsoft JhengHei" w:eastAsia="Microsoft JhengHei" w:hAnsi="Microsoft JhengHei"/>
                <w:b w:val="false"/>
                <w:bCs w:val="false"/>
                <w:i w:val="false"/>
                <w:iCs w:val="false"/>
                <w:color w:val="3A3A3A"/>
                <w:sz w:val="20"/>
                <w:szCs w:val="20"/>
              </w:rPr>
              <w:t xml:space="preserve">is fed into / is transferred to / is released via / is expelled through / is circulated around</w:t>
            </w:r>
          </w:p>
        </w:tc>
      </w:tr>
    </w:tbl>
    <w:p>
      <w:pPr>
        <w:pStyle w:val="Heading1"/>
        <w:pBdr>
          <w:bottom w:val="single" w:color="D9760A" w:sz="12" w:space="4"/>
        </w:pBdr>
        <w:spacing w:after="160" w:before="340"/>
      </w:pPr>
      <w:r>
        <w:rPr>
          <w:rFonts w:ascii="Microsoft JhengHei" w:cs="Microsoft JhengHei" w:eastAsia="Microsoft JhengHei" w:hAnsi="Microsoft JhengHei"/>
          <w:b/>
          <w:bCs/>
          <w:i w:val="false"/>
          <w:iCs w:val="false"/>
          <w:color w:val="1F3A5F"/>
          <w:sz w:val="30"/>
          <w:szCs w:val="30"/>
        </w:rPr>
        <w:t xml:space="preserve">五、文法檢視 Grammatical Range &amp; Accuracy</w:t>
      </w:r>
    </w:p>
    <w:tbl>
      <w:tblPr>
        <w:tblW w:type="dxa" w:w="9746"/>
        <w:tblBorders>
          <w:top w:val="single" w:color="3B6EA5" w:sz="4"/>
          <w:left w:val="single" w:color="3B6EA5" w:sz="24"/>
          <w:bottom w:val="single" w:color="3B6EA5" w:sz="4"/>
          <w:right w:val="single" w:color="3B6EA5" w:sz="4"/>
          <w:insideH w:val="single" w:color="auto" w:sz="4"/>
          <w:insideV w:val="single" w:color="auto" w:sz="4"/>
        </w:tblBorders>
      </w:tblPr>
      <w:tblGrid>
        <w:gridCol w:w="9746"/>
      </w:tblGrid>
      <w:tr>
        <w:tc>
          <w:tcPr>
            <w:tcW w:type="dxa" w:w="9746"/>
            <w:shd w:fill="EAF1F8"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3B6EA5"/>
                <w:sz w:val="21"/>
                <w:szCs w:val="21"/>
              </w:rPr>
              <w:t xml:space="preserve">深度解析 ｜ 文法弱點總結</w:t>
            </w:r>
          </w:p>
          <w:p>
            <w:pPr>
              <w:spacing w:after="40" w:line="280"/>
            </w:pPr>
            <w:r>
              <w:rPr>
                <w:rFonts w:ascii="Microsoft JhengHei" w:cs="Microsoft JhengHei" w:eastAsia="Microsoft JhengHei" w:hAnsi="Microsoft JhengHei"/>
                <w:b/>
                <w:bCs/>
                <w:i w:val="false"/>
                <w:iCs w:val="false"/>
                <w:color w:val="1F3A5F"/>
                <w:sz w:val="20"/>
                <w:szCs w:val="20"/>
              </w:rPr>
              <w:t xml:space="preserve">1. 主詞動詞一致性：</w:t>
            </w:r>
            <w:r>
              <w:rPr>
                <w:rFonts w:ascii="Microsoft JhengHei" w:cs="Microsoft JhengHei" w:eastAsia="Microsoft JhengHei" w:hAnsi="Microsoft JhengHei"/>
                <w:b w:val="false"/>
                <w:bCs w:val="false"/>
                <w:i w:val="false"/>
                <w:iCs w:val="false"/>
                <w:color w:val="3A3A3A"/>
                <w:sz w:val="20"/>
                <w:szCs w:val="20"/>
              </w:rPr>
              <w:t xml:space="preserve">“which go through” 應為 “which goes through”——單數主詞 (hot air / the fuel) 動詞要加 s。</w:t>
            </w:r>
          </w:p>
          <w:p>
            <w:pPr>
              <w:spacing w:after="40" w:line="280"/>
            </w:pPr>
            <w:r>
              <w:rPr>
                <w:rFonts w:ascii="Microsoft JhengHei" w:cs="Microsoft JhengHei" w:eastAsia="Microsoft JhengHei" w:hAnsi="Microsoft JhengHei"/>
                <w:b/>
                <w:bCs/>
                <w:i w:val="false"/>
                <w:iCs w:val="false"/>
                <w:color w:val="1F3A5F"/>
                <w:sz w:val="20"/>
                <w:szCs w:val="20"/>
              </w:rPr>
              <w:t xml:space="preserve">2. 句型單一：</w:t>
            </w:r>
            <w:r>
              <w:rPr>
                <w:rFonts w:ascii="Microsoft JhengHei" w:cs="Microsoft JhengHei" w:eastAsia="Microsoft JhengHei" w:hAnsi="Microsoft JhengHei"/>
                <w:b w:val="false"/>
                <w:bCs w:val="false"/>
                <w:i w:val="false"/>
                <w:iCs w:val="false"/>
                <w:color w:val="3A3A3A"/>
                <w:sz w:val="20"/>
                <w:szCs w:val="20"/>
              </w:rPr>
              <w:t xml:space="preserve">目前幾乎只靠 “Then / And then / while” 串接句子，缺少關係子句、分詞構句、比較結構等 Band 7+ 必備的複雜句型。</w:t>
            </w:r>
          </w:p>
          <w:p>
            <w:pPr>
              <w:spacing w:after="40" w:line="280"/>
            </w:pPr>
            <w:r>
              <w:rPr>
                <w:rFonts w:ascii="Microsoft JhengHei" w:cs="Microsoft JhengHei" w:eastAsia="Microsoft JhengHei" w:hAnsi="Microsoft JhengHei"/>
                <w:b/>
                <w:bCs/>
                <w:i w:val="false"/>
                <w:iCs w:val="false"/>
                <w:color w:val="1F3A5F"/>
                <w:sz w:val="20"/>
                <w:szCs w:val="20"/>
              </w:rPr>
              <w:t xml:space="preserve">3. 被動語態使用不足：</w:t>
            </w:r>
            <w:r>
              <w:rPr>
                <w:rFonts w:ascii="Microsoft JhengHei" w:cs="Microsoft JhengHei" w:eastAsia="Microsoft JhengHei" w:hAnsi="Microsoft JhengHei"/>
                <w:b w:val="false"/>
                <w:bCs w:val="false"/>
                <w:i w:val="false"/>
                <w:iCs w:val="false"/>
                <w:color w:val="3A3A3A"/>
                <w:sz w:val="20"/>
                <w:szCs w:val="20"/>
              </w:rPr>
              <w:t xml:space="preserve">流程圖描述應大量使用被動（is fed / is transferred / is expelled），你目前多用「主詞主動做某事」的說法，讀起來不像標準流程圖英文。</w:t>
            </w:r>
          </w:p>
          <w:p>
            <w:pPr>
              <w:spacing w:after="40" w:line="280"/>
            </w:pPr>
            <w:r>
              <w:rPr>
                <w:rFonts w:ascii="Microsoft JhengHei" w:cs="Microsoft JhengHei" w:eastAsia="Microsoft JhengHei" w:hAnsi="Microsoft JhengHei"/>
                <w:b/>
                <w:bCs/>
                <w:i w:val="false"/>
                <w:iCs w:val="false"/>
                <w:color w:val="1F3A5F"/>
                <w:sz w:val="20"/>
                <w:szCs w:val="20"/>
              </w:rPr>
              <w:t xml:space="preserve">4. 長句缺乏標點與子句訓練：</w:t>
            </w:r>
            <w:r>
              <w:rPr>
                <w:rFonts w:ascii="Microsoft JhengHei" w:cs="Microsoft JhengHei" w:eastAsia="Microsoft JhengHei" w:hAnsi="Microsoft JhengHei"/>
                <w:b w:val="false"/>
                <w:bCs w:val="false"/>
                <w:i w:val="false"/>
                <w:iCs w:val="false"/>
                <w:color w:val="3A3A3A"/>
                <w:sz w:val="20"/>
                <w:szCs w:val="20"/>
              </w:rPr>
              <w:t xml:space="preserve">如 “Unlike the pellet stove having the window on the chamber for observing the changes of fireplace, there is a furnace...” 一句塞入過多資訊，導致文法結構崩潰。建議：一句只放一個核心資訊，用第二句做對比。</w:t>
            </w:r>
          </w:p>
        </w:tc>
      </w:tr>
    </w:tbl>
    <w:p>
      <w:pPr>
        <w:pStyle w:val="Heading1"/>
        <w:pBdr>
          <w:bottom w:val="single" w:color="D9760A" w:sz="12" w:space="4"/>
        </w:pBdr>
        <w:spacing w:after="160" w:before="340"/>
      </w:pPr>
      <w:r>
        <w:rPr>
          <w:rFonts w:ascii="Microsoft JhengHei" w:cs="Microsoft JhengHei" w:eastAsia="Microsoft JhengHei" w:hAnsi="Microsoft JhengHei"/>
          <w:b/>
          <w:bCs/>
          <w:i w:val="false"/>
          <w:iCs w:val="false"/>
          <w:color w:val="1F3A5F"/>
          <w:sz w:val="30"/>
          <w:szCs w:val="30"/>
        </w:rPr>
        <w:t xml:space="preserve">六、範文參考 Model Answer</w:t>
      </w:r>
    </w:p>
    <w:p>
      <w:pPr>
        <w:pStyle w:val="Heading2"/>
        <w:spacing w:after="120" w:before="240"/>
      </w:pPr>
      <w:r>
        <w:rPr>
          <w:rFonts w:ascii="Microsoft JhengHei" w:cs="Microsoft JhengHei" w:eastAsia="Microsoft JhengHei" w:hAnsi="Microsoft JhengHei"/>
          <w:b/>
          <w:bCs/>
          <w:i w:val="false"/>
          <w:iCs w:val="false"/>
          <w:color w:val="D9760A"/>
          <w:sz w:val="24"/>
          <w:szCs w:val="24"/>
        </w:rPr>
        <w:t xml:space="preserve">範文示範 Model Answer（Band 8-9 水準參考）</w:t>
      </w:r>
    </w:p>
    <w:p>
      <w:pPr>
        <w:spacing w:after="100"/>
      </w:pPr>
      <w:r>
        <w:rPr>
          <w:rFonts w:ascii="Microsoft JhengHei" w:cs="Microsoft JhengHei" w:eastAsia="Microsoft JhengHei" w:hAnsi="Microsoft JhengHei"/>
          <w:b w:val="false"/>
          <w:bCs w:val="false"/>
          <w:i/>
          <w:iCs/>
          <w:color w:val="3A3A3A"/>
          <w:sz w:val="21"/>
          <w:szCs w:val="21"/>
        </w:rPr>
        <w:t xml:space="preserve">以下範文以你原本掌握的內容為基礎重寫，示範完整的四段結構：改寫題目 → Overview → 各段細節 → 對比語言。建議先自己嘗試修改一次，再對照此範文找差距，而不是直接背誦。</w:t>
      </w:r>
    </w:p>
    <w:tbl>
      <w:tblPr>
        <w:tblW w:type="dxa" w:w="9746"/>
        <w:tblBorders>
          <w:top w:val="single" w:color="2E7D4F" w:sz="4"/>
          <w:left w:val="single" w:color="2E7D4F" w:sz="24"/>
          <w:bottom w:val="single" w:color="2E7D4F" w:sz="4"/>
          <w:right w:val="single" w:color="2E7D4F" w:sz="4"/>
          <w:insideH w:val="single" w:color="auto" w:sz="4"/>
          <w:insideV w:val="single" w:color="auto" w:sz="4"/>
        </w:tblBorders>
      </w:tblPr>
      <w:tblGrid>
        <w:gridCol w:w="9746"/>
      </w:tblGrid>
      <w:tr>
        <w:tc>
          <w:tcPr>
            <w:tcW w:type="dxa" w:w="9746"/>
            <w:shd w:fill="E9F5EC"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2E7D4F"/>
                <w:sz w:val="21"/>
                <w:szCs w:val="21"/>
              </w:rPr>
              <w:t xml:space="preserve">結論 / 記憶點 ｜ Introduction + Overview</w:t>
            </w:r>
          </w:p>
          <w:p>
            <w:pPr>
              <w:spacing w:after="40" w:line="280"/>
            </w:pPr>
            <w:r>
              <w:rPr>
                <w:rFonts w:ascii="Microsoft JhengHei" w:cs="Microsoft JhengHei" w:eastAsia="Microsoft JhengHei" w:hAnsi="Microsoft JhengHei"/>
                <w:b w:val="false"/>
                <w:bCs w:val="false"/>
                <w:i w:val="false"/>
                <w:iCs w:val="false"/>
                <w:color w:val="3A3A3A"/>
                <w:sz w:val="20"/>
                <w:szCs w:val="20"/>
              </w:rPr>
              <w:t xml:space="preserve">The two diagrams illustrate the mechanisms by which a pellet stove and a pellet boiler burn wood pellets to provide heating for a house.</w:t>
            </w:r>
          </w:p>
          <w:p>
            <w:pPr>
              <w:spacing w:after="40" w:line="280"/>
            </w:pPr>
            <w:r>
              <w:rPr>
                <w:rFonts w:ascii="Microsoft JhengHei" w:cs="Microsoft JhengHei" w:eastAsia="Microsoft JhengHei" w:hAnsi="Microsoft JhengHei"/>
                <w:b/>
                <w:bCs/>
                <w:i w:val="false"/>
                <w:iCs w:val="false"/>
                <w:color w:val="1F3A5F"/>
                <w:sz w:val="20"/>
                <w:szCs w:val="20"/>
              </w:rPr>
              <w:t xml:space="preserve">Overall, while both systems rely on the same fuel and follow a broadly similar combustion process, the stove heats a single room directly through hot air, whereas the boiler heats the entire house indirectly by distributing hot water through a network of pipes.</w:t>
            </w:r>
          </w:p>
        </w:tc>
      </w:tr>
    </w:tbl>
    <w:p>
      <w:pPr>
        <w:spacing w:after="160"/>
      </w:pPr>
      <w:r>
        <w:rPr>
          <w:rFonts w:ascii="Microsoft JhengHei" w:cs="Microsoft JhengHei" w:eastAsia="Microsoft JhengHei" w:hAnsi="Microsoft JhengHei"/>
          <w:b w:val="false"/>
          <w:bCs w:val="false"/>
          <w:i w:val="false"/>
          <w:iCs w:val="false"/>
          <w:color w:val="3A3A3A"/>
          <w:sz w:val="21"/>
          <w:szCs w:val="21"/>
        </w:rPr>
        <w:t xml:space="preserve"/>
      </w:r>
    </w:p>
    <w:tbl>
      <w:tblPr>
        <w:tblW w:type="dxa" w:w="9746"/>
        <w:tblBorders>
          <w:top w:val="single" w:color="3B6EA5" w:sz="4"/>
          <w:left w:val="single" w:color="3B6EA5" w:sz="24"/>
          <w:bottom w:val="single" w:color="3B6EA5" w:sz="4"/>
          <w:right w:val="single" w:color="3B6EA5" w:sz="4"/>
          <w:insideH w:val="single" w:color="auto" w:sz="4"/>
          <w:insideV w:val="single" w:color="auto" w:sz="4"/>
        </w:tblBorders>
      </w:tblPr>
      <w:tblGrid>
        <w:gridCol w:w="9746"/>
      </w:tblGrid>
      <w:tr>
        <w:tc>
          <w:tcPr>
            <w:tcW w:type="dxa" w:w="9746"/>
            <w:shd w:fill="EAF1F8"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3B6EA5"/>
                <w:sz w:val="21"/>
                <w:szCs w:val="21"/>
              </w:rPr>
              <w:t xml:space="preserve">深度解析 ｜ Body 1 — Pellet Stove</w:t>
            </w:r>
          </w:p>
          <w:p>
            <w:pPr>
              <w:spacing w:after="40" w:line="280"/>
            </w:pPr>
            <w:r>
              <w:rPr>
                <w:rFonts w:ascii="Microsoft JhengHei" w:cs="Microsoft JhengHei" w:eastAsia="Microsoft JhengHei" w:hAnsi="Microsoft JhengHei"/>
                <w:b w:val="false"/>
                <w:bCs w:val="false"/>
                <w:i w:val="false"/>
                <w:iCs w:val="false"/>
                <w:color w:val="3A3A3A"/>
                <w:sz w:val="20"/>
                <w:szCs w:val="20"/>
              </w:rPr>
              <w:t xml:space="preserve">In the pellet stove, wood pellets are first loaded into the fuel hopper, from which they are automatically fed into the combustion chamber at a rate regulated by the control panel. Once ignited, the flames can be monitored through a viewing window. As combustion takes place, hot air is generated inside the chamber and is then blown directly into the room by the combustion fan, while any harmful gases produced are expelled outside through the exhaust duct at the rear of the unit. Leftover ash falls into an ash pan beneath the chamber for later disposal.</w:t>
            </w:r>
          </w:p>
        </w:tc>
      </w:tr>
    </w:tbl>
    <w:p>
      <w:pPr>
        <w:spacing w:after="160"/>
      </w:pPr>
      <w:r>
        <w:rPr>
          <w:rFonts w:ascii="Microsoft JhengHei" w:cs="Microsoft JhengHei" w:eastAsia="Microsoft JhengHei" w:hAnsi="Microsoft JhengHei"/>
          <w:b w:val="false"/>
          <w:bCs w:val="false"/>
          <w:i w:val="false"/>
          <w:iCs w:val="false"/>
          <w:color w:val="3A3A3A"/>
          <w:sz w:val="21"/>
          <w:szCs w:val="21"/>
        </w:rPr>
        <w:t xml:space="preserve"/>
      </w:r>
    </w:p>
    <w:tbl>
      <w:tblPr>
        <w:tblW w:type="dxa" w:w="9746"/>
        <w:tblBorders>
          <w:top w:val="single" w:color="3B6EA5" w:sz="4"/>
          <w:left w:val="single" w:color="3B6EA5" w:sz="24"/>
          <w:bottom w:val="single" w:color="3B6EA5" w:sz="4"/>
          <w:right w:val="single" w:color="3B6EA5" w:sz="4"/>
          <w:insideH w:val="single" w:color="auto" w:sz="4"/>
          <w:insideV w:val="single" w:color="auto" w:sz="4"/>
        </w:tblBorders>
      </w:tblPr>
      <w:tblGrid>
        <w:gridCol w:w="9746"/>
      </w:tblGrid>
      <w:tr>
        <w:tc>
          <w:tcPr>
            <w:tcW w:type="dxa" w:w="9746"/>
            <w:shd w:fill="EAF1F8"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3B6EA5"/>
                <w:sz w:val="21"/>
                <w:szCs w:val="21"/>
              </w:rPr>
              <w:t xml:space="preserve">深度解析 ｜ Body 2 — Pellet Boiler</w:t>
            </w:r>
          </w:p>
          <w:p>
            <w:pPr>
              <w:spacing w:after="40" w:line="280"/>
            </w:pPr>
            <w:r>
              <w:rPr>
                <w:rFonts w:ascii="Microsoft JhengHei" w:cs="Microsoft JhengHei" w:eastAsia="Microsoft JhengHei" w:hAnsi="Microsoft JhengHei"/>
                <w:b w:val="false"/>
                <w:bCs w:val="false"/>
                <w:i w:val="false"/>
                <w:iCs w:val="false"/>
                <w:color w:val="3A3A3A"/>
                <w:sz w:val="20"/>
                <w:szCs w:val="20"/>
              </w:rPr>
              <w:t xml:space="preserve">The pellet boiler operates on a similar principle, burning wood pellets in a furnace to produce heat. Unlike the stove, however, this heat is not released as air but is instead used to convert cold water entering the base of the unit into hot water. This hot water is then circulated upward and through a network of pipes to radiators in the living room and both bedrooms, before returning to the boiler as cold water to be reheated, forming a continuous cycle. Smoke generated during combustion escapes via a smoke stack that runs up through the roof, and, as with the stove, the resulting ash is collected in a dedicated ash receptacle.</w:t>
            </w:r>
          </w:p>
        </w:tc>
      </w:tr>
    </w:tbl>
    <w:p>
      <w:pPr>
        <w:spacing w:after="160"/>
      </w:pPr>
      <w:r>
        <w:rPr>
          <w:rFonts w:ascii="Microsoft JhengHei" w:cs="Microsoft JhengHei" w:eastAsia="Microsoft JhengHei" w:hAnsi="Microsoft JhengHei"/>
          <w:b w:val="false"/>
          <w:bCs w:val="false"/>
          <w:i w:val="false"/>
          <w:iCs w:val="false"/>
          <w:color w:val="3A3A3A"/>
          <w:sz w:val="21"/>
          <w:szCs w:val="21"/>
        </w:rPr>
        <w:t xml:space="preserve"/>
      </w:r>
    </w:p>
    <w:p>
      <w:pPr>
        <w:spacing w:after="60"/>
      </w:pPr>
      <w:r>
        <w:rPr>
          <w:rFonts w:ascii="Microsoft JhengHei" w:cs="Microsoft JhengHei" w:eastAsia="Microsoft JhengHei" w:hAnsi="Microsoft JhengHei"/>
          <w:b/>
          <w:bCs/>
          <w:i w:val="false"/>
          <w:iCs w:val="false"/>
          <w:color w:val="1F3A5F"/>
          <w:sz w:val="20"/>
          <w:szCs w:val="20"/>
        </w:rPr>
        <w:t xml:space="preserve">字數： </w:t>
      </w:r>
      <w:r>
        <w:rPr>
          <w:rFonts w:ascii="Microsoft JhengHei" w:cs="Microsoft JhengHei" w:eastAsia="Microsoft JhengHei" w:hAnsi="Microsoft JhengHei"/>
          <w:b w:val="false"/>
          <w:bCs w:val="false"/>
          <w:i w:val="false"/>
          <w:iCs w:val="false"/>
          <w:color w:val="3A3A3A"/>
          <w:sz w:val="20"/>
          <w:szCs w:val="20"/>
        </w:rPr>
        <w:t xml:space="preserve">約 195 字（符合 Task 1 篇幅要求，並留有空間發展比較句）</w:t>
      </w:r>
    </w:p>
    <w:p>
      <w:pPr>
        <w:pStyle w:val="Heading1"/>
        <w:pBdr>
          <w:bottom w:val="single" w:color="D9760A" w:sz="12" w:space="4"/>
        </w:pBdr>
        <w:spacing w:after="160" w:before="340"/>
      </w:pPr>
      <w:r>
        <w:rPr>
          <w:rFonts w:ascii="Microsoft JhengHei" w:cs="Microsoft JhengHei" w:eastAsia="Microsoft JhengHei" w:hAnsi="Microsoft JhengHei"/>
          <w:b/>
          <w:bCs/>
          <w:i w:val="false"/>
          <w:iCs w:val="false"/>
          <w:color w:val="1F3A5F"/>
          <w:sz w:val="30"/>
          <w:szCs w:val="30"/>
        </w:rPr>
        <w:t xml:space="preserve">七、行動清單 Action Plan</w:t>
      </w:r>
    </w:p>
    <w:tbl>
      <w:tblPr>
        <w:tblW w:type="dxa" w:w="9746"/>
        <w:tblBorders>
          <w:top w:val="single" w:color="2E7D4F" w:sz="4"/>
          <w:left w:val="single" w:color="2E7D4F" w:sz="24"/>
          <w:bottom w:val="single" w:color="2E7D4F" w:sz="4"/>
          <w:right w:val="single" w:color="2E7D4F" w:sz="4"/>
          <w:insideH w:val="single" w:color="auto" w:sz="4"/>
          <w:insideV w:val="single" w:color="auto" w:sz="4"/>
        </w:tblBorders>
      </w:tblPr>
      <w:tblGrid>
        <w:gridCol w:w="9746"/>
      </w:tblGrid>
      <w:tr>
        <w:tc>
          <w:tcPr>
            <w:tcW w:type="dxa" w:w="9746"/>
            <w:shd w:fill="E9F5EC" w:val="clear"/>
            <w:tcMar>
              <w:top w:type="dxa" w:w="140"/>
              <w:left w:type="dxa" w:w="220"/>
              <w:bottom w:type="dxa" w:w="140"/>
              <w:right w:type="dxa" w:w="220"/>
            </w:tcMar>
          </w:tcPr>
          <w:p>
            <w:pPr>
              <w:spacing w:after="80"/>
            </w:pPr>
            <w:r>
              <w:rPr>
                <w:rFonts w:ascii="Microsoft JhengHei" w:cs="Microsoft JhengHei" w:eastAsia="Microsoft JhengHei" w:hAnsi="Microsoft JhengHei"/>
                <w:b/>
                <w:bCs/>
                <w:i w:val="false"/>
                <w:iCs w:val="false"/>
                <w:color w:val="2E7D4F"/>
                <w:sz w:val="21"/>
                <w:szCs w:val="21"/>
              </w:rPr>
              <w:t xml:space="preserve">結論 / 記憶點 ｜ 邁向 7.5 分：具體行動清單</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固定用四段式架構：改寫題目 → Overview（1-2句總覽） → Body 1 → Body 2（含至少 2 個對比句）。沒寫 Overview 直接扣頂。</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每次寫完，先問自己：「全圖組最重要的一個差異是什麼？」如果答案沒出現在文章前三句，代表 Overview 沒抓到重點。</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建立個人詞彙本，專門收集「搭配詞」錯誤（如 resource of fuel → fuel source），而不是單字本身——這是目前扣最多分的地方。</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流程圖固定使用被動語態描述機制動作（is fed / is transferred / is released），主動語態留給比較句（the stove does X, whereas the boiler does Y）。</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寫完後大聲朗讀一次全文，專門抓「拼對但選錯的字」（如 continent/container），這類錯誤文法檢查工具抓不到。</w:t>
            </w:r>
          </w:p>
          <w:p>
            <w:pPr>
              <w:spacing w:after="90" w:line="300"/>
              <w:ind w:left="260"/>
            </w:pPr>
            <w:r>
              <w:rPr>
                <w:rFonts w:ascii="Microsoft JhengHei" w:cs="Microsoft JhengHei" w:eastAsia="Microsoft JhengHei" w:hAnsi="Microsoft JhengHei"/>
                <w:b/>
                <w:bCs/>
                <w:i w:val="false"/>
                <w:iCs w:val="false"/>
                <w:color w:val="1F3A5F"/>
                <w:sz w:val="21"/>
                <w:szCs w:val="21"/>
              </w:rPr>
              <w:t xml:space="preserve">•  </w:t>
            </w:r>
            <w:r>
              <w:rPr>
                <w:rFonts w:ascii="Microsoft JhengHei" w:cs="Microsoft JhengHei" w:eastAsia="Microsoft JhengHei" w:hAnsi="Microsoft JhengHei"/>
                <w:b w:val="false"/>
                <w:bCs w:val="false"/>
                <w:i w:val="false"/>
                <w:iCs w:val="false"/>
                <w:color w:val="3A3A3A"/>
                <w:sz w:val="20"/>
                <w:szCs w:val="20"/>
              </w:rPr>
              <w:t xml:space="preserve">每週至少完成 2 篇 Task 1（機制圖 + 流程圖各一），並用本報告的架構自評，累積 4-6 週後 Band 7+ 是合理目標。</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b w:val="false"/>
        <w:bCs w:val="false"/>
        <w:i w:val="false"/>
        <w:iCs w:val="false"/>
        <w:color w:val="1F3A5F"/>
        <w:sz w:val="17"/>
        <w:szCs w:val="17"/>
      </w:rPr>
      <w:t xml:space="preserve">第 </w:t>
    </w:r>
    <w:r>
      <w:rPr>
        <w:rFonts w:ascii="Microsoft JhengHei" w:cs="Microsoft JhengHei" w:eastAsia="Microsoft JhengHei" w:hAnsi="Microsoft JhengHei"/>
        <w:color w:val="1F3A5F"/>
        <w:sz w:val="17"/>
        <w:szCs w:val="17"/>
      </w:rPr>
      <w:fldChar w:fldCharType="begin"/>
      <w:instrText xml:space="preserve">PAGE</w:instrText>
      <w:fldChar w:fldCharType="separate"/>
      <w:fldChar w:fldCharType="end"/>
    </w:r>
    <w:r>
      <w:rPr>
        <w:rFonts w:ascii="Microsoft JhengHei" w:cs="Microsoft JhengHei" w:eastAsia="Microsoft JhengHei" w:hAnsi="Microsoft JhengHei"/>
        <w:b w:val="false"/>
        <w:bCs w:val="false"/>
        <w:i w:val="false"/>
        <w:iCs w:val="false"/>
        <w:color w:val="1F3A5F"/>
        <w:sz w:val="17"/>
        <w:szCs w:val="17"/>
      </w:rPr>
      <w:t xml:space="preserve"> 頁 / 共 </w:t>
    </w:r>
    <w:r>
      <w:rPr>
        <w:rFonts w:ascii="Microsoft JhengHei" w:cs="Microsoft JhengHei" w:eastAsia="Microsoft JhengHei" w:hAnsi="Microsoft JhengHei"/>
        <w:color w:val="1F3A5F"/>
        <w:sz w:val="17"/>
        <w:szCs w:val="17"/>
      </w:rPr>
      <w:fldChar w:fldCharType="begin"/>
      <w:instrText xml:space="preserve">NUMPAGES</w:instrText>
      <w:fldChar w:fldCharType="separate"/>
      <w:fldChar w:fldCharType="end"/>
    </w:r>
    <w:r>
      <w:rPr>
        <w:rFonts w:ascii="Microsoft JhengHei" w:cs="Microsoft JhengHei" w:eastAsia="Microsoft JhengHei" w:hAnsi="Microsoft JhengHei"/>
        <w:b w:val="false"/>
        <w:bCs w:val="false"/>
        <w:i w:val="false"/>
        <w:iCs w:val="false"/>
        <w:color w:val="1F3A5F"/>
        <w:sz w:val="17"/>
        <w:szCs w:val="17"/>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026"/>
      </w:tabs>
    </w:pPr>
    <w:r>
      <w:rPr>
        <w:rFonts w:ascii="Microsoft JhengHei" w:cs="Microsoft JhengHei" w:eastAsia="Microsoft JhengHei" w:hAnsi="Microsoft JhengHei"/>
        <w:b/>
        <w:bCs/>
        <w:i w:val="false"/>
        <w:iCs w:val="false"/>
        <w:color w:val="1F3A5F"/>
        <w:sz w:val="17"/>
        <w:szCs w:val="17"/>
      </w:rPr>
      <w:t xml:space="preserve">IELTS Writing Task 1 批改報告</w:t>
    </w:r>
    <w:r>
      <w:rPr>
        <w:rFonts w:ascii="Microsoft JhengHei" w:cs="Microsoft JhengHei" w:eastAsia="Microsoft JhengHei" w:hAnsi="Microsoft JhengHei"/>
      </w:rPr>
      <w:t xml:space="preserve">	</w:t>
    </w:r>
    <w:r>
      <w:rPr>
        <w:rFonts w:ascii="Microsoft JhengHei" w:cs="Microsoft JhengHei" w:eastAsia="Microsoft JhengHei" w:hAnsi="Microsoft JhengHei"/>
        <w:b w:val="false"/>
        <w:bCs w:val="false"/>
        <w:i/>
        <w:iCs/>
        <w:color w:val="D9760A"/>
        <w:sz w:val="17"/>
        <w:szCs w:val="17"/>
      </w:rPr>
      <w:t xml:space="preserve">Pellet Stove vs. Pellet Boiler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2026-08-16T10:43:01.879Z</dcterms:created>
  <dcterms:modified xsi:type="dcterms:W3CDTF">2026-08-16T10:43:01.891Z</dcterms:modified>
</cp:coreProperties>
</file>

<file path=docProps/custom.xml><?xml version="1.0" encoding="utf-8"?>
<Properties xmlns="http://schemas.openxmlformats.org/officeDocument/2006/custom-properties" xmlns:vt="http://schemas.openxmlformats.org/officeDocument/2006/docPropsVTypes"/>
</file>