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Cell State Marker Gene Reference</w:t>
      </w:r>
    </w:p>
    <w:p>
      <w:pPr>
        <w:spacing w:after="300"/>
      </w:pPr>
      <w:r>
        <w:t xml:space="preserve">Literature-grounded marker gene panels for the pancreatic islet and liver cell-state models</w:t>
      </w:r>
    </w:p>
    <w:p>
      <w:pPr>
        <w:spacing w:after="120" w:before="200"/>
      </w:pPr>
      <w:r>
        <w:rPr>
          <w:b/>
          <w:bCs/>
          <w:sz w:val="26"/>
          <w:szCs w:val="26"/>
        </w:rPr>
        <w:t xml:space="preserve">Methodology</w:t>
      </w:r>
    </w:p>
    <w:p>
      <w:pPr>
        <w:spacing w:after="200"/>
      </w:pPr>
      <w:r>
        <w:t xml:space="preserve">Each cell state below is assigned a curated panel of marker genes intended to specifically and clearly distinguish that state from the baseline/mature state of the same cell type, grounded in single-cell atlas papers, disease-specific studies, and established immunology/cell-biology literature. The target panel size is 10-15 genes per state. Where a state is genuinely under-characterized in the literature (noted explicitly below), fewer genes are given rather than padding the panel with unsupported markers -- these states are flagged in the Notes column and should be treated as lower-confidence.</w:t>
      </w:r>
    </w:p>
    <w:p>
      <w:pPr>
        <w:spacing w:after="200"/>
      </w:pPr>
      <w:r>
        <w:t xml:space="preserve">Gene panels were compiled and cross-checked against primary literature (including targeted searches for less-canonical states such as beta-cell dedifferentiation/transdifferentiation, senescence, and liver zonation/fibrosis-resolution biology). Citations are listed at the end of each tissue section.</w:t>
      </w:r>
    </w:p>
    <w:p>
      <w:pPr>
        <w:pStyle w:val="Heading1"/>
        <w:pageBreakBefore/>
        <w:spacing w:after="200"/>
      </w:pPr>
      <w:r>
        <w:t xml:space="preserve">Pancreatic Islet Cell Types</w:t>
      </w:r>
    </w:p>
    <w:p>
      <w:pPr>
        <w:pStyle w:val="Heading2"/>
        <w:spacing w:after="100" w:before="200"/>
      </w:pPr>
      <w:r>
        <w:t xml:space="preserve">Beta cell</w:t>
      </w:r>
    </w:p>
    <w:p>
      <w:pPr>
        <w:pStyle w:val="Heading3"/>
        <w:spacing w:after="60" w:before="160"/>
      </w:pPr>
      <w:r>
        <w:t xml:space="preserve">Mature functional beta cell</w:t>
      </w:r>
    </w:p>
    <w:p>
      <w:pPr>
        <w:spacing w:after="60"/>
      </w:pPr>
      <w:r>
        <w:rPr>
          <w:b/>
          <w:bCs/>
          <w:sz w:val="20"/>
          <w:szCs w:val="20"/>
        </w:rPr>
        <w:t xml:space="preserve">Phenotype: </w:t>
      </w:r>
      <w:r>
        <w:rPr>
          <w:sz w:val="20"/>
          <w:szCs w:val="20"/>
        </w:rPr>
        <w:t xml:space="preserve">Canonical healthy beta cell</w:t>
      </w:r>
    </w:p>
    <w:p>
      <w:pPr>
        <w:spacing w:after="60"/>
      </w:pPr>
      <w:r>
        <w:rPr>
          <w:b/>
          <w:bCs/>
          <w:sz w:val="20"/>
          <w:szCs w:val="20"/>
        </w:rPr>
        <w:t xml:space="preserve">Marker genes (12): </w:t>
      </w:r>
      <w:r>
        <w:rPr>
          <w:sz w:val="20"/>
          <w:szCs w:val="20"/>
        </w:rPr>
        <w:t xml:space="preserve">INS, IAPP, PDX1, NKX6-1, MAFA, UCN3, PCSK1, SLC30A8, GCK, CHGA, ABCC8, KCNJ11</w:t>
      </w:r>
    </w:p>
    <w:p>
      <w:pPr>
        <w:spacing w:after="160"/>
      </w:pPr>
      <w:r>
        <w:rPr>
          <w:b/>
          <w:bCs/>
          <w:i/>
          <w:iCs/>
          <w:sz w:val="19"/>
          <w:szCs w:val="19"/>
        </w:rPr>
        <w:t xml:space="preserve">Notes: </w:t>
      </w:r>
      <w:r>
        <w:rPr>
          <w:i/>
          <w:iCs/>
          <w:sz w:val="19"/>
          <w:szCs w:val="19"/>
        </w:rPr>
        <w:t xml:space="preserve">Canonical mature beta-cell identity/function panel (transcription factors, hormone, prohormone convertase, glucose sensing, KATP channel); textbook/consensus markers used across human islet single-cell atlases (e.g., Segerstolpe et al. 2016 Cell Metab).</w:t>
      </w:r>
    </w:p>
    <w:p>
      <w:pPr>
        <w:pStyle w:val="Heading3"/>
        <w:spacing w:after="60" w:before="160"/>
      </w:pPr>
      <w:r>
        <w:t xml:space="preserve">Secretory-adapted beta cell</w:t>
      </w:r>
    </w:p>
    <w:p>
      <w:pPr>
        <w:spacing w:after="60"/>
      </w:pPr>
      <w:r>
        <w:rPr>
          <w:b/>
          <w:bCs/>
          <w:sz w:val="20"/>
          <w:szCs w:val="20"/>
        </w:rPr>
        <w:t xml:space="preserve">Phenotype: </w:t>
      </w:r>
      <w:r>
        <w:rPr>
          <w:sz w:val="20"/>
          <w:szCs w:val="20"/>
        </w:rPr>
        <w:t xml:space="preserve">Prolonged insulin demand; compensation, obesity, or pregnancy</w:t>
      </w:r>
    </w:p>
    <w:p>
      <w:pPr>
        <w:spacing w:after="60"/>
      </w:pPr>
      <w:r>
        <w:rPr>
          <w:b/>
          <w:bCs/>
          <w:sz w:val="20"/>
          <w:szCs w:val="20"/>
        </w:rPr>
        <w:t xml:space="preserve">Marker genes (13): </w:t>
      </w:r>
      <w:r>
        <w:rPr>
          <w:sz w:val="20"/>
          <w:szCs w:val="20"/>
        </w:rPr>
        <w:t xml:space="preserve">INS, IAPP, HSPA5, XBP1, PDIA6, CHGA, SCGN, CPE, PCSK1, PCSK2, PAM, VAMP2, CALR</w:t>
      </w:r>
    </w:p>
    <w:p>
      <w:pPr>
        <w:spacing w:after="160"/>
      </w:pPr>
      <w:r>
        <w:rPr>
          <w:b/>
          <w:bCs/>
          <w:i/>
          <w:iCs/>
          <w:sz w:val="19"/>
          <w:szCs w:val="19"/>
        </w:rPr>
        <w:t xml:space="preserve">Notes: </w:t>
      </w:r>
      <w:r>
        <w:rPr>
          <w:i/>
          <w:iCs/>
          <w:sz w:val="19"/>
          <w:szCs w:val="19"/>
        </w:rPr>
        <w:t xml:space="preserve">Reflects physiological (adaptive, non-terminal) UPR activation and increased prohormone-processing/secretory-granule capacity that accompanies compensatory insulin demand in pregnancy/obesity, distinct from the maladaptive terminal UPR of the er-stressed state (Lipson et al. 2006; Scheuner &amp; Kaufman 2008 Endocr Rev).</w:t>
      </w:r>
    </w:p>
    <w:p>
      <w:pPr>
        <w:pStyle w:val="Heading3"/>
        <w:spacing w:after="60" w:before="160"/>
      </w:pPr>
      <w:r>
        <w:t xml:space="preserve">ER-stressed beta cell</w:t>
      </w:r>
    </w:p>
    <w:p>
      <w:pPr>
        <w:spacing w:after="60"/>
      </w:pPr>
      <w:r>
        <w:rPr>
          <w:b/>
          <w:bCs/>
          <w:sz w:val="20"/>
          <w:szCs w:val="20"/>
        </w:rPr>
        <w:t xml:space="preserve">Phenotype: </w:t>
      </w:r>
      <w:r>
        <w:rPr>
          <w:sz w:val="20"/>
          <w:szCs w:val="20"/>
        </w:rPr>
        <w:t xml:space="preserve">Common across T2D, CFRD, and cytokine exposure</w:t>
      </w:r>
    </w:p>
    <w:p>
      <w:pPr>
        <w:spacing w:after="60"/>
      </w:pPr>
      <w:r>
        <w:rPr>
          <w:b/>
          <w:bCs/>
          <w:sz w:val="20"/>
          <w:szCs w:val="20"/>
        </w:rPr>
        <w:t xml:space="preserve">Marker genes (13): </w:t>
      </w:r>
      <w:r>
        <w:rPr>
          <w:sz w:val="20"/>
          <w:szCs w:val="20"/>
        </w:rPr>
        <w:t xml:space="preserve">DDIT3, HSPA5, HERPUD1, DNAJB9, PDIA4, ATF4, XBP1, ATF6, EIF2AK3, TRIB3, ATF3, PPP1R15A, CALR</w:t>
      </w:r>
    </w:p>
    <w:p>
      <w:pPr>
        <w:spacing w:after="160"/>
      </w:pPr>
      <w:r>
        <w:rPr>
          <w:b/>
          <w:bCs/>
          <w:i/>
          <w:iCs/>
          <w:sz w:val="19"/>
          <w:szCs w:val="19"/>
        </w:rPr>
        <w:t xml:space="preserve">Notes: </w:t>
      </w:r>
      <w:r>
        <w:rPr>
          <w:i/>
          <w:iCs/>
          <w:sz w:val="19"/>
          <w:szCs w:val="19"/>
        </w:rPr>
        <w:t xml:space="preserve">Terminal/maladaptive UPR signature (PERK-ATF4-CHOP and IRE1-XBP1 arms) documented in T1D/T2D/CFRD islets and cytokine-exposed beta cells (Marhfour et al. 2012 Diabetologia; Eizirik &amp; Cnop reviews).</w:t>
      </w:r>
    </w:p>
    <w:p>
      <w:pPr>
        <w:pStyle w:val="Heading3"/>
        <w:spacing w:after="60" w:before="160"/>
      </w:pPr>
      <w:r>
        <w:t xml:space="preserve">Inflammatory response beta cell</w:t>
      </w:r>
    </w:p>
    <w:p>
      <w:pPr>
        <w:spacing w:after="60"/>
      </w:pPr>
      <w:r>
        <w:rPr>
          <w:b/>
          <w:bCs/>
          <w:sz w:val="20"/>
          <w:szCs w:val="20"/>
        </w:rPr>
        <w:t xml:space="preserve">Phenotype: </w:t>
      </w:r>
      <w:r>
        <w:rPr>
          <w:sz w:val="20"/>
          <w:szCs w:val="20"/>
        </w:rPr>
        <w:t xml:space="preserve">Typical of early T1D or cytokine-driven inflammatory exposure</w:t>
      </w:r>
    </w:p>
    <w:p>
      <w:pPr>
        <w:spacing w:after="60"/>
      </w:pPr>
      <w:r>
        <w:rPr>
          <w:b/>
          <w:bCs/>
          <w:sz w:val="20"/>
          <w:szCs w:val="20"/>
        </w:rPr>
        <w:t xml:space="preserve">Marker genes (13): </w:t>
      </w:r>
      <w:r>
        <w:rPr>
          <w:sz w:val="20"/>
          <w:szCs w:val="20"/>
        </w:rPr>
        <w:t xml:space="preserve">STAT1, IFIT1, IFI44L, MX1, ISG15, HLA-A, B2M, CXCL10, HLA-B, TAP1, IRF1, OAS1, PSMB9</w:t>
      </w:r>
    </w:p>
    <w:p>
      <w:pPr>
        <w:spacing w:after="160"/>
      </w:pPr>
      <w:r>
        <w:rPr>
          <w:b/>
          <w:bCs/>
          <w:i/>
          <w:iCs/>
          <w:sz w:val="19"/>
          <w:szCs w:val="19"/>
        </w:rPr>
        <w:t xml:space="preserve">Notes: </w:t>
      </w:r>
      <w:r>
        <w:rPr>
          <w:i/>
          <w:iCs/>
          <w:sz w:val="19"/>
          <w:szCs w:val="19"/>
        </w:rPr>
        <w:t xml:space="preserve">Type I/II interferon-stimulated gene and MHC-I hyperexpression signature described in early/insulitic T1D beta cells (Russell et al. 2019 Diabetes; Marroqui et al. 2017 studies of cytokine-exposed islets).</w:t>
      </w:r>
    </w:p>
    <w:p>
      <w:pPr>
        <w:pStyle w:val="Heading3"/>
        <w:spacing w:after="60" w:before="160"/>
      </w:pPr>
      <w:r>
        <w:t xml:space="preserve">Glucolipotoxicity beta cell</w:t>
      </w:r>
    </w:p>
    <w:p>
      <w:pPr>
        <w:spacing w:after="60"/>
      </w:pPr>
      <w:r>
        <w:rPr>
          <w:b/>
          <w:bCs/>
          <w:sz w:val="20"/>
          <w:szCs w:val="20"/>
        </w:rPr>
        <w:t xml:space="preserve">Phenotype: </w:t>
      </w:r>
      <w:r>
        <w:rPr>
          <w:sz w:val="20"/>
          <w:szCs w:val="20"/>
        </w:rPr>
        <w:t xml:space="preserve">Combined high glucose and elevated lipid exposure, often associated with metabolic stress in T2D</w:t>
      </w:r>
    </w:p>
    <w:p>
      <w:pPr>
        <w:spacing w:after="60"/>
      </w:pPr>
      <w:r>
        <w:rPr>
          <w:b/>
          <w:bCs/>
          <w:sz w:val="20"/>
          <w:szCs w:val="20"/>
        </w:rPr>
        <w:t xml:space="preserve">Marker genes (13): </w:t>
      </w:r>
      <w:r>
        <w:rPr>
          <w:sz w:val="20"/>
          <w:szCs w:val="20"/>
        </w:rPr>
        <w:t xml:space="preserve">TXNIP, SCD, CD36, PLIN2, DDIT3, HSPA5, SOD2, CPT1A, CXCL10, ELOVL6, ACSL4, DGAT2, CERS2</w:t>
      </w:r>
    </w:p>
    <w:p>
      <w:pPr>
        <w:spacing w:after="160"/>
      </w:pPr>
      <w:r>
        <w:rPr>
          <w:b/>
          <w:bCs/>
          <w:i/>
          <w:iCs/>
          <w:sz w:val="19"/>
          <w:szCs w:val="19"/>
        </w:rPr>
        <w:t xml:space="preserve">Notes: </w:t>
      </w:r>
      <w:r>
        <w:rPr>
          <w:i/>
          <w:iCs/>
          <w:sz w:val="19"/>
          <w:szCs w:val="19"/>
        </w:rPr>
        <w:t xml:space="preserve">Combined high glucose (TXNIP induction) and elevated free fatty acid signature (lipid droplet/ceramide/lipogenic and oxidative-stress genes) seen in glucolipotoxic beta-cell models relevant to T2D (Poitout &amp; Robertson 2008 Endocr Rev; Cnop lab lipotoxicity/ceramide studies).</w:t>
      </w:r>
    </w:p>
    <w:p>
      <w:pPr>
        <w:pStyle w:val="Heading3"/>
        <w:spacing w:after="60" w:before="160"/>
      </w:pPr>
      <w:r>
        <w:t xml:space="preserve">Dedifferentiated beta cell</w:t>
      </w:r>
    </w:p>
    <w:p>
      <w:pPr>
        <w:spacing w:after="60"/>
      </w:pPr>
      <w:r>
        <w:rPr>
          <w:b/>
          <w:bCs/>
          <w:sz w:val="20"/>
          <w:szCs w:val="20"/>
        </w:rPr>
        <w:t xml:space="preserve">Phenotype: </w:t>
      </w:r>
      <w:r>
        <w:rPr>
          <w:sz w:val="20"/>
          <w:szCs w:val="20"/>
        </w:rPr>
        <w:t xml:space="preserve">Loss of mature beta-cell identity toward an ALDH1A3+ progenitor-like state, described in type 2 diabetes and aging</w:t>
      </w:r>
    </w:p>
    <w:p>
      <w:pPr>
        <w:spacing w:after="60"/>
      </w:pPr>
      <w:r>
        <w:rPr>
          <w:b/>
          <w:bCs/>
          <w:sz w:val="20"/>
          <w:szCs w:val="20"/>
        </w:rPr>
        <w:t xml:space="preserve">Marker genes (12): </w:t>
      </w:r>
      <w:r>
        <w:rPr>
          <w:sz w:val="20"/>
          <w:szCs w:val="20"/>
        </w:rPr>
        <w:t xml:space="preserve">ALDH1A3, SOX9, NEUROG3, HES1, GATA6, MYCL, SMOC1, LDHA, SLC16A1, NKX2-2, PDX1, FOXO1</w:t>
      </w:r>
    </w:p>
    <w:p>
      <w:pPr>
        <w:spacing w:after="160"/>
      </w:pPr>
      <w:r>
        <w:rPr>
          <w:b/>
          <w:bCs/>
          <w:i/>
          <w:iCs/>
          <w:sz w:val="19"/>
          <w:szCs w:val="19"/>
        </w:rPr>
        <w:t xml:space="preserve">Notes: </w:t>
      </w:r>
      <w:r>
        <w:rPr>
          <w:i/>
          <w:iCs/>
          <w:sz w:val="19"/>
          <w:szCs w:val="19"/>
        </w:rPr>
        <w:t xml:space="preserve">Verified via WebSearch. Loss of mature identity toward a progenitor/multipotent-like and 'disallowed-gene'-expressing state: ALDH1A3/SOX9/NEUROG3/HES1/GATA6/FOXO1(nuclear exclusion) from Talchai et al. 2012 Cell and Cinti et al. 2016 JCEM (human T2D); LDHA/SLC16A1 are classic 'disallowed genes' re-expressed on identity loss (Pullen &amp; Rutter 2013); SMOC1 is a newly identified (2025) alpha-lineage gene ectopically induced in dedifferentiating beta cells.</w:t>
      </w:r>
    </w:p>
    <w:p>
      <w:pPr>
        <w:pStyle w:val="Heading3"/>
        <w:spacing w:after="60" w:before="160"/>
      </w:pPr>
      <w:r>
        <w:t xml:space="preserve">Transdifferentiated beta cell</w:t>
      </w:r>
    </w:p>
    <w:p>
      <w:pPr>
        <w:spacing w:after="60"/>
      </w:pPr>
      <w:r>
        <w:rPr>
          <w:b/>
          <w:bCs/>
          <w:sz w:val="20"/>
          <w:szCs w:val="20"/>
        </w:rPr>
        <w:t xml:space="preserve">Phenotype: </w:t>
      </w:r>
      <w:r>
        <w:rPr>
          <w:sz w:val="20"/>
          <w:szCs w:val="20"/>
        </w:rPr>
        <w:t xml:space="preserve">Beta-to-alpha lineage conversion with ectopic glucagon expression, an extreme form of beta-cell plasticity reported in longstanding diabetes</w:t>
      </w:r>
    </w:p>
    <w:p>
      <w:pPr>
        <w:spacing w:after="60"/>
      </w:pPr>
      <w:r>
        <w:rPr>
          <w:b/>
          <w:bCs/>
          <w:sz w:val="20"/>
          <w:szCs w:val="20"/>
        </w:rPr>
        <w:t xml:space="preserve">Marker genes (10): </w:t>
      </w:r>
      <w:r>
        <w:rPr>
          <w:sz w:val="20"/>
          <w:szCs w:val="20"/>
        </w:rPr>
        <w:t xml:space="preserve">ARX, MAFB, GCG, ALDH1A3, IRX2, POU6F2, FEV, KCNJ3, SV2B, SMOC1</w:t>
      </w:r>
    </w:p>
    <w:p>
      <w:pPr>
        <w:spacing w:after="160"/>
      </w:pPr>
      <w:r>
        <w:rPr>
          <w:b/>
          <w:bCs/>
          <w:i/>
          <w:iCs/>
          <w:sz w:val="19"/>
          <w:szCs w:val="19"/>
        </w:rPr>
        <w:t xml:space="preserve">Notes: </w:t>
      </w:r>
      <w:r>
        <w:rPr>
          <w:i/>
          <w:iCs/>
          <w:sz w:val="19"/>
          <w:szCs w:val="19"/>
        </w:rPr>
        <w:t xml:space="preserve">Verified via WebSearch. Beta-to-alpha lineage conversion signature (ectopic acquisition of full alpha-cell transcriptional program) from human islet studies of longstanding diabetes (Spijker et al. 2015 Diabetes; SMOC1 trajectory-inference paper, Nat Commun 2025).</w:t>
      </w:r>
    </w:p>
    <w:p>
      <w:pPr>
        <w:pStyle w:val="Heading3"/>
        <w:spacing w:after="60" w:before="160"/>
      </w:pPr>
      <w:r>
        <w:t xml:space="preserve">Proliferating beta cell</w:t>
      </w:r>
    </w:p>
    <w:p>
      <w:pPr>
        <w:spacing w:after="60"/>
      </w:pPr>
      <w:r>
        <w:rPr>
          <w:b/>
          <w:bCs/>
          <w:sz w:val="20"/>
          <w:szCs w:val="20"/>
        </w:rPr>
        <w:t xml:space="preserve">Phenotype: </w:t>
      </w:r>
      <w:r>
        <w:rPr>
          <w:sz w:val="20"/>
          <w:szCs w:val="20"/>
        </w:rPr>
        <w:t xml:space="preserve">Compensatory beta-cell replication seen in pregnancy, obesity, and early compensatory hyperplasia; identity is largely retained while cycling</w:t>
      </w:r>
    </w:p>
    <w:p>
      <w:pPr>
        <w:spacing w:after="60"/>
      </w:pPr>
      <w:r>
        <w:rPr>
          <w:b/>
          <w:bCs/>
          <w:sz w:val="20"/>
          <w:szCs w:val="20"/>
        </w:rPr>
        <w:t xml:space="preserve">Marker genes (12): </w:t>
      </w:r>
      <w:r>
        <w:rPr>
          <w:sz w:val="20"/>
          <w:szCs w:val="20"/>
        </w:rPr>
        <w:t xml:space="preserve">MKI67, TOP2A, CCNB1, INS, PDX1, FOXM1, CCND2, CCND1, PLK1, CENPA, BIRC5, PCNA</w:t>
      </w:r>
    </w:p>
    <w:p>
      <w:pPr>
        <w:spacing w:after="160"/>
      </w:pPr>
      <w:r>
        <w:rPr>
          <w:b/>
          <w:bCs/>
          <w:i/>
          <w:iCs/>
          <w:sz w:val="19"/>
          <w:szCs w:val="19"/>
        </w:rPr>
        <w:t xml:space="preserve">Notes: </w:t>
      </w:r>
      <w:r>
        <w:rPr>
          <w:i/>
          <w:iCs/>
          <w:sz w:val="19"/>
          <w:szCs w:val="19"/>
        </w:rPr>
        <w:t xml:space="preserve">Verified via WebSearch. Compensatory replication signature retaining identity genes; FOXM1/CCND2/PLK1/CENPA axis and BIRC5 are established drivers of adaptive human beta-cell proliferation in obesity/pregnancy (Zhong lab FoxM1 studies; Aguayo-Mazzucato/Bonner-Weir compensatory expansion literature).</w:t>
      </w:r>
    </w:p>
    <w:p>
      <w:pPr>
        <w:pStyle w:val="Heading3"/>
        <w:spacing w:after="60" w:before="160"/>
      </w:pPr>
      <w:r>
        <w:t xml:space="preserve">Senescent beta cell</w:t>
      </w:r>
    </w:p>
    <w:p>
      <w:pPr>
        <w:spacing w:after="60"/>
      </w:pPr>
      <w:r>
        <w:rPr>
          <w:b/>
          <w:bCs/>
          <w:sz w:val="20"/>
          <w:szCs w:val="20"/>
        </w:rPr>
        <w:t xml:space="preserve">Phenotype: </w:t>
      </w:r>
      <w:r>
        <w:rPr>
          <w:sz w:val="20"/>
          <w:szCs w:val="20"/>
        </w:rPr>
        <w:t xml:space="preserve">Cell-cycle-arrested, apoptosis-resistant beta cell with a senescence-associated secretory phenotype (SASP), implicated in aging and type 2 diabetes</w:t>
      </w:r>
    </w:p>
    <w:p>
      <w:pPr>
        <w:spacing w:after="60"/>
      </w:pPr>
      <w:r>
        <w:rPr>
          <w:b/>
          <w:bCs/>
          <w:sz w:val="20"/>
          <w:szCs w:val="20"/>
        </w:rPr>
        <w:t xml:space="preserve">Marker genes (10): </w:t>
      </w:r>
      <w:r>
        <w:rPr>
          <w:sz w:val="20"/>
          <w:szCs w:val="20"/>
        </w:rPr>
        <w:t xml:space="preserve">CDKN2A, CDKN1A, GDF15, SERPINE1, CCL2, TP53, B2M, IL1B, GLB1, TNFRSF1B</w:t>
      </w:r>
    </w:p>
    <w:p>
      <w:pPr>
        <w:spacing w:after="160"/>
      </w:pPr>
      <w:r>
        <w:rPr>
          <w:b/>
          <w:bCs/>
          <w:i/>
          <w:iCs/>
          <w:sz w:val="19"/>
          <w:szCs w:val="19"/>
        </w:rPr>
        <w:t xml:space="preserve">Notes: </w:t>
      </w:r>
      <w:r>
        <w:rPr>
          <w:i/>
          <w:iCs/>
          <w:sz w:val="19"/>
          <w:szCs w:val="19"/>
        </w:rPr>
        <w:t xml:space="preserve">Verified via WebSearch. p16/CDKN2A (stable arrest) and p21/CDKN1A (early arrest) plus SASP factors (GDF15, SERPINE1/PAI-1, CCL2, IL1B) from Aguayo-Mazzucato et al. 2019 Cell Metab and Thompson et al. 2019 Cell Metab; B2M was used as a cell-surface sorting marker for senescent human beta cells in the same studies; GLB1 encodes SA-beta-galactosidase, the classical senescence enzyme marker.</w:t>
      </w:r>
    </w:p>
    <w:p>
      <w:pPr>
        <w:pStyle w:val="Heading2"/>
        <w:spacing w:after="100" w:before="200"/>
      </w:pPr>
      <w:r>
        <w:t xml:space="preserve">Alpha cell</w:t>
      </w:r>
    </w:p>
    <w:p>
      <w:pPr>
        <w:pStyle w:val="Heading3"/>
        <w:spacing w:after="60" w:before="160"/>
      </w:pPr>
      <w:r>
        <w:t xml:space="preserve">Mature functional alpha cell</w:t>
      </w:r>
    </w:p>
    <w:p>
      <w:pPr>
        <w:spacing w:after="60"/>
      </w:pPr>
      <w:r>
        <w:rPr>
          <w:b/>
          <w:bCs/>
          <w:sz w:val="20"/>
          <w:szCs w:val="20"/>
        </w:rPr>
        <w:t xml:space="preserve">Phenotype: </w:t>
      </w:r>
      <w:r>
        <w:rPr>
          <w:sz w:val="20"/>
          <w:szCs w:val="20"/>
        </w:rPr>
        <w:t xml:space="preserve">Canonical healthy alpha cell</w:t>
      </w:r>
    </w:p>
    <w:p>
      <w:pPr>
        <w:spacing w:after="60"/>
      </w:pPr>
      <w:r>
        <w:rPr>
          <w:b/>
          <w:bCs/>
          <w:sz w:val="20"/>
          <w:szCs w:val="20"/>
        </w:rPr>
        <w:t xml:space="preserve">Marker genes (12): </w:t>
      </w:r>
      <w:r>
        <w:rPr>
          <w:sz w:val="20"/>
          <w:szCs w:val="20"/>
        </w:rPr>
        <w:t xml:space="preserve">GCG, ARX, MAFB, TTR, IRX2, IRX1, PAX6, FEV, LOXL4, CRYBA2, GC, SLC7A2</w:t>
      </w:r>
    </w:p>
    <w:p>
      <w:pPr>
        <w:spacing w:after="160"/>
      </w:pPr>
      <w:r>
        <w:rPr>
          <w:b/>
          <w:bCs/>
          <w:i/>
          <w:iCs/>
          <w:sz w:val="19"/>
          <w:szCs w:val="19"/>
        </w:rPr>
        <w:t xml:space="preserve">Notes: </w:t>
      </w:r>
      <w:r>
        <w:rPr>
          <w:i/>
          <w:iCs/>
          <w:sz w:val="19"/>
          <w:szCs w:val="19"/>
        </w:rPr>
        <w:t xml:space="preserve">Verified via WebSearch. Canonical alpha-cell identity/marker panel including transcription factors and human-alpha-enriched surface/secreted markers identified in single-cell islet atlases (LOXL4, CRYBA2, GC, SLC7A2 recur across human alpha-cell scRNA-seq studies; SLC7A2 confirmed functionally required for alpha-cell proliferation/secretion, JCI 2024).</w:t>
      </w:r>
    </w:p>
    <w:p>
      <w:pPr>
        <w:pStyle w:val="Heading3"/>
        <w:spacing w:after="60" w:before="160"/>
      </w:pPr>
      <w:r>
        <w:t xml:space="preserve">Hyperglucagonemic alpha cell</w:t>
      </w:r>
    </w:p>
    <w:p>
      <w:pPr>
        <w:spacing w:after="60"/>
      </w:pPr>
      <w:r>
        <w:rPr>
          <w:b/>
          <w:bCs/>
          <w:sz w:val="20"/>
          <w:szCs w:val="20"/>
        </w:rPr>
        <w:t xml:space="preserve">Phenotype: </w:t>
      </w:r>
      <w:r>
        <w:rPr>
          <w:sz w:val="20"/>
          <w:szCs w:val="20"/>
        </w:rPr>
        <w:t xml:space="preserve">Chronic hyperglycemia-driven overactivity seen in T2D</w:t>
      </w:r>
    </w:p>
    <w:p>
      <w:pPr>
        <w:spacing w:after="60"/>
      </w:pPr>
      <w:r>
        <w:rPr>
          <w:b/>
          <w:bCs/>
          <w:sz w:val="20"/>
          <w:szCs w:val="20"/>
        </w:rPr>
        <w:t xml:space="preserve">Marker genes (9): </w:t>
      </w:r>
      <w:r>
        <w:rPr>
          <w:sz w:val="20"/>
          <w:szCs w:val="20"/>
        </w:rPr>
        <w:t xml:space="preserve">GCG, PCSK2, CHGA, SLC7A2, SLC38A5, ARX, MAFB, TTR, TXNIP</w:t>
      </w:r>
    </w:p>
    <w:p>
      <w:pPr>
        <w:spacing w:after="160"/>
      </w:pPr>
      <w:r>
        <w:rPr>
          <w:b/>
          <w:bCs/>
          <w:i/>
          <w:iCs/>
          <w:sz w:val="19"/>
          <w:szCs w:val="19"/>
        </w:rPr>
        <w:t xml:space="preserve">Notes: </w:t>
      </w:r>
      <w:r>
        <w:rPr>
          <w:i/>
          <w:iCs/>
          <w:sz w:val="19"/>
          <w:szCs w:val="19"/>
        </w:rPr>
        <w:t xml:space="preserve">Verified via WebSearch; fewer than 10 genes because a distinct human single-cell transcriptomic signature for chronic hyperglucagonemia (as opposed to physiology) is not well established. SLC38A5/SLC7A2 amino-acid transporter induction is documented in the liver-alpha-cell axis literature on glucagon receptor resistance/hyperglucagonemia (Kim et al. 2017 Cell Metab; Dean lab SLC7A2 studies, JCI 2024); remaining genes reflect increased glucagon biosynthetic machinery.</w:t>
      </w:r>
    </w:p>
    <w:p>
      <w:pPr>
        <w:pStyle w:val="Heading3"/>
        <w:spacing w:after="60" w:before="160"/>
      </w:pPr>
      <w:r>
        <w:t xml:space="preserve">Dedifferentiated alpha cell</w:t>
      </w:r>
    </w:p>
    <w:p>
      <w:pPr>
        <w:spacing w:after="60"/>
      </w:pPr>
      <w:r>
        <w:rPr>
          <w:b/>
          <w:bCs/>
          <w:sz w:val="20"/>
          <w:szCs w:val="20"/>
        </w:rPr>
        <w:t xml:space="preserve">Phenotype: </w:t>
      </w:r>
      <w:r>
        <w:rPr>
          <w:sz w:val="20"/>
          <w:szCs w:val="20"/>
        </w:rPr>
        <w:t xml:space="preserve">Loss of alpha identity reported in long-standing T1D and T2D</w:t>
      </w:r>
    </w:p>
    <w:p>
      <w:pPr>
        <w:spacing w:after="60"/>
      </w:pPr>
      <w:r>
        <w:rPr>
          <w:b/>
          <w:bCs/>
          <w:sz w:val="20"/>
          <w:szCs w:val="20"/>
        </w:rPr>
        <w:t xml:space="preserve">Marker genes (8): </w:t>
      </w:r>
      <w:r>
        <w:rPr>
          <w:sz w:val="20"/>
          <w:szCs w:val="20"/>
        </w:rPr>
        <w:t xml:space="preserve">PAX4, SOX9, NKX6-1, PDX1, INS, MAFA, GATA6, HES1</w:t>
      </w:r>
    </w:p>
    <w:p>
      <w:pPr>
        <w:spacing w:after="160"/>
      </w:pPr>
      <w:r>
        <w:rPr>
          <w:b/>
          <w:bCs/>
          <w:i/>
          <w:iCs/>
          <w:sz w:val="19"/>
          <w:szCs w:val="19"/>
        </w:rPr>
        <w:t xml:space="preserve">Notes: </w:t>
      </w:r>
      <w:r>
        <w:rPr>
          <w:i/>
          <w:iCs/>
          <w:sz w:val="19"/>
          <w:szCs w:val="19"/>
        </w:rPr>
        <w:t xml:space="preserve">Verified via WebSearch; fewer than 10 genes as human evidence for alpha-cell dedifferentiation is much thinner than for beta cells. PAX4 gain and reduced ARX with increased NKX6.1 in alpha cells accompanying reduced beta-cell mass was directly shown in human pancreas (Sci Rep 2021, 'Increased NKX6.1... decreased ARX expression in alpha cells'); SOX9/GATA6/HES1 are shared progenitor-reversion markers by analogy to beta-cell dedifferentiation literature.</w:t>
      </w:r>
    </w:p>
    <w:p>
      <w:pPr>
        <w:pStyle w:val="Heading3"/>
        <w:spacing w:after="60" w:before="160"/>
      </w:pPr>
      <w:r>
        <w:t xml:space="preserve">Inflammatory response alpha cell</w:t>
      </w:r>
    </w:p>
    <w:p>
      <w:pPr>
        <w:spacing w:after="60"/>
      </w:pPr>
      <w:r>
        <w:rPr>
          <w:b/>
          <w:bCs/>
          <w:sz w:val="20"/>
          <w:szCs w:val="20"/>
        </w:rPr>
        <w:t xml:space="preserve">Phenotype: </w:t>
      </w:r>
      <w:r>
        <w:rPr>
          <w:sz w:val="20"/>
          <w:szCs w:val="20"/>
        </w:rPr>
        <w:t xml:space="preserve">Cytokine and interferon exposure typical of insulitis in T1D</w:t>
      </w:r>
    </w:p>
    <w:p>
      <w:pPr>
        <w:spacing w:after="60"/>
      </w:pPr>
      <w:r>
        <w:rPr>
          <w:b/>
          <w:bCs/>
          <w:sz w:val="20"/>
          <w:szCs w:val="20"/>
        </w:rPr>
        <w:t xml:space="preserve">Marker genes (11): </w:t>
      </w:r>
      <w:r>
        <w:rPr>
          <w:sz w:val="20"/>
          <w:szCs w:val="20"/>
        </w:rPr>
        <w:t xml:space="preserve">STAT1, IFIT1, B2M, IFI44L, MX1, ISG15, HLA-A, HLA-B, TAP1, CXCL10, IRF1</w:t>
      </w:r>
    </w:p>
    <w:p>
      <w:pPr>
        <w:spacing w:after="160"/>
      </w:pPr>
      <w:r>
        <w:rPr>
          <w:b/>
          <w:bCs/>
          <w:i/>
          <w:iCs/>
          <w:sz w:val="19"/>
          <w:szCs w:val="19"/>
        </w:rPr>
        <w:t xml:space="preserve">Notes: </w:t>
      </w:r>
      <w:r>
        <w:rPr>
          <w:i/>
          <w:iCs/>
          <w:sz w:val="19"/>
          <w:szCs w:val="19"/>
        </w:rPr>
        <w:t xml:space="preserve">Interferon-stimulated gene/MHC-I signature also documented in alpha cells during insulitis, with alpha cells showing even stronger basal and induced immune/HLA responses than beta cells in T1D single-cell studies (Russell et al. 2019 Diabetes).</w:t>
      </w:r>
    </w:p>
    <w:p>
      <w:pPr>
        <w:pStyle w:val="Heading2"/>
        <w:spacing w:after="100" w:before="200"/>
      </w:pPr>
      <w:r>
        <w:t xml:space="preserve">Delta cell</w:t>
      </w:r>
    </w:p>
    <w:p>
      <w:pPr>
        <w:pStyle w:val="Heading3"/>
        <w:spacing w:after="60" w:before="160"/>
      </w:pPr>
      <w:r>
        <w:t xml:space="preserve">Mature functional delta cell</w:t>
      </w:r>
    </w:p>
    <w:p>
      <w:pPr>
        <w:spacing w:after="60"/>
      </w:pPr>
      <w:r>
        <w:rPr>
          <w:b/>
          <w:bCs/>
          <w:sz w:val="20"/>
          <w:szCs w:val="20"/>
        </w:rPr>
        <w:t xml:space="preserve">Phenotype: </w:t>
      </w:r>
      <w:r>
        <w:rPr>
          <w:sz w:val="20"/>
          <w:szCs w:val="20"/>
        </w:rPr>
        <w:t xml:space="preserve">Canonical healthy delta cell providing paracrine inhibition of insulin and glucagon release</w:t>
      </w:r>
    </w:p>
    <w:p>
      <w:pPr>
        <w:spacing w:after="60"/>
      </w:pPr>
      <w:r>
        <w:rPr>
          <w:b/>
          <w:bCs/>
          <w:sz w:val="20"/>
          <w:szCs w:val="20"/>
        </w:rPr>
        <w:t xml:space="preserve">Marker genes (11): </w:t>
      </w:r>
      <w:r>
        <w:rPr>
          <w:sz w:val="20"/>
          <w:szCs w:val="20"/>
        </w:rPr>
        <w:t xml:space="preserve">SST, HHEX, RBP4, LEPR, GHSR, PCSK1, CPE, PAM, CHGA, PDX1, FFAR4</w:t>
      </w:r>
    </w:p>
    <w:p>
      <w:pPr>
        <w:spacing w:after="160"/>
      </w:pPr>
      <w:r>
        <w:rPr>
          <w:b/>
          <w:bCs/>
          <w:i/>
          <w:iCs/>
          <w:sz w:val="19"/>
          <w:szCs w:val="19"/>
        </w:rPr>
        <w:t xml:space="preserve">Notes: </w:t>
      </w:r>
      <w:r>
        <w:rPr>
          <w:i/>
          <w:iCs/>
          <w:sz w:val="19"/>
          <w:szCs w:val="19"/>
        </w:rPr>
        <w:t xml:space="preserve">Verified via WebSearch. HHEX, RBP4, LEPR (leptin receptor), and GHSR (ghrelin receptor, mediates paracrine ghrelin regulation of somatostatin secretion) are established delta-cell-enriched markers from purified islet-subpopulation transcriptomics (Adriaenssens et al. 2016 Diabetologia; DiGruccio et al. 2016 Mol Metab).</w:t>
      </w:r>
    </w:p>
    <w:p>
      <w:pPr>
        <w:pStyle w:val="Heading3"/>
        <w:spacing w:after="60" w:before="160"/>
      </w:pPr>
      <w:r>
        <w:t xml:space="preserve">Hypersecretory delta cell</w:t>
      </w:r>
    </w:p>
    <w:p>
      <w:pPr>
        <w:spacing w:after="60"/>
      </w:pPr>
      <w:r>
        <w:rPr>
          <w:b/>
          <w:bCs/>
          <w:sz w:val="20"/>
          <w:szCs w:val="20"/>
        </w:rPr>
        <w:t xml:space="preserve">Phenotype: </w:t>
      </w:r>
      <w:r>
        <w:rPr>
          <w:sz w:val="20"/>
          <w:szCs w:val="20"/>
        </w:rPr>
        <w:t xml:space="preserve">Increased somatostatin tone reported in some models of islet dysfunction and aging</w:t>
      </w:r>
    </w:p>
    <w:p>
      <w:pPr>
        <w:spacing w:after="60"/>
      </w:pPr>
      <w:r>
        <w:rPr>
          <w:b/>
          <w:bCs/>
          <w:sz w:val="20"/>
          <w:szCs w:val="20"/>
        </w:rPr>
        <w:t xml:space="preserve">Marker genes (7): </w:t>
      </w:r>
      <w:r>
        <w:rPr>
          <w:sz w:val="20"/>
          <w:szCs w:val="20"/>
        </w:rPr>
        <w:t xml:space="preserve">SST, PCSK1, LEPR, GHSR, CHGA, PCSK2, HHEX</w:t>
      </w:r>
    </w:p>
    <w:p>
      <w:pPr>
        <w:spacing w:after="160"/>
      </w:pPr>
      <w:r>
        <w:rPr>
          <w:b/>
          <w:bCs/>
          <w:i/>
          <w:iCs/>
          <w:sz w:val="19"/>
          <w:szCs w:val="19"/>
        </w:rPr>
        <w:t xml:space="preserve">Notes: </w:t>
      </w:r>
      <w:r>
        <w:rPr>
          <w:i/>
          <w:iCs/>
          <w:sz w:val="19"/>
          <w:szCs w:val="19"/>
        </w:rPr>
        <w:t xml:space="preserve">Verified via WebSearch; fewer than 10 genes because a discrete 'hypersecretory' delta-cell transcriptional state is not clearly defined in the literature. Genes reflect somatostatin biosynthesis/secretion machinery and the known leptin-LEPR and ghrelin-GHSR regulatory loops shown to modulate delta-cell somatostatin output (leptin regulates delta-cell somatostatin secretion, ADA meeting abstract/Diabetes 2023; Adriaenssens et al. 2016).</w:t>
      </w:r>
    </w:p>
    <w:p>
      <w:pPr>
        <w:pStyle w:val="Heading3"/>
        <w:spacing w:after="60" w:before="160"/>
      </w:pPr>
      <w:r>
        <w:t xml:space="preserve">Inflammatory response delta cell</w:t>
      </w:r>
    </w:p>
    <w:p>
      <w:pPr>
        <w:spacing w:after="60"/>
      </w:pPr>
      <w:r>
        <w:rPr>
          <w:b/>
          <w:bCs/>
          <w:sz w:val="20"/>
          <w:szCs w:val="20"/>
        </w:rPr>
        <w:t xml:space="preserve">Phenotype: </w:t>
      </w:r>
      <w:r>
        <w:rPr>
          <w:sz w:val="20"/>
          <w:szCs w:val="20"/>
        </w:rPr>
        <w:t xml:space="preserve">Cytokine/interferon exposure typical of insulitis</w:t>
      </w:r>
    </w:p>
    <w:p>
      <w:pPr>
        <w:spacing w:after="60"/>
      </w:pPr>
      <w:r>
        <w:rPr>
          <w:b/>
          <w:bCs/>
          <w:sz w:val="20"/>
          <w:szCs w:val="20"/>
        </w:rPr>
        <w:t xml:space="preserve">Marker genes (11): </w:t>
      </w:r>
      <w:r>
        <w:rPr>
          <w:sz w:val="20"/>
          <w:szCs w:val="20"/>
        </w:rPr>
        <w:t xml:space="preserve">STAT1, IFIT1, B2M, IFI44L, MX1, ISG15, HLA-A, HLA-B, TAP1, CXCL10, IRF1</w:t>
      </w:r>
    </w:p>
    <w:p>
      <w:pPr>
        <w:spacing w:after="160"/>
      </w:pPr>
      <w:r>
        <w:rPr>
          <w:b/>
          <w:bCs/>
          <w:i/>
          <w:iCs/>
          <w:sz w:val="19"/>
          <w:szCs w:val="19"/>
        </w:rPr>
        <w:t xml:space="preserve">Notes: </w:t>
      </w:r>
      <w:r>
        <w:rPr>
          <w:i/>
          <w:iCs/>
          <w:sz w:val="19"/>
          <w:szCs w:val="19"/>
        </w:rPr>
        <w:t xml:space="preserve">Same class-wide interferon/MHC-I response documented across islet endocrine cell types (including delta cells) during insulitis (Russell et al. 2019 Diabetes).</w:t>
      </w:r>
    </w:p>
    <w:p>
      <w:pPr>
        <w:pStyle w:val="Heading3"/>
        <w:spacing w:after="60" w:before="160"/>
      </w:pPr>
      <w:r>
        <w:t xml:space="preserve">Reduced/dysfunctional delta cell</w:t>
      </w:r>
    </w:p>
    <w:p>
      <w:pPr>
        <w:spacing w:after="60"/>
      </w:pPr>
      <w:r>
        <w:rPr>
          <w:b/>
          <w:bCs/>
          <w:sz w:val="20"/>
          <w:szCs w:val="20"/>
        </w:rPr>
        <w:t xml:space="preserve">Phenotype: </w:t>
      </w:r>
      <w:r>
        <w:rPr>
          <w:sz w:val="20"/>
          <w:szCs w:val="20"/>
        </w:rPr>
        <w:t xml:space="preserve">Loss of delta-cell mass and function reported in longstanding diabetes</w:t>
      </w:r>
    </w:p>
    <w:p>
      <w:pPr>
        <w:spacing w:after="60"/>
      </w:pPr>
      <w:r>
        <w:rPr>
          <w:b/>
          <w:bCs/>
          <w:sz w:val="20"/>
          <w:szCs w:val="20"/>
        </w:rPr>
        <w:t xml:space="preserve">Marker genes (7): </w:t>
      </w:r>
      <w:r>
        <w:rPr>
          <w:sz w:val="20"/>
          <w:szCs w:val="20"/>
        </w:rPr>
        <w:t xml:space="preserve">SST, HHEX, RBP4, BAX, CASP3, BBC3, PMAIP1</w:t>
      </w:r>
    </w:p>
    <w:p>
      <w:pPr>
        <w:spacing w:after="160"/>
      </w:pPr>
      <w:r>
        <w:rPr>
          <w:b/>
          <w:bCs/>
          <w:i/>
          <w:iCs/>
          <w:sz w:val="19"/>
          <w:szCs w:val="19"/>
        </w:rPr>
        <w:t xml:space="preserve">Notes: </w:t>
      </w:r>
      <w:r>
        <w:rPr>
          <w:i/>
          <w:iCs/>
          <w:sz w:val="19"/>
          <w:szCs w:val="19"/>
        </w:rPr>
        <w:t xml:space="preserve">Verified via WebSearch; fewer than 10 genes because the literature (Somatostatin-containing delta-cell number is reduced in Type 2 Diabetes, PMC9959292) documents reduced delta-cell mass/number in T2D rather than a well-defined distinct transcriptional signature of surviving/declining cells. Genes reflect diminished identity-gene dosage plus the intrinsic apoptosis pathway implicated in cell loss.</w:t>
      </w:r>
    </w:p>
    <w:p>
      <w:pPr>
        <w:pStyle w:val="Heading2"/>
        <w:spacing w:after="100" w:before="200"/>
      </w:pPr>
      <w:r>
        <w:t xml:space="preserve">Gamma cell (PP cell)</w:t>
      </w:r>
    </w:p>
    <w:p>
      <w:pPr>
        <w:pStyle w:val="Heading3"/>
        <w:spacing w:after="60" w:before="160"/>
      </w:pPr>
      <w:r>
        <w:t xml:space="preserve">Mature functional gamma cell</w:t>
      </w:r>
    </w:p>
    <w:p>
      <w:pPr>
        <w:spacing w:after="60"/>
      </w:pPr>
      <w:r>
        <w:rPr>
          <w:b/>
          <w:bCs/>
          <w:sz w:val="20"/>
          <w:szCs w:val="20"/>
        </w:rPr>
        <w:t xml:space="preserve">Phenotype: </w:t>
      </w:r>
      <w:r>
        <w:rPr>
          <w:sz w:val="20"/>
          <w:szCs w:val="20"/>
        </w:rPr>
        <w:t xml:space="preserve">Canonical healthy PP cell regulating pancreatic exocrine secretion and appetite via PPY</w:t>
      </w:r>
    </w:p>
    <w:p>
      <w:pPr>
        <w:spacing w:after="60"/>
      </w:pPr>
      <w:r>
        <w:rPr>
          <w:b/>
          <w:bCs/>
          <w:sz w:val="20"/>
          <w:szCs w:val="20"/>
        </w:rPr>
        <w:t xml:space="preserve">Marker genes (9): </w:t>
      </w:r>
      <w:r>
        <w:rPr>
          <w:sz w:val="20"/>
          <w:szCs w:val="20"/>
        </w:rPr>
        <w:t xml:space="preserve">PPY, MEIS1, ETV1, PAX6, ISL1, PCSK1N, PCSK2, CPE, CHGA</w:t>
      </w:r>
    </w:p>
    <w:p>
      <w:pPr>
        <w:spacing w:after="160"/>
      </w:pPr>
      <w:r>
        <w:rPr>
          <w:b/>
          <w:bCs/>
          <w:i/>
          <w:iCs/>
          <w:sz w:val="19"/>
          <w:szCs w:val="19"/>
        </w:rPr>
        <w:t xml:space="preserve">Notes: </w:t>
      </w:r>
      <w:r>
        <w:rPr>
          <w:i/>
          <w:iCs/>
          <w:sz w:val="19"/>
          <w:szCs w:val="19"/>
        </w:rPr>
        <w:t xml:space="preserve">Verified via WebSearch; fewer than 10 genes reflecting the limited literature specifically characterizing this rare/understudied cell type. Markers drawn from human islet single-cell atlases that resolve a distinct PPY+ gamma/PP-cell cluster (Segerstolpe et al. 2016 Cell Metab; Muraro et al. 2016 Cell Systems).</w:t>
      </w:r>
    </w:p>
    <w:p>
      <w:pPr>
        <w:pStyle w:val="Heading3"/>
        <w:spacing w:after="60" w:before="160"/>
      </w:pPr>
      <w:r>
        <w:t xml:space="preserve">Stressed gamma cell</w:t>
      </w:r>
    </w:p>
    <w:p>
      <w:pPr>
        <w:spacing w:after="60"/>
      </w:pPr>
      <w:r>
        <w:rPr>
          <w:b/>
          <w:bCs/>
          <w:sz w:val="20"/>
          <w:szCs w:val="20"/>
        </w:rPr>
        <w:t xml:space="preserve">Phenotype: </w:t>
      </w:r>
      <w:r>
        <w:rPr>
          <w:sz w:val="20"/>
          <w:szCs w:val="20"/>
        </w:rPr>
        <w:t xml:space="preserve">Secretory-overload ER stress state</w:t>
      </w:r>
    </w:p>
    <w:p>
      <w:pPr>
        <w:spacing w:after="60"/>
      </w:pPr>
      <w:r>
        <w:rPr>
          <w:b/>
          <w:bCs/>
          <w:sz w:val="20"/>
          <w:szCs w:val="20"/>
        </w:rPr>
        <w:t xml:space="preserve">Marker genes (7): </w:t>
      </w:r>
      <w:r>
        <w:rPr>
          <w:sz w:val="20"/>
          <w:szCs w:val="20"/>
        </w:rPr>
        <w:t xml:space="preserve">PPY, HSPA5, DDIT3, XBP1, ATF4, HERPUD1, ATF6</w:t>
      </w:r>
    </w:p>
    <w:p>
      <w:pPr>
        <w:spacing w:after="160"/>
      </w:pPr>
      <w:r>
        <w:rPr>
          <w:b/>
          <w:bCs/>
          <w:i/>
          <w:iCs/>
          <w:sz w:val="19"/>
          <w:szCs w:val="19"/>
        </w:rPr>
        <w:t xml:space="preserve">Notes: </w:t>
      </w:r>
      <w:r>
        <w:rPr>
          <w:i/>
          <w:iCs/>
          <w:sz w:val="19"/>
          <w:szCs w:val="19"/>
        </w:rPr>
        <w:t xml:space="preserve">No PP/gamma-cell-specific stress transcriptomic study was found; genes are inferred from the generic UPR pathway shared across secretory endocrine cells rather than from direct published PP-cell data. Flagged as lower-confidence/generic.</w:t>
      </w:r>
    </w:p>
    <w:p>
      <w:pPr>
        <w:pStyle w:val="Heading3"/>
        <w:spacing w:after="60" w:before="160"/>
      </w:pPr>
      <w:r>
        <w:t xml:space="preserve">Inflammatory response gamma cell</w:t>
      </w:r>
    </w:p>
    <w:p>
      <w:pPr>
        <w:spacing w:after="60"/>
      </w:pPr>
      <w:r>
        <w:rPr>
          <w:b/>
          <w:bCs/>
          <w:sz w:val="20"/>
          <w:szCs w:val="20"/>
        </w:rPr>
        <w:t xml:space="preserve">Phenotype: </w:t>
      </w:r>
      <w:r>
        <w:rPr>
          <w:sz w:val="20"/>
          <w:szCs w:val="20"/>
        </w:rPr>
        <w:t xml:space="preserve">Cytokine/interferon exposure typical of insulitis</w:t>
      </w:r>
    </w:p>
    <w:p>
      <w:pPr>
        <w:spacing w:after="60"/>
      </w:pPr>
      <w:r>
        <w:rPr>
          <w:b/>
          <w:bCs/>
          <w:sz w:val="20"/>
          <w:szCs w:val="20"/>
        </w:rPr>
        <w:t xml:space="preserve">Marker genes (9): </w:t>
      </w:r>
      <w:r>
        <w:rPr>
          <w:sz w:val="20"/>
          <w:szCs w:val="20"/>
        </w:rPr>
        <w:t xml:space="preserve">STAT1, IFIT1, IFI44L, MX1, ISG15, HLA-A, B2M, TAP1, CXCL10</w:t>
      </w:r>
    </w:p>
    <w:p>
      <w:pPr>
        <w:spacing w:after="160"/>
      </w:pPr>
      <w:r>
        <w:rPr>
          <w:b/>
          <w:bCs/>
          <w:i/>
          <w:iCs/>
          <w:sz w:val="19"/>
          <w:szCs w:val="19"/>
        </w:rPr>
        <w:t xml:space="preserve">Notes: </w:t>
      </w:r>
      <w:r>
        <w:rPr>
          <w:i/>
          <w:iCs/>
          <w:sz w:val="19"/>
          <w:szCs w:val="19"/>
        </w:rPr>
        <w:t xml:space="preserve">PP-cell-specific single-cell data are sparse, but islet-wide interferon-stimulated gene induction during insulitis is documented to affect all endocrine cell types, including PP cells (Russell et al. 2019 Diabetes).</w:t>
      </w:r>
    </w:p>
    <w:p>
      <w:pPr>
        <w:pStyle w:val="Heading2"/>
        <w:spacing w:after="100" w:before="200"/>
      </w:pPr>
      <w:r>
        <w:t xml:space="preserve">Epsilon cell</w:t>
      </w:r>
    </w:p>
    <w:p>
      <w:pPr>
        <w:pStyle w:val="Heading3"/>
        <w:spacing w:after="60" w:before="160"/>
      </w:pPr>
      <w:r>
        <w:t xml:space="preserve">Mature functional epsilon cell</w:t>
      </w:r>
    </w:p>
    <w:p>
      <w:pPr>
        <w:spacing w:after="60"/>
      </w:pPr>
      <w:r>
        <w:rPr>
          <w:b/>
          <w:bCs/>
          <w:sz w:val="20"/>
          <w:szCs w:val="20"/>
        </w:rPr>
        <w:t xml:space="preserve">Phenotype: </w:t>
      </w:r>
      <w:r>
        <w:rPr>
          <w:sz w:val="20"/>
          <w:szCs w:val="20"/>
        </w:rPr>
        <w:t xml:space="preserve">Ghrelin-producing cell, abundant in fetal islets and rare in the healthy adult pancreas</w:t>
      </w:r>
    </w:p>
    <w:p>
      <w:pPr>
        <w:spacing w:after="60"/>
      </w:pPr>
      <w:r>
        <w:rPr>
          <w:b/>
          <w:bCs/>
          <w:sz w:val="20"/>
          <w:szCs w:val="20"/>
        </w:rPr>
        <w:t xml:space="preserve">Marker genes (8): </w:t>
      </w:r>
      <w:r>
        <w:rPr>
          <w:sz w:val="20"/>
          <w:szCs w:val="20"/>
        </w:rPr>
        <w:t xml:space="preserve">GHRL, ISL1, NKX2-2, MBOAT4, PCSK1, CHGA, CHGB, SCG2</w:t>
      </w:r>
    </w:p>
    <w:p>
      <w:pPr>
        <w:spacing w:after="160"/>
      </w:pPr>
      <w:r>
        <w:rPr>
          <w:b/>
          <w:bCs/>
          <w:i/>
          <w:iCs/>
          <w:sz w:val="19"/>
          <w:szCs w:val="19"/>
        </w:rPr>
        <w:t xml:space="preserve">Notes: </w:t>
      </w:r>
      <w:r>
        <w:rPr>
          <w:i/>
          <w:iCs/>
          <w:sz w:val="19"/>
          <w:szCs w:val="19"/>
        </w:rPr>
        <w:t xml:space="preserve">Verified via WebSearch; fewer than 10 genes because epsilon cells are rare (~1% of adult islet cells) and poorly studied. GHRL/ISL1/NKX2-2 co-expression (notably without NKX6-1 or PAX6) is directly documented in human fetal and adult pancreas (Andralojc et al. 2009 Diabetologia); MBOAT4 (ghrelin O-acyltransferase) is required for ghrelin activation.</w:t>
      </w:r>
    </w:p>
    <w:p>
      <w:pPr>
        <w:pStyle w:val="Heading3"/>
        <w:spacing w:after="60" w:before="160"/>
      </w:pPr>
      <w:r>
        <w:t xml:space="preserve">Developmental (neonatal-like) epsilon cell</w:t>
      </w:r>
    </w:p>
    <w:p>
      <w:pPr>
        <w:spacing w:after="60"/>
      </w:pPr>
      <w:r>
        <w:rPr>
          <w:b/>
          <w:bCs/>
          <w:sz w:val="20"/>
          <w:szCs w:val="20"/>
        </w:rPr>
        <w:t xml:space="preserve">Phenotype: </w:t>
      </w:r>
      <w:r>
        <w:rPr>
          <w:sz w:val="20"/>
          <w:szCs w:val="20"/>
        </w:rPr>
        <w:t xml:space="preserve">Expanded epsilon-cell population characteristic of the fetal and neonatal pancreas</w:t>
      </w:r>
    </w:p>
    <w:p>
      <w:pPr>
        <w:spacing w:after="60"/>
      </w:pPr>
      <w:r>
        <w:rPr>
          <w:b/>
          <w:bCs/>
          <w:sz w:val="20"/>
          <w:szCs w:val="20"/>
        </w:rPr>
        <w:t xml:space="preserve">Marker genes (8): </w:t>
      </w:r>
      <w:r>
        <w:rPr>
          <w:sz w:val="20"/>
          <w:szCs w:val="20"/>
        </w:rPr>
        <w:t xml:space="preserve">GHRL, NKX2-2, ISL1, PPY, MBOAT4, PCSK1, CHGA, SCG2</w:t>
      </w:r>
    </w:p>
    <w:p>
      <w:pPr>
        <w:spacing w:after="160"/>
      </w:pPr>
      <w:r>
        <w:rPr>
          <w:b/>
          <w:bCs/>
          <w:i/>
          <w:iCs/>
          <w:sz w:val="19"/>
          <w:szCs w:val="19"/>
        </w:rPr>
        <w:t xml:space="preserve">Notes: </w:t>
      </w:r>
      <w:r>
        <w:rPr>
          <w:i/>
          <w:iCs/>
          <w:sz w:val="19"/>
          <w:szCs w:val="19"/>
        </w:rPr>
        <w:t xml:space="preserve">Verified via WebSearch; fewer than 10 genes, thin literature. Reflects the expanded ghrelin+ population (~10% of islet cells at midgestation vs ~1% in adults) and sporadic co-production with pancreatic polypeptide reported in fetal/neonatal human pancreas (Andralojc et al. 2009 Diabetologia; Upchurch/Wierup developmental epsilon-cell literature).</w:t>
      </w:r>
    </w:p>
    <w:p>
      <w:pPr>
        <w:pStyle w:val="Heading3"/>
        <w:spacing w:after="60" w:before="160"/>
      </w:pPr>
      <w:r>
        <w:t xml:space="preserve">Stressed epsilon cell</w:t>
      </w:r>
    </w:p>
    <w:p>
      <w:pPr>
        <w:spacing w:after="60"/>
      </w:pPr>
      <w:r>
        <w:rPr>
          <w:b/>
          <w:bCs/>
          <w:sz w:val="20"/>
          <w:szCs w:val="20"/>
        </w:rPr>
        <w:t xml:space="preserve">Phenotype: </w:t>
      </w:r>
      <w:r>
        <w:rPr>
          <w:sz w:val="20"/>
          <w:szCs w:val="20"/>
        </w:rPr>
        <w:t xml:space="preserve">ER-stress/apoptotic state</w:t>
      </w:r>
    </w:p>
    <w:p>
      <w:pPr>
        <w:spacing w:after="60"/>
      </w:pPr>
      <w:r>
        <w:rPr>
          <w:b/>
          <w:bCs/>
          <w:sz w:val="20"/>
          <w:szCs w:val="20"/>
        </w:rPr>
        <w:t xml:space="preserve">Marker genes (6): </w:t>
      </w:r>
      <w:r>
        <w:rPr>
          <w:sz w:val="20"/>
          <w:szCs w:val="20"/>
        </w:rPr>
        <w:t xml:space="preserve">XBP1, DDIT3, ATF4, HSPA5, BAX, CASP3</w:t>
      </w:r>
    </w:p>
    <w:p>
      <w:pPr>
        <w:spacing w:after="160"/>
      </w:pPr>
      <w:r>
        <w:rPr>
          <w:b/>
          <w:bCs/>
          <w:i/>
          <w:iCs/>
          <w:sz w:val="19"/>
          <w:szCs w:val="19"/>
        </w:rPr>
        <w:t xml:space="preserve">Notes: </w:t>
      </w:r>
      <w:r>
        <w:rPr>
          <w:i/>
          <w:iCs/>
          <w:sz w:val="19"/>
          <w:szCs w:val="19"/>
        </w:rPr>
        <w:t xml:space="preserve">No published data describe a specific stress/ER-stress or apoptotic transcriptional state for epsilon cells; this cell type is essentially unstudied in this context. Genes listed are purely inferred from the generic UPR/apoptosis pathways shared by secretory endocrine cells and should be treated as placeholders, not literature-confirmed markers, until primary epsilon-cell stress data exist.</w:t>
      </w:r>
    </w:p>
    <w:p>
      <w:pPr>
        <w:pStyle w:val="Heading2"/>
        <w:spacing w:after="100" w:before="200"/>
      </w:pPr>
      <w:r>
        <w:t xml:space="preserve">Acinar cell</w:t>
      </w:r>
    </w:p>
    <w:p>
      <w:pPr>
        <w:pStyle w:val="Heading3"/>
        <w:spacing w:after="60" w:before="160"/>
      </w:pPr>
      <w:r>
        <w:t xml:space="preserve">Mature functional acinar cell</w:t>
      </w:r>
    </w:p>
    <w:p>
      <w:pPr>
        <w:spacing w:after="60"/>
      </w:pPr>
      <w:r>
        <w:rPr>
          <w:b/>
          <w:bCs/>
          <w:sz w:val="20"/>
          <w:szCs w:val="20"/>
        </w:rPr>
        <w:t xml:space="preserve">Phenotype: </w:t>
      </w:r>
      <w:r>
        <w:rPr>
          <w:sz w:val="20"/>
          <w:szCs w:val="20"/>
        </w:rPr>
        <w:t xml:space="preserve">Canonical healthy acinar cell producing digestive enzymes</w:t>
      </w:r>
    </w:p>
    <w:p>
      <w:pPr>
        <w:spacing w:after="60"/>
      </w:pPr>
      <w:r>
        <w:rPr>
          <w:b/>
          <w:bCs/>
          <w:sz w:val="20"/>
          <w:szCs w:val="20"/>
        </w:rPr>
        <w:t xml:space="preserve">Marker genes (15): </w:t>
      </w:r>
      <w:r>
        <w:rPr>
          <w:sz w:val="20"/>
          <w:szCs w:val="20"/>
        </w:rPr>
        <w:t xml:space="preserve">PTF1A, RBPJL, GATA4, NR5A2, BHLHA15, PRSS1, PRSS2, CPA1, CELA2A, CTRB1, AMY2A, PNLIP, GP2, SYCN, CCKAR</w:t>
      </w:r>
    </w:p>
    <w:p>
      <w:pPr>
        <w:spacing w:after="160"/>
      </w:pPr>
      <w:r>
        <w:rPr>
          <w:b/>
          <w:bCs/>
          <w:i/>
          <w:iCs/>
          <w:sz w:val="19"/>
          <w:szCs w:val="19"/>
        </w:rPr>
        <w:t xml:space="preserve">Notes: </w:t>
      </w:r>
      <w:r>
        <w:rPr>
          <w:i/>
          <w:iCs/>
          <w:sz w:val="19"/>
          <w:szCs w:val="19"/>
        </w:rPr>
        <w:t xml:space="preserve">Canonical acinar identity transcription factors (PTF1A/RBPJL/NR5A2/BHLHA15 form the core acinar specification complex) plus the digestive-enzyme and zymogen-granule programs constitutively expressed by healthy acinar cells. Well established textbook biology (Masui/MacDonald acinar TF network; Logsdon &amp; Ji enzyme biosynthesis reviews).</w:t>
      </w:r>
    </w:p>
    <w:p>
      <w:pPr>
        <w:pStyle w:val="Heading3"/>
        <w:spacing w:after="60" w:before="160"/>
      </w:pPr>
      <w:r>
        <w:t xml:space="preserve">Pancreatitis-associated acinar cell</w:t>
      </w:r>
    </w:p>
    <w:p>
      <w:pPr>
        <w:spacing w:after="60"/>
      </w:pPr>
      <w:r>
        <w:rPr>
          <w:b/>
          <w:bCs/>
          <w:sz w:val="20"/>
          <w:szCs w:val="20"/>
        </w:rPr>
        <w:t xml:space="preserve">Phenotype: </w:t>
      </w:r>
      <w:r>
        <w:rPr>
          <w:sz w:val="20"/>
          <w:szCs w:val="20"/>
        </w:rPr>
        <w:t xml:space="preserve">Premature zymogen activation and ER stress characteristic of acute/chronic pancreatitis</w:t>
      </w:r>
    </w:p>
    <w:p>
      <w:pPr>
        <w:spacing w:after="60"/>
      </w:pPr>
      <w:r>
        <w:rPr>
          <w:b/>
          <w:bCs/>
          <w:sz w:val="20"/>
          <w:szCs w:val="20"/>
        </w:rPr>
        <w:t xml:space="preserve">Marker genes (14): </w:t>
      </w:r>
      <w:r>
        <w:rPr>
          <w:sz w:val="20"/>
          <w:szCs w:val="20"/>
        </w:rPr>
        <w:t xml:space="preserve">PRSS1, SPINK1, CTRC, CELA2A, CTSB, HSPA5, DDIT3, XBP1, ATF4, NFKBIA, IL6, TNF, CXCL1, REG3A</w:t>
      </w:r>
    </w:p>
    <w:p>
      <w:pPr>
        <w:spacing w:after="160"/>
      </w:pPr>
      <w:r>
        <w:rPr>
          <w:b/>
          <w:bCs/>
          <w:i/>
          <w:iCs/>
          <w:sz w:val="19"/>
          <w:szCs w:val="19"/>
        </w:rPr>
        <w:t xml:space="preserve">Notes: </w:t>
      </w:r>
      <w:r>
        <w:rPr>
          <w:i/>
          <w:iCs/>
          <w:sz w:val="19"/>
          <w:szCs w:val="19"/>
        </w:rPr>
        <w:t xml:space="preserve">PRSS1/SPINK1/CTRC are the classic hereditary/chronic pancreatitis susceptibility genes governing premature trypsinogen activation and its control. CTSB drives lysosomal cathepsin B-mediated intra-acinar trypsinogen activation, the initiating event of acute pancreatitis (Halangk et al., J Clin Invest, 2000). HSPA5/DDIT3/XBP1/ATF4 reflect the unfolded protein response documented in pancreatitis acinar cells (Ji &amp; Logsdon lab studies on ER stress in pancreatitis). NFKBIA/IL6/TNF/CXCL1 reflect NF-kB-driven acinar cell-intrinsic inflammatory signaling shown to be an early, causal event in experimental pancreatitis (Gukovsky &amp; Gukovskaya reviews on NF-kB in pancreatitis). REG3A (rat homolog PAP, 'pancreatitis-associated protein') is a long-established acute-phase/regenerative gene induced specifically in pancreatitis.</w:t>
      </w:r>
    </w:p>
    <w:p>
      <w:pPr>
        <w:pStyle w:val="Heading3"/>
        <w:spacing w:after="60" w:before="160"/>
      </w:pPr>
      <w:r>
        <w:t xml:space="preserve">Metaplastic (ADM) acinar cell</w:t>
      </w:r>
    </w:p>
    <w:p>
      <w:pPr>
        <w:spacing w:after="60"/>
      </w:pPr>
      <w:r>
        <w:rPr>
          <w:b/>
          <w:bCs/>
          <w:sz w:val="20"/>
          <w:szCs w:val="20"/>
        </w:rPr>
        <w:t xml:space="preserve">Phenotype: </w:t>
      </w:r>
      <w:r>
        <w:rPr>
          <w:sz w:val="20"/>
          <w:szCs w:val="20"/>
        </w:rPr>
        <w:t xml:space="preserve">KRAS-driven acinar-to-ductal metaplasia, a precursor state to PanIN in pancreatic cancer</w:t>
      </w:r>
    </w:p>
    <w:p>
      <w:pPr>
        <w:spacing w:after="60"/>
      </w:pPr>
      <w:r>
        <w:rPr>
          <w:b/>
          <w:bCs/>
          <w:sz w:val="20"/>
          <w:szCs w:val="20"/>
        </w:rPr>
        <w:t xml:space="preserve">Marker genes (12): </w:t>
      </w:r>
      <w:r>
        <w:rPr>
          <w:sz w:val="20"/>
          <w:szCs w:val="20"/>
        </w:rPr>
        <w:t xml:space="preserve">KRT19, SOX9, KRAS, ONECUT1, HNF1B, MUC1, TFF2, TFF1, MUC6, SPDEF, CD44, HES1</w:t>
      </w:r>
    </w:p>
    <w:p>
      <w:pPr>
        <w:spacing w:after="160"/>
      </w:pPr>
      <w:r>
        <w:rPr>
          <w:b/>
          <w:bCs/>
          <w:i/>
          <w:iCs/>
          <w:sz w:val="19"/>
          <w:szCs w:val="19"/>
        </w:rPr>
        <w:t xml:space="preserve">Notes: </w:t>
      </w:r>
      <w:r>
        <w:rPr>
          <w:i/>
          <w:iCs/>
          <w:sz w:val="19"/>
          <w:szCs w:val="19"/>
        </w:rPr>
        <w:t xml:space="preserve">KRT19/SOX9/ONECUT1/HNF1B mark the duct-like transcriptional switch in acinar-to-ductal metaplasia (ADM); KRAS oncogene drives the transition (Kopp et al., Cancer Cell, 2012, Sox9-dependent ADM initiation of PDAC). TFF2/TFF1/MUC6/MUC1/SPDEF mark the 'mucinous/pyloric metaplasia' intermediate identified by single-cell profiling of ADM (Ma et al., Gastroenterology, 2021, 'conserved metaplasia program in pancreatic injury'; Schlesinger/Alonso-Curbelo, Nat Commun, 2020). HES1 reflects Notch pathway reactivation shown to reprogram acinar cells toward a ductal/progenitor-like state together with oncogenic Kras (De La O et al., PNAS, 2008). CD44 is a recurrent marker of the metaplastic/progenitor-like acinar-derived population in these studies.</w:t>
      </w:r>
    </w:p>
    <w:p>
      <w:pPr>
        <w:pStyle w:val="Heading3"/>
        <w:spacing w:after="60" w:before="160"/>
      </w:pPr>
      <w:r>
        <w:t xml:space="preserve">Atrophic/senescent acinar cell</w:t>
      </w:r>
    </w:p>
    <w:p>
      <w:pPr>
        <w:spacing w:after="60"/>
      </w:pPr>
      <w:r>
        <w:rPr>
          <w:b/>
          <w:bCs/>
          <w:sz w:val="20"/>
          <w:szCs w:val="20"/>
        </w:rPr>
        <w:t xml:space="preserve">Phenotype: </w:t>
      </w:r>
      <w:r>
        <w:rPr>
          <w:sz w:val="20"/>
          <w:szCs w:val="20"/>
        </w:rPr>
        <w:t xml:space="preserve">Reduced enzyme output seen in chronic pancreatitis and aging</w:t>
      </w:r>
    </w:p>
    <w:p>
      <w:pPr>
        <w:spacing w:after="60"/>
      </w:pPr>
      <w:r>
        <w:rPr>
          <w:b/>
          <w:bCs/>
          <w:sz w:val="20"/>
          <w:szCs w:val="20"/>
        </w:rPr>
        <w:t xml:space="preserve">Marker genes (9): </w:t>
      </w:r>
      <w:r>
        <w:rPr>
          <w:sz w:val="20"/>
          <w:szCs w:val="20"/>
        </w:rPr>
        <w:t xml:space="preserve">CDKN2A, CDKN1A, TP53, MDM2, SERPINE1, IL6, IL1B, CXCL1, MMP3</w:t>
      </w:r>
    </w:p>
    <w:p>
      <w:pPr>
        <w:spacing w:after="160"/>
      </w:pPr>
      <w:r>
        <w:rPr>
          <w:b/>
          <w:bCs/>
          <w:i/>
          <w:iCs/>
          <w:sz w:val="19"/>
          <w:szCs w:val="19"/>
        </w:rPr>
        <w:t xml:space="preserve">Notes: </w:t>
      </w:r>
      <w:r>
        <w:rPr>
          <w:i/>
          <w:iCs/>
          <w:sz w:val="19"/>
          <w:szCs w:val="19"/>
        </w:rPr>
        <w:t xml:space="preserve">Direct single-cell transcriptomic characterization of atrophic/senescent human acinar cells is limited, so this panel (9 genes, below the 10-15 target) is built from the general p16/p21/p53 senescence program and senescence-associated secretory phenotype (SASP), which has been specifically linked to acinar injury: CDKN1A/p21 has been shown to limit senescence and ADM formation during pancreatitis (p21WAF1/Cip1 studies of pancreatitis-associated senescence), and elevated CDKN1A/MDM2/IL6 have been documented in senescent pancreatic stellate/acinar compartments in chronic pancreatitis models. CDKN2A/TP53 are the canonical senescence tumor-suppressor axis; SERPINE1/IL6/IL1B/CXCL1/MMP3 are core SASP factors. Flagging this state as genuinely under-supported in the literature relative to the other three acinar states.</w:t>
      </w:r>
    </w:p>
    <w:p>
      <w:pPr>
        <w:pStyle w:val="Heading2"/>
        <w:spacing w:after="100" w:before="200"/>
      </w:pPr>
      <w:r>
        <w:t xml:space="preserve">Ductal cell</w:t>
      </w:r>
    </w:p>
    <w:p>
      <w:pPr>
        <w:pStyle w:val="Heading3"/>
        <w:spacing w:after="60" w:before="160"/>
      </w:pPr>
      <w:r>
        <w:t xml:space="preserve">Mature functional ductal cell</w:t>
      </w:r>
    </w:p>
    <w:p>
      <w:pPr>
        <w:spacing w:after="60"/>
      </w:pPr>
      <w:r>
        <w:rPr>
          <w:b/>
          <w:bCs/>
          <w:sz w:val="20"/>
          <w:szCs w:val="20"/>
        </w:rPr>
        <w:t xml:space="preserve">Phenotype: </w:t>
      </w:r>
      <w:r>
        <w:rPr>
          <w:sz w:val="20"/>
          <w:szCs w:val="20"/>
        </w:rPr>
        <w:t xml:space="preserve">Canonical healthy ductal cell secreting bicarbonate-rich fluid</w:t>
      </w:r>
    </w:p>
    <w:p>
      <w:pPr>
        <w:spacing w:after="60"/>
      </w:pPr>
      <w:r>
        <w:rPr>
          <w:b/>
          <w:bCs/>
          <w:sz w:val="20"/>
          <w:szCs w:val="20"/>
        </w:rPr>
        <w:t xml:space="preserve">Marker genes (14): </w:t>
      </w:r>
      <w:r>
        <w:rPr>
          <w:sz w:val="20"/>
          <w:szCs w:val="20"/>
        </w:rPr>
        <w:t xml:space="preserve">KRT19, KRT7, SOX9, HNF1B, ONECUT1, CFTR, SLC4A4, AQP1, CA2, SLC26A6, MUC1, TFF1, CLDN18, TJP1</w:t>
      </w:r>
    </w:p>
    <w:p>
      <w:pPr>
        <w:spacing w:after="160"/>
      </w:pPr>
      <w:r>
        <w:rPr>
          <w:b/>
          <w:bCs/>
          <w:i/>
          <w:iCs/>
          <w:sz w:val="19"/>
          <w:szCs w:val="19"/>
        </w:rPr>
        <w:t xml:space="preserve">Notes: </w:t>
      </w:r>
      <w:r>
        <w:rPr>
          <w:i/>
          <w:iCs/>
          <w:sz w:val="19"/>
          <w:szCs w:val="19"/>
        </w:rPr>
        <w:t xml:space="preserve">Canonical ductal identity/transcription factor and fluid-bicarbonate secretion program of the healthy exocrine duct. Standard, well-established ductal cell markers (pancreas single-cell atlases, e.g., Muraro et al., Cell Syst 2016; Baron et al., Cell Syst 2016).</w:t>
      </w:r>
    </w:p>
    <w:p>
      <w:pPr>
        <w:pStyle w:val="Heading3"/>
        <w:spacing w:after="60" w:before="160"/>
      </w:pPr>
      <w:r>
        <w:t xml:space="preserve">CFTR-dysfunctional ductal cell</w:t>
      </w:r>
    </w:p>
    <w:p>
      <w:pPr>
        <w:spacing w:after="60"/>
      </w:pPr>
      <w:r>
        <w:rPr>
          <w:b/>
          <w:bCs/>
          <w:sz w:val="20"/>
          <w:szCs w:val="20"/>
        </w:rPr>
        <w:t xml:space="preserve">Phenotype: </w:t>
      </w:r>
      <w:r>
        <w:rPr>
          <w:sz w:val="20"/>
          <w:szCs w:val="20"/>
        </w:rPr>
        <w:t xml:space="preserve">Impaired bicarbonate/fluid secretion characteristic of cystic fibrosis-related exocrine pancreatic disease</w:t>
      </w:r>
    </w:p>
    <w:p>
      <w:pPr>
        <w:spacing w:after="60"/>
      </w:pPr>
      <w:r>
        <w:rPr>
          <w:b/>
          <w:bCs/>
          <w:sz w:val="20"/>
          <w:szCs w:val="20"/>
        </w:rPr>
        <w:t xml:space="preserve">Marker genes (10): </w:t>
      </w:r>
      <w:r>
        <w:rPr>
          <w:sz w:val="20"/>
          <w:szCs w:val="20"/>
        </w:rPr>
        <w:t xml:space="preserve">CFTR, SLC4A4, SLC26A6, AQP1, CA2, MUC1, MUC6, TFF2, SPINK1, PDX1</w:t>
      </w:r>
    </w:p>
    <w:p>
      <w:pPr>
        <w:spacing w:after="160"/>
      </w:pPr>
      <w:r>
        <w:rPr>
          <w:b/>
          <w:bCs/>
          <w:i/>
          <w:iCs/>
          <w:sz w:val="19"/>
          <w:szCs w:val="19"/>
        </w:rPr>
        <w:t xml:space="preserve">Notes: </w:t>
      </w:r>
      <w:r>
        <w:rPr>
          <w:i/>
          <w:iCs/>
          <w:sz w:val="19"/>
          <w:szCs w:val="19"/>
        </w:rPr>
        <w:t xml:space="preserve">Loss/dysfunction of CFTR is the direct cause of impaired ductal bicarbonate-fluid secretion in CF-related exocrine pancreatic disease (Wine/Reddy, J Cell Sci, 1993 on CFTR and MUC1 co-expression in human ductal cells; 'CFTR, Mucins and Mucus Obstruction in Cystic Fibrosis', Cold Spring Harb Perspect Med, 2012). MUC1/MUC6/TFF2 reflect mucus hypersecretion and inspissation characteristic of the CF duct. SPINK1 is a well-documented genetic modifier of pancreatic disease severity that interacts with CFTR genotype. PDX1 up-regulation has recently been reported as a consequence of CFTR loss altering ductal cell fate ('CFTR represses a PDX1 axis to govern pancreatic ductal cell fate', 2024). This panel is intentionally at 10 genes because ductal-cell-intrinsic transcriptomic data specific to CF (as opposed to CF lung epithelium) is comparatively sparse.</w:t>
      </w:r>
    </w:p>
    <w:p>
      <w:pPr>
        <w:pStyle w:val="Heading3"/>
        <w:spacing w:after="60" w:before="160"/>
      </w:pPr>
      <w:r>
        <w:t xml:space="preserve">PanIN-like transformed ductal cell</w:t>
      </w:r>
    </w:p>
    <w:p>
      <w:pPr>
        <w:spacing w:after="60"/>
      </w:pPr>
      <w:r>
        <w:rPr>
          <w:b/>
          <w:bCs/>
          <w:sz w:val="20"/>
          <w:szCs w:val="20"/>
        </w:rPr>
        <w:t xml:space="preserve">Phenotype: </w:t>
      </w:r>
      <w:r>
        <w:rPr>
          <w:sz w:val="20"/>
          <w:szCs w:val="20"/>
        </w:rPr>
        <w:t xml:space="preserve">Early neoplastic ductal lesion driven by oncogenic KRAS, a precursor to pancreatic ductal adenocarcinoma</w:t>
      </w:r>
    </w:p>
    <w:p>
      <w:pPr>
        <w:spacing w:after="60"/>
      </w:pPr>
      <w:r>
        <w:rPr>
          <w:b/>
          <w:bCs/>
          <w:sz w:val="20"/>
          <w:szCs w:val="20"/>
        </w:rPr>
        <w:t xml:space="preserve">Marker genes (15): </w:t>
      </w:r>
      <w:r>
        <w:rPr>
          <w:sz w:val="20"/>
          <w:szCs w:val="20"/>
        </w:rPr>
        <w:t xml:space="preserve">KRAS, MUC5AC, SOX9, TP53, CDKN2A, SMAD4, MUC1, MUC4, MUC6, S100P, CEACAM5, CLDN18, TFF1, TFF2, KRT17</w:t>
      </w:r>
    </w:p>
    <w:p>
      <w:pPr>
        <w:spacing w:after="160"/>
      </w:pPr>
      <w:r>
        <w:rPr>
          <w:b/>
          <w:bCs/>
          <w:i/>
          <w:iCs/>
          <w:sz w:val="19"/>
          <w:szCs w:val="19"/>
        </w:rPr>
        <w:t xml:space="preserve">Notes: </w:t>
      </w:r>
      <w:r>
        <w:rPr>
          <w:i/>
          <w:iCs/>
          <w:sz w:val="19"/>
          <w:szCs w:val="19"/>
        </w:rPr>
        <w:t xml:space="preserve">KRAS/TP53/CDKN2A/SMAD4 are the canonical, sequentially acquired driver alterations of the PanIN-to-PDAC progression model (Hruban et al. PanIN grading/progression scheme). MUC5AC/MUC4/MUC1/MUC6 mucin re-expression is a hallmark of PanIN lesions, with MUC4 reported to appear very early and to associate with activated stromal fibroblasts (Andrianifahanana et al.; 'Oncogenic KRAS, MUC4, and Activin A-mediated fibroblast activation cooperate for PanIN initiation', 2023). S100P expression increases progressively with PanIN grade and is enriched relative to comparable biliary lesions. CEACAM5 is absent in normal ducts and increases with increasing PanIN grade. TFF1/TFF2/CLDN18/KRT17 are recurrent markers of the pyloric/gastric-like metaplastic epithelium seen in PanIN lesions.</w:t>
      </w:r>
    </w:p>
    <w:p>
      <w:pPr>
        <w:pStyle w:val="Heading3"/>
        <w:spacing w:after="60" w:before="160"/>
      </w:pPr>
      <w:r>
        <w:t xml:space="preserve">Inflamed ductal cell</w:t>
      </w:r>
    </w:p>
    <w:p>
      <w:pPr>
        <w:spacing w:after="60"/>
      </w:pPr>
      <w:r>
        <w:rPr>
          <w:b/>
          <w:bCs/>
          <w:sz w:val="20"/>
          <w:szCs w:val="20"/>
        </w:rPr>
        <w:t xml:space="preserve">Phenotype: </w:t>
      </w:r>
      <w:r>
        <w:rPr>
          <w:sz w:val="20"/>
          <w:szCs w:val="20"/>
        </w:rPr>
        <w:t xml:space="preserve">Cytokine exposure typical of chronic pancreatitis</w:t>
      </w:r>
    </w:p>
    <w:p>
      <w:pPr>
        <w:spacing w:after="60"/>
      </w:pPr>
      <w:r>
        <w:rPr>
          <w:b/>
          <w:bCs/>
          <w:sz w:val="20"/>
          <w:szCs w:val="20"/>
        </w:rPr>
        <w:t xml:space="preserve">Marker genes (10): </w:t>
      </w:r>
      <w:r>
        <w:rPr>
          <w:sz w:val="20"/>
          <w:szCs w:val="20"/>
        </w:rPr>
        <w:t xml:space="preserve">NFKBIA, IL6, CXCL8, CCL2, CCL20, TNF, ICAM1, PTGS2, CXCL1, SAA1</w:t>
      </w:r>
    </w:p>
    <w:p>
      <w:pPr>
        <w:spacing w:after="160"/>
      </w:pPr>
      <w:r>
        <w:rPr>
          <w:b/>
          <w:bCs/>
          <w:i/>
          <w:iCs/>
          <w:sz w:val="19"/>
          <w:szCs w:val="19"/>
        </w:rPr>
        <w:t xml:space="preserve">Notes: </w:t>
      </w:r>
      <w:r>
        <w:rPr>
          <w:i/>
          <w:iCs/>
          <w:sz w:val="19"/>
          <w:szCs w:val="19"/>
        </w:rPr>
        <w:t xml:space="preserve">Single-cell RNA-seq of mouse pancreas in chronic pancreatitis found several hundred differentially expressed genes specifically in the ductal compartment, broadly reflecting NF-kB-pathway inflammatory activation ('Single-Cell Transcriptomic Analysis of the Mouse Pancreas: Characteristic Features of Pancreatic Ductal Cells in Chronic Pancreatitis', Genes, 2022). CXCL8 signaling through CXCR2 is required for neutrophil recruitment in pancreatitis, and ductal-derived CCL20-CCR6 chemokine crosstalk with Th17 cells has been specifically identified by single-cell profiling of human chronic pancreatitis. ICAM1/PTGS2(COX2)/SAA1 reflect the acute-phase/adhesion-molecule response of inflamed epithelium seen broadly in chronic pancreatitis. This panel (10 genes) involves more extrapolation from general epithelial inflammatory biology than the other ductal states, since ductal-cell-specific (as opposed to whole-tissue or immune-cell) cytokine profiling in human chronic pancreatitis remains limited.</w:t>
      </w:r>
    </w:p>
    <w:p>
      <w:pPr>
        <w:pStyle w:val="Heading2"/>
        <w:spacing w:after="100" w:before="200"/>
      </w:pPr>
      <w:r>
        <w:t xml:space="preserve">Stellate cell</w:t>
      </w:r>
    </w:p>
    <w:p>
      <w:pPr>
        <w:pStyle w:val="Heading3"/>
        <w:spacing w:after="60" w:before="160"/>
      </w:pPr>
      <w:r>
        <w:t xml:space="preserve">Quiescent stellate cell</w:t>
      </w:r>
    </w:p>
    <w:p>
      <w:pPr>
        <w:spacing w:after="60"/>
      </w:pPr>
      <w:r>
        <w:rPr>
          <w:b/>
          <w:bCs/>
          <w:sz w:val="20"/>
          <w:szCs w:val="20"/>
        </w:rPr>
        <w:t xml:space="preserve">Phenotype: </w:t>
      </w:r>
      <w:r>
        <w:rPr>
          <w:sz w:val="20"/>
          <w:szCs w:val="20"/>
        </w:rPr>
        <w:t xml:space="preserve">Vitamin A-storing, non-proliferative resting state in the healthy pancreas</w:t>
      </w:r>
    </w:p>
    <w:p>
      <w:pPr>
        <w:spacing w:after="60"/>
      </w:pPr>
      <w:r>
        <w:rPr>
          <w:b/>
          <w:bCs/>
          <w:sz w:val="20"/>
          <w:szCs w:val="20"/>
        </w:rPr>
        <w:t xml:space="preserve">Marker genes (10): </w:t>
      </w:r>
      <w:r>
        <w:rPr>
          <w:sz w:val="20"/>
          <w:szCs w:val="20"/>
        </w:rPr>
        <w:t xml:space="preserve">GFAP, DES, RBP1, PDGFRB, VIM, LRAT, PPARG, NES, ADH1B, SPARC</w:t>
      </w:r>
    </w:p>
    <w:p>
      <w:pPr>
        <w:spacing w:after="160"/>
      </w:pPr>
      <w:r>
        <w:rPr>
          <w:b/>
          <w:bCs/>
          <w:i/>
          <w:iCs/>
          <w:sz w:val="19"/>
          <w:szCs w:val="19"/>
        </w:rPr>
        <w:t xml:space="preserve">Notes: </w:t>
      </w:r>
      <w:r>
        <w:rPr>
          <w:i/>
          <w:iCs/>
          <w:sz w:val="19"/>
          <w:szCs w:val="19"/>
        </w:rPr>
        <w:t xml:space="preserve">GFAP/DES/NES/VIM are classic quiescent pancreatic stellate cell (PSC) cytoskeletal markers shared with hepatic stellate cell biology; RBP1/LRAT/ADH1B reflect the retinoid (vitamin A) storage and metabolism program that defines the quiescent phenotype; PPARG maintains the quiescent state and is lost upon activation (Apte et al.; McCarroll/Bachem PSC reviews).</w:t>
      </w:r>
    </w:p>
    <w:p>
      <w:pPr>
        <w:pStyle w:val="Heading3"/>
        <w:spacing w:after="60" w:before="160"/>
      </w:pPr>
      <w:r>
        <w:t xml:space="preserve">Activated myofibroblast-like stellate cell</w:t>
      </w:r>
    </w:p>
    <w:p>
      <w:pPr>
        <w:spacing w:after="60"/>
      </w:pPr>
      <w:r>
        <w:rPr>
          <w:b/>
          <w:bCs/>
          <w:sz w:val="20"/>
          <w:szCs w:val="20"/>
        </w:rPr>
        <w:t xml:space="preserve">Phenotype: </w:t>
      </w:r>
      <w:r>
        <w:rPr>
          <w:sz w:val="20"/>
          <w:szCs w:val="20"/>
        </w:rPr>
        <w:t xml:space="preserve">Fibrogenic activation driven by injury/inflammation in pancreatitis and PDAC stroma</w:t>
      </w:r>
    </w:p>
    <w:p>
      <w:pPr>
        <w:spacing w:after="60"/>
      </w:pPr>
      <w:r>
        <w:rPr>
          <w:b/>
          <w:bCs/>
          <w:sz w:val="20"/>
          <w:szCs w:val="20"/>
        </w:rPr>
        <w:t xml:space="preserve">Marker genes (13): </w:t>
      </w:r>
      <w:r>
        <w:rPr>
          <w:sz w:val="20"/>
          <w:szCs w:val="20"/>
        </w:rPr>
        <w:t xml:space="preserve">ACTA2, TAGLN, COL1A1, COL1A2, COL3A1, FN1, TGFB1, CTGF, SMAD3, MMP2, TIMP1, S100A4, PDGFRB</w:t>
      </w:r>
    </w:p>
    <w:p>
      <w:pPr>
        <w:spacing w:after="160"/>
      </w:pPr>
      <w:r>
        <w:rPr>
          <w:b/>
          <w:bCs/>
          <w:i/>
          <w:iCs/>
          <w:sz w:val="19"/>
          <w:szCs w:val="19"/>
        </w:rPr>
        <w:t xml:space="preserve">Notes: </w:t>
      </w:r>
      <w:r>
        <w:rPr>
          <w:i/>
          <w:iCs/>
          <w:sz w:val="19"/>
          <w:szCs w:val="19"/>
        </w:rPr>
        <w:t xml:space="preserve">Myofibroblast transdifferentiation markers (ACTA2/TAGLN/S100A4) plus the TGF-beta/SMAD3-driven fibrogenic ECM-production program (COL1A1/COL1A2/COL3A1/FN1/CTGF) and matrix remodeling (MMP2/TIMP1) that define activated PSCs in pancreatitis and PDAC desmoplasia (Apte et al.; Omary et al., J Clin Invest, 2007, PSC biology review).</w:t>
      </w:r>
    </w:p>
    <w:p>
      <w:pPr>
        <w:pStyle w:val="Heading3"/>
        <w:spacing w:after="60" w:before="160"/>
      </w:pPr>
      <w:r>
        <w:t xml:space="preserve">Fibrotic (end-stage) stellate cell</w:t>
      </w:r>
    </w:p>
    <w:p>
      <w:pPr>
        <w:spacing w:after="60"/>
      </w:pPr>
      <w:r>
        <w:rPr>
          <w:b/>
          <w:bCs/>
          <w:sz w:val="20"/>
          <w:szCs w:val="20"/>
        </w:rPr>
        <w:t xml:space="preserve">Phenotype: </w:t>
      </w:r>
      <w:r>
        <w:rPr>
          <w:sz w:val="20"/>
          <w:szCs w:val="20"/>
        </w:rPr>
        <w:t xml:space="preserve">Sustained ECM deposition characteristic of chronic-pancreatitis fibrosis</w:t>
      </w:r>
    </w:p>
    <w:p>
      <w:pPr>
        <w:spacing w:after="60"/>
      </w:pPr>
      <w:r>
        <w:rPr>
          <w:b/>
          <w:bCs/>
          <w:sz w:val="20"/>
          <w:szCs w:val="20"/>
        </w:rPr>
        <w:t xml:space="preserve">Marker genes (12): </w:t>
      </w:r>
      <w:r>
        <w:rPr>
          <w:sz w:val="20"/>
          <w:szCs w:val="20"/>
        </w:rPr>
        <w:t xml:space="preserve">COL1A1, COL1A2, COL3A1, FN1, LOX, LOXL2, TIMP1, SPARC, POSTN, DCN, BGN, CTGF</w:t>
      </w:r>
    </w:p>
    <w:p>
      <w:pPr>
        <w:spacing w:after="160"/>
      </w:pPr>
      <w:r>
        <w:rPr>
          <w:b/>
          <w:bCs/>
          <w:i/>
          <w:iCs/>
          <w:sz w:val="19"/>
          <w:szCs w:val="19"/>
        </w:rPr>
        <w:t xml:space="preserve">Notes: </w:t>
      </w:r>
      <w:r>
        <w:rPr>
          <w:i/>
          <w:iCs/>
          <w:sz w:val="19"/>
          <w:szCs w:val="19"/>
        </w:rPr>
        <w:t xml:space="preserve">Distinguishes end-stage fibrotic stellate cells from actively-activating cells by emphasizing collagen cross-linking (LOX/LOXL2) and ECM maturation/proteoglycan genes (SPARC, POSTN/periostin, DCN, BGN) alongside sustained high TIMP1 (favoring net ECM accumulation over degradation). POSTN is a well-documented marker of desmoplastic fibrotic stroma in chronic pancreatitis and PDAC (Erkan et al. desmoplasia studies).</w:t>
      </w:r>
    </w:p>
    <w:p>
      <w:pPr>
        <w:pStyle w:val="Heading3"/>
        <w:spacing w:after="60" w:before="160"/>
      </w:pPr>
      <w:r>
        <w:t xml:space="preserve">Reverting (quiescing) stellate cell</w:t>
      </w:r>
    </w:p>
    <w:p>
      <w:pPr>
        <w:spacing w:after="60"/>
      </w:pPr>
      <w:r>
        <w:rPr>
          <w:b/>
          <w:bCs/>
          <w:sz w:val="20"/>
          <w:szCs w:val="20"/>
        </w:rPr>
        <w:t xml:space="preserve">Phenotype: </w:t>
      </w:r>
      <w:r>
        <w:rPr>
          <w:sz w:val="20"/>
          <w:szCs w:val="20"/>
        </w:rPr>
        <w:t xml:space="preserve">Partial return toward quiescence during fibrosis resolution</w:t>
      </w:r>
    </w:p>
    <w:p>
      <w:pPr>
        <w:spacing w:after="60"/>
      </w:pPr>
      <w:r>
        <w:rPr>
          <w:b/>
          <w:bCs/>
          <w:sz w:val="20"/>
          <w:szCs w:val="20"/>
        </w:rPr>
        <w:t xml:space="preserve">Marker genes (7): </w:t>
      </w:r>
      <w:r>
        <w:rPr>
          <w:sz w:val="20"/>
          <w:szCs w:val="20"/>
        </w:rPr>
        <w:t xml:space="preserve">PPARG, BAMBI, RBP1, LRAT, GFAP, DES, ADH1B</w:t>
      </w:r>
    </w:p>
    <w:p>
      <w:pPr>
        <w:spacing w:after="160"/>
      </w:pPr>
      <w:r>
        <w:rPr>
          <w:b/>
          <w:bCs/>
          <w:i/>
          <w:iCs/>
          <w:sz w:val="19"/>
          <w:szCs w:val="19"/>
        </w:rPr>
        <w:t xml:space="preserve">Notes: </w:t>
      </w:r>
      <w:r>
        <w:rPr>
          <w:i/>
          <w:iCs/>
          <w:sz w:val="19"/>
          <w:szCs w:val="19"/>
        </w:rPr>
        <w:t xml:space="preserve">This panel (7 genes, below the 10-15 target) is explicitly extrapolated from hepatic stellate cell (HSC) fibrosis-regression biology rather than direct in vivo pancreatic evidence: Kisseleva et al. (PNAS, 2012) showed that myofibroblasts reverting to an inactive phenotype during regression of liver fibrosis down-regulate ACTA2/COL1A1/TIMP1 while up-regulating the quiescence genes PPARG and BAMBI. Pancreatic stellate cell literature confirms in vitro deactivation upon matrigel/N-acetylcysteine exposure with re-accumulation of retinoid-storage markers (RBP1/LRAT/ADH1B) and cytoskeletal quiescence markers (GFAP/DES), but review literature explicitly states it remains unclear whether PSCs revert to quiescence in vivo, so this state is flagged as having the thinnest direct evidence base of the four stellate states.</w:t>
      </w:r>
    </w:p>
    <w:p>
      <w:pPr>
        <w:pStyle w:val="Heading2"/>
        <w:spacing w:after="100" w:before="200"/>
      </w:pPr>
      <w:r>
        <w:t xml:space="preserve">Endothelial cell</w:t>
      </w:r>
    </w:p>
    <w:p>
      <w:pPr>
        <w:pStyle w:val="Heading3"/>
        <w:spacing w:after="60" w:before="160"/>
      </w:pPr>
      <w:r>
        <w:t xml:space="preserve">Quiescent endothelial cell</w:t>
      </w:r>
    </w:p>
    <w:p>
      <w:pPr>
        <w:spacing w:after="60"/>
      </w:pPr>
      <w:r>
        <w:rPr>
          <w:b/>
          <w:bCs/>
          <w:sz w:val="20"/>
          <w:szCs w:val="20"/>
        </w:rPr>
        <w:t xml:space="preserve">Phenotype: </w:t>
      </w:r>
      <w:r>
        <w:rPr>
          <w:sz w:val="20"/>
          <w:szCs w:val="20"/>
        </w:rPr>
        <w:t xml:space="preserve">Resting vascular endothelium maintaining normal islet/exocrine perfusion and barrier integrity</w:t>
      </w:r>
    </w:p>
    <w:p>
      <w:pPr>
        <w:spacing w:after="60"/>
      </w:pPr>
      <w:r>
        <w:rPr>
          <w:b/>
          <w:bCs/>
          <w:sz w:val="20"/>
          <w:szCs w:val="20"/>
        </w:rPr>
        <w:t xml:space="preserve">Marker genes (12): </w:t>
      </w:r>
      <w:r>
        <w:rPr>
          <w:sz w:val="20"/>
          <w:szCs w:val="20"/>
        </w:rPr>
        <w:t xml:space="preserve">PECAM1, CDH5, CLDN5, VWF, KDR, OCLN, TJP1, NOS3, GUCY1A1, THBD, KLF2, KLF4</w:t>
      </w:r>
    </w:p>
    <w:p>
      <w:pPr>
        <w:spacing w:after="160"/>
      </w:pPr>
      <w:r>
        <w:rPr>
          <w:b/>
          <w:bCs/>
          <w:i/>
          <w:iCs/>
          <w:sz w:val="19"/>
          <w:szCs w:val="19"/>
        </w:rPr>
        <w:t xml:space="preserve">Notes: </w:t>
      </w:r>
      <w:r>
        <w:rPr>
          <w:i/>
          <w:iCs/>
          <w:sz w:val="19"/>
          <w:szCs w:val="19"/>
        </w:rPr>
        <w:t xml:space="preserve">Core endothelial identity/junctional/barrier genes plus the nitric-oxide (NOS3/GUCY1A1) and anti-thrombotic (THBD) programs of resting endothelium. KLF2/KLF4 are the classic laminar-shear-stress-induced transcription factors that actively enforce and mark the quiescent, anti-inflammatory endothelial phenotype (SenBanerjee et al.; Dekker et al., Blood, 2002/2006).</w:t>
      </w:r>
    </w:p>
    <w:p>
      <w:pPr>
        <w:pStyle w:val="Heading3"/>
        <w:spacing w:after="60" w:before="160"/>
      </w:pPr>
      <w:r>
        <w:t xml:space="preserve">Angiogenic endothelial cell</w:t>
      </w:r>
    </w:p>
    <w:p>
      <w:pPr>
        <w:spacing w:after="60"/>
      </w:pPr>
      <w:r>
        <w:rPr>
          <w:b/>
          <w:bCs/>
          <w:sz w:val="20"/>
          <w:szCs w:val="20"/>
        </w:rPr>
        <w:t xml:space="preserve">Phenotype: </w:t>
      </w:r>
      <w:r>
        <w:rPr>
          <w:sz w:val="20"/>
          <w:szCs w:val="20"/>
        </w:rPr>
        <w:t xml:space="preserve">VEGF-driven vascular remodeling seen in islet growth, wound healing, and tumor neovascularization</w:t>
      </w:r>
    </w:p>
    <w:p>
      <w:pPr>
        <w:spacing w:after="60"/>
      </w:pPr>
      <w:r>
        <w:rPr>
          <w:b/>
          <w:bCs/>
          <w:sz w:val="20"/>
          <w:szCs w:val="20"/>
        </w:rPr>
        <w:t xml:space="preserve">Marker genes (12): </w:t>
      </w:r>
      <w:r>
        <w:rPr>
          <w:sz w:val="20"/>
          <w:szCs w:val="20"/>
        </w:rPr>
        <w:t xml:space="preserve">VEGFA, ANGPT2, KDR, FLT1, NOTCH4, DLL4, ESM1, APLN, APLNR, PGF, PDGFB, CXCR4</w:t>
      </w:r>
    </w:p>
    <w:p>
      <w:pPr>
        <w:spacing w:after="160"/>
      </w:pPr>
      <w:r>
        <w:rPr>
          <w:b/>
          <w:bCs/>
          <w:i/>
          <w:iCs/>
          <w:sz w:val="19"/>
          <w:szCs w:val="19"/>
        </w:rPr>
        <w:t xml:space="preserve">Notes: </w:t>
      </w:r>
      <w:r>
        <w:rPr>
          <w:i/>
          <w:iCs/>
          <w:sz w:val="19"/>
          <w:szCs w:val="19"/>
        </w:rPr>
        <w:t xml:space="preserve">VEGFA/KDR/FLT1/PGF are the core VEGF-receptor angiogenic axis. DLL4 is the canonical marker of angiogenic 'tip cells' that lead sprouting vessels via Notch signaling (Hellstrom et al., Nature, 2007). ESM1 (endocan) is a well-established marker of tip-cell-like activated angiogenic endothelium (Rocha et al.). APLN/APLNR and PDGFB mark proliferating/sprouting tip and stalk cells; ANGPT2 destabilizes vessels to permit VEGF-driven remodeling, consistent with islet vascular growth, wound healing, and tumor neovascularization.</w:t>
      </w:r>
    </w:p>
    <w:p>
      <w:pPr>
        <w:pStyle w:val="Heading3"/>
        <w:spacing w:after="60" w:before="160"/>
      </w:pPr>
      <w:r>
        <w:t xml:space="preserve">Inflamed/activated endothelial cell</w:t>
      </w:r>
    </w:p>
    <w:p>
      <w:pPr>
        <w:spacing w:after="60"/>
      </w:pPr>
      <w:r>
        <w:rPr>
          <w:b/>
          <w:bCs/>
          <w:sz w:val="20"/>
          <w:szCs w:val="20"/>
        </w:rPr>
        <w:t xml:space="preserve">Phenotype: </w:t>
      </w:r>
      <w:r>
        <w:rPr>
          <w:sz w:val="20"/>
          <w:szCs w:val="20"/>
        </w:rPr>
        <w:t xml:space="preserve">Cytokine-activated endothelium recruiting leukocytes, characteristic of insulitis and pancreatitis</w:t>
      </w:r>
    </w:p>
    <w:p>
      <w:pPr>
        <w:spacing w:after="60"/>
      </w:pPr>
      <w:r>
        <w:rPr>
          <w:b/>
          <w:bCs/>
          <w:sz w:val="20"/>
          <w:szCs w:val="20"/>
        </w:rPr>
        <w:t xml:space="preserve">Marker genes (11): </w:t>
      </w:r>
      <w:r>
        <w:rPr>
          <w:sz w:val="20"/>
          <w:szCs w:val="20"/>
        </w:rPr>
        <w:t xml:space="preserve">ICAM1, VCAM1, SELE, SELP, CXCL8, CCL2, CXCL10, NFKBIA, TNFAIP3, IL6, CX3CL1</w:t>
      </w:r>
    </w:p>
    <w:p>
      <w:pPr>
        <w:spacing w:after="160"/>
      </w:pPr>
      <w:r>
        <w:rPr>
          <w:b/>
          <w:bCs/>
          <w:i/>
          <w:iCs/>
          <w:sz w:val="19"/>
          <w:szCs w:val="19"/>
        </w:rPr>
        <w:t xml:space="preserve">Notes: </w:t>
      </w:r>
      <w:r>
        <w:rPr>
          <w:i/>
          <w:iCs/>
          <w:sz w:val="19"/>
          <w:szCs w:val="19"/>
        </w:rPr>
        <w:t xml:space="preserve">ICAM1/VCAM1/SELE/SELP are the canonical NF-kB-induced leukocyte adhesion molecules of activated endothelium. CXCL8/CCL2/CX3CL1 are endothelial-derived chemokines recruiting neutrophils/monocytes. CXCL10 is specifically well documented as a major chemokine produced by activated islet microvasculature/epithelium during insulitis, recruiting CXCR3+ T cells in type 1 diabetes pathogenesis (Uno et al.; Christen et al. insulitis literature). NFKBIA/TNFAIP3 mark the NF-kB activation/negative-feedback signature underlying this state.</w:t>
      </w:r>
    </w:p>
    <w:p>
      <w:pPr>
        <w:pStyle w:val="Heading3"/>
        <w:spacing w:after="60" w:before="160"/>
      </w:pPr>
      <w:r>
        <w:t xml:space="preserve">Senescent/dysfunctional endothelial cell</w:t>
      </w:r>
    </w:p>
    <w:p>
      <w:pPr>
        <w:spacing w:after="60"/>
      </w:pPr>
      <w:r>
        <w:rPr>
          <w:b/>
          <w:bCs/>
          <w:sz w:val="20"/>
          <w:szCs w:val="20"/>
        </w:rPr>
        <w:t xml:space="preserve">Phenotype: </w:t>
      </w:r>
      <w:r>
        <w:rPr>
          <w:sz w:val="20"/>
          <w:szCs w:val="20"/>
        </w:rPr>
        <w:t xml:space="preserve">Reduced barrier integrity and nitric-oxide signaling associated with vascular aging and diabetes-related microangiopathy</w:t>
      </w:r>
    </w:p>
    <w:p>
      <w:pPr>
        <w:spacing w:after="60"/>
      </w:pPr>
      <w:r>
        <w:rPr>
          <w:b/>
          <w:bCs/>
          <w:sz w:val="20"/>
          <w:szCs w:val="20"/>
        </w:rPr>
        <w:t xml:space="preserve">Marker genes (12): </w:t>
      </w:r>
      <w:r>
        <w:rPr>
          <w:sz w:val="20"/>
          <w:szCs w:val="20"/>
        </w:rPr>
        <w:t xml:space="preserve">CDKN2A, CDKN1A, TP53, SERPINE1, IL6, IL1B, CXCL8, MMP3, THBS1, ICAM1, NOS3, CLDN5</w:t>
      </w:r>
    </w:p>
    <w:p>
      <w:pPr>
        <w:spacing w:after="160"/>
      </w:pPr>
      <w:r>
        <w:rPr>
          <w:b/>
          <w:bCs/>
          <w:i/>
          <w:iCs/>
          <w:sz w:val="19"/>
          <w:szCs w:val="19"/>
        </w:rPr>
        <w:t xml:space="preserve">Notes: </w:t>
      </w:r>
      <w:r>
        <w:rPr>
          <w:i/>
          <w:iCs/>
          <w:sz w:val="19"/>
          <w:szCs w:val="19"/>
        </w:rPr>
        <w:t xml:space="preserve">CDKN2A(p16)/CDKN1A(p21)/TP53 are the core senescence cell-cycle-arrest program, shown to be up-regulated in diabetic/high-glucose-exposed endothelial cells (retinal and wound endothelium senescence studies). SERPINE1/PAI-1 is both a marker and functional mediator of endothelial senescence, elevated in diabetic retinopathy vitreous fluid (Vasile et al.; 'PAI-1 Is a Marker and a Mediator of Senescence', ATVB). THBS1 (thrombospondin-1) mediates diabetes-induced endothelial senescence via CD47 signaling and impaired angiogenesis. IL6/IL1B/CXCL8/MMP3 are core SASP factors. NOS3 and CLDN5 are included as down-regulated markers reflecting the reduced nitric-oxide signaling and barrier integrity that define this dysfunctional state, consistent with diabetes-related microangiopathy.</w:t>
      </w:r>
    </w:p>
    <w:p>
      <w:pPr>
        <w:pStyle w:val="Heading2"/>
        <w:spacing w:after="100" w:before="200"/>
      </w:pPr>
      <w:r>
        <w:t xml:space="preserve">T cell</w:t>
      </w:r>
    </w:p>
    <w:p>
      <w:pPr>
        <w:pStyle w:val="Heading3"/>
        <w:spacing w:after="60" w:before="160"/>
      </w:pPr>
      <w:r>
        <w:t xml:space="preserve">Naive/quiescent T cell</w:t>
      </w:r>
    </w:p>
    <w:p>
      <w:pPr>
        <w:spacing w:after="60"/>
      </w:pPr>
      <w:r>
        <w:rPr>
          <w:b/>
          <w:bCs/>
          <w:sz w:val="20"/>
          <w:szCs w:val="20"/>
        </w:rPr>
        <w:t xml:space="preserve">Phenotype: </w:t>
      </w:r>
      <w:r>
        <w:rPr>
          <w:sz w:val="20"/>
          <w:szCs w:val="20"/>
        </w:rPr>
        <w:t xml:space="preserve">Circulating, antigen-inexperienced T cell</w:t>
      </w:r>
    </w:p>
    <w:p>
      <w:pPr>
        <w:spacing w:after="60"/>
      </w:pPr>
      <w:r>
        <w:rPr>
          <w:b/>
          <w:bCs/>
          <w:sz w:val="20"/>
          <w:szCs w:val="20"/>
        </w:rPr>
        <w:t xml:space="preserve">Marker genes (11): </w:t>
      </w:r>
      <w:r>
        <w:rPr>
          <w:sz w:val="20"/>
          <w:szCs w:val="20"/>
        </w:rPr>
        <w:t xml:space="preserve">CCR7, SELL, IL7R, TCF7, LEF1, CD27, CD28, BACH2, SATB1, KLF2, S1PR1</w:t>
      </w:r>
    </w:p>
    <w:p>
      <w:pPr>
        <w:spacing w:after="160"/>
      </w:pPr>
      <w:r>
        <w:rPr>
          <w:b/>
          <w:bCs/>
          <w:i/>
          <w:iCs/>
          <w:sz w:val="19"/>
          <w:szCs w:val="19"/>
        </w:rPr>
        <w:t xml:space="preserve">Notes: </w:t>
      </w:r>
      <w:r>
        <w:rPr>
          <w:i/>
          <w:iCs/>
          <w:sz w:val="19"/>
          <w:szCs w:val="19"/>
        </w:rPr>
        <w:t xml:space="preserve">Classic circulating naive/quiescent T cell signature: lymph-node homing receptors (CCR7, SELL/CD62L, S1PR1), survival/quiescence factors (IL7R, BCL2 pathway via KLF2), and stemness/naive transcription factors (TCF7, LEF1, BACH2, SATB1) that are downregulated upon effector or exhaustion differentiation. CD27/CD28 costimulatory receptors are progressively lost with differentiation, marking naive/early memory status.</w:t>
      </w:r>
    </w:p>
    <w:p>
      <w:pPr>
        <w:pStyle w:val="Heading3"/>
        <w:spacing w:after="60" w:before="160"/>
      </w:pPr>
      <w:r>
        <w:t xml:space="preserve">Cytotoxic activated T cell</w:t>
      </w:r>
    </w:p>
    <w:p>
      <w:pPr>
        <w:spacing w:after="60"/>
      </w:pPr>
      <w:r>
        <w:rPr>
          <w:b/>
          <w:bCs/>
          <w:sz w:val="20"/>
          <w:szCs w:val="20"/>
        </w:rPr>
        <w:t xml:space="preserve">Phenotype: </w:t>
      </w:r>
      <w:r>
        <w:rPr>
          <w:sz w:val="20"/>
          <w:szCs w:val="20"/>
        </w:rPr>
        <w:t xml:space="preserve">Autoreactive CD8+ effector state driving beta-cell killing in insulitis, characteristic of type 1 diabetes</w:t>
      </w:r>
    </w:p>
    <w:p>
      <w:pPr>
        <w:spacing w:after="60"/>
      </w:pPr>
      <w:r>
        <w:rPr>
          <w:b/>
          <w:bCs/>
          <w:sz w:val="20"/>
          <w:szCs w:val="20"/>
        </w:rPr>
        <w:t xml:space="preserve">Marker genes (12): </w:t>
      </w:r>
      <w:r>
        <w:rPr>
          <w:sz w:val="20"/>
          <w:szCs w:val="20"/>
        </w:rPr>
        <w:t xml:space="preserve">GZMB, PRF1, IFNG, GZMA, GZMK, NKG7, KLRG1, CD69, TNF, TBX21, CD8A, IL2RA</w:t>
      </w:r>
    </w:p>
    <w:p>
      <w:pPr>
        <w:spacing w:after="160"/>
      </w:pPr>
      <w:r>
        <w:rPr>
          <w:b/>
          <w:bCs/>
          <w:i/>
          <w:iCs/>
          <w:sz w:val="19"/>
          <w:szCs w:val="19"/>
        </w:rPr>
        <w:t xml:space="preserve">Notes: </w:t>
      </w:r>
      <w:r>
        <w:rPr>
          <w:i/>
          <w:iCs/>
          <w:sz w:val="19"/>
          <w:szCs w:val="19"/>
        </w:rPr>
        <w:t xml:space="preserve">Effector CD8+ cytotoxic program: cytolytic granule contents (GZMB, GZMA, GZMK, PRF1, NKG7), effector cytokines (IFNG, TNF), the master effector transcription factor TBX21 (T-bet), and canonical early/short-term activation markers CD69 and IL2RA (CD25). KLRG1 marks terminally differentiated short-lived effector cells, consistent with autoreactive effector CD8+ T cells in insulitis.</w:t>
      </w:r>
    </w:p>
    <w:p>
      <w:pPr>
        <w:pStyle w:val="Heading3"/>
        <w:spacing w:after="60" w:before="160"/>
      </w:pPr>
      <w:r>
        <w:t xml:space="preserve">Exhausted T cell</w:t>
      </w:r>
    </w:p>
    <w:p>
      <w:pPr>
        <w:spacing w:after="60"/>
      </w:pPr>
      <w:r>
        <w:rPr>
          <w:b/>
          <w:bCs/>
          <w:sz w:val="20"/>
          <w:szCs w:val="20"/>
        </w:rPr>
        <w:t xml:space="preserve">Phenotype: </w:t>
      </w:r>
      <w:r>
        <w:rPr>
          <w:sz w:val="20"/>
          <w:szCs w:val="20"/>
        </w:rPr>
        <w:t xml:space="preserve">Dysfunctional state arising from chronic antigen exposure, seen in longstanding autoimmune infiltrates and tumors</w:t>
      </w:r>
    </w:p>
    <w:p>
      <w:pPr>
        <w:spacing w:after="60"/>
      </w:pPr>
      <w:r>
        <w:rPr>
          <w:b/>
          <w:bCs/>
          <w:sz w:val="20"/>
          <w:szCs w:val="20"/>
        </w:rPr>
        <w:t xml:space="preserve">Marker genes (12): </w:t>
      </w:r>
      <w:r>
        <w:rPr>
          <w:sz w:val="20"/>
          <w:szCs w:val="20"/>
        </w:rPr>
        <w:t xml:space="preserve">PDCD1, LAG3, HAVCR2, TOX, TIGIT, ENTPD1, CD38, EOMES, CTLA4, CXCL13, BATF, TNFRSF9</w:t>
      </w:r>
    </w:p>
    <w:p>
      <w:pPr>
        <w:spacing w:after="160"/>
      </w:pPr>
      <w:r>
        <w:rPr>
          <w:b/>
          <w:bCs/>
          <w:i/>
          <w:iCs/>
          <w:sz w:val="19"/>
          <w:szCs w:val="19"/>
        </w:rPr>
        <w:t xml:space="preserve">Notes: </w:t>
      </w:r>
      <w:r>
        <w:rPr>
          <w:i/>
          <w:iCs/>
          <w:sz w:val="19"/>
          <w:szCs w:val="19"/>
        </w:rPr>
        <w:t xml:space="preserve">Core chronic-antigen exhaustion signature from Wherry/Kurachi and TOX-driven exhaustion program studies: co-inhibitory receptors PDCD1 (PD-1), LAG3, HAVCR2 (TIM-3), TIGIT, CTLA4, TNFRSF9 (4-1BB); the exhaustion-defining transcription factor TOX with EOMES and BATF; and terminal-exhaustion/dysfunction markers ENTPD1 (CD39) and CD38. CXCL13 marks a well-described exhausted/dysfunctional CD8 subset in tumors and chronic infection.</w:t>
      </w:r>
    </w:p>
    <w:p>
      <w:pPr>
        <w:pStyle w:val="Heading3"/>
        <w:spacing w:after="60" w:before="160"/>
      </w:pPr>
      <w:r>
        <w:t xml:space="preserve">Regulatory T cell</w:t>
      </w:r>
    </w:p>
    <w:p>
      <w:pPr>
        <w:spacing w:after="60"/>
      </w:pPr>
      <w:r>
        <w:rPr>
          <w:b/>
          <w:bCs/>
          <w:sz w:val="20"/>
          <w:szCs w:val="20"/>
        </w:rPr>
        <w:t xml:space="preserve">Phenotype: </w:t>
      </w:r>
      <w:r>
        <w:rPr>
          <w:sz w:val="20"/>
          <w:szCs w:val="20"/>
        </w:rPr>
        <w:t xml:space="preserve">Tolerogenic Treg state restraining autoimmune attack on islets</w:t>
      </w:r>
    </w:p>
    <w:p>
      <w:pPr>
        <w:spacing w:after="60"/>
      </w:pPr>
      <w:r>
        <w:rPr>
          <w:b/>
          <w:bCs/>
          <w:sz w:val="20"/>
          <w:szCs w:val="20"/>
        </w:rPr>
        <w:t xml:space="preserve">Marker genes (12): </w:t>
      </w:r>
      <w:r>
        <w:rPr>
          <w:sz w:val="20"/>
          <w:szCs w:val="20"/>
        </w:rPr>
        <w:t xml:space="preserve">FOXP3, IL2RA, CTLA4, IKZF2, TNFRSF18, ENTPD1, NT5E, IL10, TGFB1, LRRC32, IKZF4, CCR4</w:t>
      </w:r>
    </w:p>
    <w:p>
      <w:pPr>
        <w:spacing w:after="160"/>
      </w:pPr>
      <w:r>
        <w:rPr>
          <w:b/>
          <w:bCs/>
          <w:i/>
          <w:iCs/>
          <w:sz w:val="19"/>
          <w:szCs w:val="19"/>
        </w:rPr>
        <w:t xml:space="preserve">Notes: </w:t>
      </w:r>
      <w:r>
        <w:rPr>
          <w:i/>
          <w:iCs/>
          <w:sz w:val="19"/>
          <w:szCs w:val="19"/>
        </w:rPr>
        <w:t xml:space="preserve">FOXP3 lineage-defining transcription factor plus core Treg suppressive machinery: IL2RA (CD25), CTLA4, TNFRSF18 (GITR), the adenosine-generating ectoenzyme pair ENTPD1 (CD39)/NT5E (CD73), LRRC32 (GARP, latent TGF-beta presentation), and suppressive cytokines IL10/TGFB1. IKZF2 (Helios) and IKZF4 (Eos) are Treg-stabilizing transcription factors; CCR4 marks tissue-homing Tregs.</w:t>
      </w:r>
    </w:p>
    <w:p>
      <w:pPr>
        <w:pStyle w:val="Heading2"/>
        <w:spacing w:after="100" w:before="200"/>
      </w:pPr>
      <w:r>
        <w:t xml:space="preserve">B cell</w:t>
      </w:r>
    </w:p>
    <w:p>
      <w:pPr>
        <w:pStyle w:val="Heading3"/>
        <w:spacing w:after="60" w:before="160"/>
      </w:pPr>
      <w:r>
        <w:t xml:space="preserve">Naive B cell</w:t>
      </w:r>
    </w:p>
    <w:p>
      <w:pPr>
        <w:spacing w:after="60"/>
      </w:pPr>
      <w:r>
        <w:rPr>
          <w:b/>
          <w:bCs/>
          <w:sz w:val="20"/>
          <w:szCs w:val="20"/>
        </w:rPr>
        <w:t xml:space="preserve">Phenotype: </w:t>
      </w:r>
      <w:r>
        <w:rPr>
          <w:sz w:val="20"/>
          <w:szCs w:val="20"/>
        </w:rPr>
        <w:t xml:space="preserve">Circulating antigen-inexperienced B cell</w:t>
      </w:r>
    </w:p>
    <w:p>
      <w:pPr>
        <w:spacing w:after="60"/>
      </w:pPr>
      <w:r>
        <w:rPr>
          <w:b/>
          <w:bCs/>
          <w:sz w:val="20"/>
          <w:szCs w:val="20"/>
        </w:rPr>
        <w:t xml:space="preserve">Marker genes (11): </w:t>
      </w:r>
      <w:r>
        <w:rPr>
          <w:sz w:val="20"/>
          <w:szCs w:val="20"/>
        </w:rPr>
        <w:t xml:space="preserve">CD19, MS4A1, CD79A, CD79B, PAX5, SELL, CCR7, IGHD, TCL1A, FCER2, BACH2</w:t>
      </w:r>
    </w:p>
    <w:p>
      <w:pPr>
        <w:spacing w:after="160"/>
      </w:pPr>
      <w:r>
        <w:rPr>
          <w:b/>
          <w:bCs/>
          <w:i/>
          <w:iCs/>
          <w:sz w:val="19"/>
          <w:szCs w:val="19"/>
        </w:rPr>
        <w:t xml:space="preserve">Notes: </w:t>
      </w:r>
      <w:r>
        <w:rPr>
          <w:i/>
          <w:iCs/>
          <w:sz w:val="19"/>
          <w:szCs w:val="19"/>
        </w:rPr>
        <w:t xml:space="preserve">Core B-cell identity/BCR complex (CD19, MS4A1/CD20, CD79A, CD79B, PAX5) combined with markers that specifically distinguish naive from antigen-experienced B cells: surface IgD (IGHD), TCL1A and FCER2 (CD23), high BACH2, and lymphoid-homing receptors SELL/CCR7 that are lost upon activation/memory formation.</w:t>
      </w:r>
    </w:p>
    <w:p>
      <w:pPr>
        <w:pStyle w:val="Heading3"/>
        <w:spacing w:after="60" w:before="160"/>
      </w:pPr>
      <w:r>
        <w:t xml:space="preserve">Activated B cell</w:t>
      </w:r>
    </w:p>
    <w:p>
      <w:pPr>
        <w:spacing w:after="60"/>
      </w:pPr>
      <w:r>
        <w:rPr>
          <w:b/>
          <w:bCs/>
          <w:sz w:val="20"/>
          <w:szCs w:val="20"/>
        </w:rPr>
        <w:t xml:space="preserve">Phenotype: </w:t>
      </w:r>
      <w:r>
        <w:rPr>
          <w:sz w:val="20"/>
          <w:szCs w:val="20"/>
        </w:rPr>
        <w:t xml:space="preserve">Antigen-engaged, proliferating B cell</w:t>
      </w:r>
    </w:p>
    <w:p>
      <w:pPr>
        <w:spacing w:after="60"/>
      </w:pPr>
      <w:r>
        <w:rPr>
          <w:b/>
          <w:bCs/>
          <w:sz w:val="20"/>
          <w:szCs w:val="20"/>
        </w:rPr>
        <w:t xml:space="preserve">Marker genes (12): </w:t>
      </w:r>
      <w:r>
        <w:rPr>
          <w:sz w:val="20"/>
          <w:szCs w:val="20"/>
        </w:rPr>
        <w:t xml:space="preserve">CD69, CD86, CD83, MYC, MKI67, CCND2, AICDA, IRF4, BATF, NFKB1, CD40, GPR183</w:t>
      </w:r>
    </w:p>
    <w:p>
      <w:pPr>
        <w:spacing w:after="160"/>
      </w:pPr>
      <w:r>
        <w:rPr>
          <w:b/>
          <w:bCs/>
          <w:i/>
          <w:iCs/>
          <w:sz w:val="19"/>
          <w:szCs w:val="19"/>
        </w:rPr>
        <w:t xml:space="preserve">Notes: </w:t>
      </w:r>
      <w:r>
        <w:rPr>
          <w:i/>
          <w:iCs/>
          <w:sz w:val="19"/>
          <w:szCs w:val="19"/>
        </w:rPr>
        <w:t xml:space="preserve">Antigen/BCR-engagement activation markers (CD69, CD86, CD83, CD40), proliferation program (MYC, MKI67, CCND2), and germinal-center/plasmablast-commitment transcription factors (IRF4, BATF, NFKB1). AICDA (AID) marks activated germinal-center B cells undergoing somatic hypermutation/class switching; GPR183 (EBI2) directs activated B cell positioning.</w:t>
      </w:r>
    </w:p>
    <w:p>
      <w:pPr>
        <w:pStyle w:val="Heading3"/>
        <w:spacing w:after="60" w:before="160"/>
      </w:pPr>
      <w:r>
        <w:t xml:space="preserve">Antibody-secreting (plasma-like) B cell</w:t>
      </w:r>
    </w:p>
    <w:p>
      <w:pPr>
        <w:spacing w:after="60"/>
      </w:pPr>
      <w:r>
        <w:rPr>
          <w:b/>
          <w:bCs/>
          <w:sz w:val="20"/>
          <w:szCs w:val="20"/>
        </w:rPr>
        <w:t xml:space="preserve">Phenotype: </w:t>
      </w:r>
      <w:r>
        <w:rPr>
          <w:sz w:val="20"/>
          <w:szCs w:val="20"/>
        </w:rPr>
        <w:t xml:space="preserve">Terminally differentiated antibody-secreting state implicated in islet-autoantibody production in type 1 diabetes</w:t>
      </w:r>
    </w:p>
    <w:p>
      <w:pPr>
        <w:spacing w:after="60"/>
      </w:pPr>
      <w:r>
        <w:rPr>
          <w:b/>
          <w:bCs/>
          <w:sz w:val="20"/>
          <w:szCs w:val="20"/>
        </w:rPr>
        <w:t xml:space="preserve">Marker genes (12): </w:t>
      </w:r>
      <w:r>
        <w:rPr>
          <w:sz w:val="20"/>
          <w:szCs w:val="20"/>
        </w:rPr>
        <w:t xml:space="preserve">PRDM1, XBP1, SDC1, IRF4, JCHAIN, MZB1, TNFRSF17, IGHG1, IGHM, CD27, SLAMF7, POU2AF1</w:t>
      </w:r>
    </w:p>
    <w:p>
      <w:pPr>
        <w:spacing w:after="160"/>
      </w:pPr>
      <w:r>
        <w:rPr>
          <w:b/>
          <w:bCs/>
          <w:i/>
          <w:iCs/>
          <w:sz w:val="19"/>
          <w:szCs w:val="19"/>
        </w:rPr>
        <w:t xml:space="preserve">Notes: </w:t>
      </w:r>
      <w:r>
        <w:rPr>
          <w:i/>
          <w:iCs/>
          <w:sz w:val="19"/>
          <w:szCs w:val="19"/>
        </w:rPr>
        <w:t xml:space="preserve">Canonical terminal plasma-cell differentiation program (Nutt et al., Nat Rev Immunol 2015): master regulators PRDM1 (BLIMP1), XBP1, IRF4, POU2AF1 (OCA-B); secretory-pathway/ER genes JCHAIN and MZB1; surface plasma cell markers SDC1 (CD138), TNFRSF17 (BCMA), SLAMF7, CD27; and secreted immunoglobulin transcripts IGHG1/IGHM consistent with autoantibody-producing plasma cells in T1D.</w:t>
      </w:r>
    </w:p>
    <w:p>
      <w:pPr>
        <w:pStyle w:val="Heading3"/>
        <w:spacing w:after="60" w:before="160"/>
      </w:pPr>
      <w:r>
        <w:t xml:space="preserve">Memory B cell</w:t>
      </w:r>
    </w:p>
    <w:p>
      <w:pPr>
        <w:spacing w:after="60"/>
      </w:pPr>
      <w:r>
        <w:rPr>
          <w:b/>
          <w:bCs/>
          <w:sz w:val="20"/>
          <w:szCs w:val="20"/>
        </w:rPr>
        <w:t xml:space="preserve">Phenotype: </w:t>
      </w:r>
      <w:r>
        <w:rPr>
          <w:sz w:val="20"/>
          <w:szCs w:val="20"/>
        </w:rPr>
        <w:t xml:space="preserve">Long-lived antigen-experienced B cell poised for rapid recall response</w:t>
      </w:r>
    </w:p>
    <w:p>
      <w:pPr>
        <w:spacing w:after="60"/>
      </w:pPr>
      <w:r>
        <w:rPr>
          <w:b/>
          <w:bCs/>
          <w:sz w:val="20"/>
          <w:szCs w:val="20"/>
        </w:rPr>
        <w:t xml:space="preserve">Marker genes (10): </w:t>
      </w:r>
      <w:r>
        <w:rPr>
          <w:sz w:val="20"/>
          <w:szCs w:val="20"/>
        </w:rPr>
        <w:t xml:space="preserve">CD27, CXCR4, CD80, CD86, FAS, TNFRSF13B, CR2, CD24, IGHG1, CD44</w:t>
      </w:r>
    </w:p>
    <w:p>
      <w:pPr>
        <w:spacing w:after="160"/>
      </w:pPr>
      <w:r>
        <w:rPr>
          <w:b/>
          <w:bCs/>
          <w:i/>
          <w:iCs/>
          <w:sz w:val="19"/>
          <w:szCs w:val="19"/>
        </w:rPr>
        <w:t xml:space="preserve">Notes: </w:t>
      </w:r>
      <w:r>
        <w:rPr>
          <w:i/>
          <w:iCs/>
          <w:sz w:val="19"/>
          <w:szCs w:val="19"/>
        </w:rPr>
        <w:t xml:space="preserve">CD27 remains the most widely used human memory B cell marker despite known caveats (not universal, can be modulated by IL-21), so it is paired with a broader consensus memory panel: CD80/CD86 (costimulatory upregulation vs naive), FAS/CD95, TNFRSF13B (TACI), CR2 (CD21), CD24, CXCR4 (tissue recall homing), and class-switched IGHG1 transcript. Kept to 10 genes given genuine heterogeneity/lack of a single definitive memory B marker in the literature.</w:t>
      </w:r>
    </w:p>
    <w:p>
      <w:pPr>
        <w:pStyle w:val="Heading2"/>
        <w:spacing w:after="100" w:before="200"/>
      </w:pPr>
      <w:r>
        <w:t xml:space="preserve">Macrophage</w:t>
      </w:r>
    </w:p>
    <w:p>
      <w:pPr>
        <w:pStyle w:val="Heading3"/>
        <w:spacing w:after="60" w:before="160"/>
      </w:pPr>
      <w:r>
        <w:t xml:space="preserve">Resident homeostatic macrophage</w:t>
      </w:r>
    </w:p>
    <w:p>
      <w:pPr>
        <w:spacing w:after="60"/>
      </w:pPr>
      <w:r>
        <w:rPr>
          <w:b/>
          <w:bCs/>
          <w:sz w:val="20"/>
          <w:szCs w:val="20"/>
        </w:rPr>
        <w:t xml:space="preserve">Phenotype: </w:t>
      </w:r>
      <w:r>
        <w:rPr>
          <w:sz w:val="20"/>
          <w:szCs w:val="20"/>
        </w:rPr>
        <w:t xml:space="preserve">Tissue-resident macrophage maintaining homeostasis and efferocytosis in the healthy pancreas</w:t>
      </w:r>
    </w:p>
    <w:p>
      <w:pPr>
        <w:spacing w:after="60"/>
      </w:pPr>
      <w:r>
        <w:rPr>
          <w:b/>
          <w:bCs/>
          <w:sz w:val="20"/>
          <w:szCs w:val="20"/>
        </w:rPr>
        <w:t xml:space="preserve">Marker genes (12): </w:t>
      </w:r>
      <w:r>
        <w:rPr>
          <w:sz w:val="20"/>
          <w:szCs w:val="20"/>
        </w:rPr>
        <w:t xml:space="preserve">CD68, MRC1, CX3CR1, LYVE1, TIMD4, FOLR2, MERTK, VSIG4, C1QA, C1QB, GAS6, CSF1R</w:t>
      </w:r>
    </w:p>
    <w:p>
      <w:pPr>
        <w:spacing w:after="160"/>
      </w:pPr>
      <w:r>
        <w:rPr>
          <w:b/>
          <w:bCs/>
          <w:i/>
          <w:iCs/>
          <w:sz w:val="19"/>
          <w:szCs w:val="19"/>
        </w:rPr>
        <w:t xml:space="preserve">Notes: </w:t>
      </w:r>
      <w:r>
        <w:rPr>
          <w:i/>
          <w:iCs/>
          <w:sz w:val="19"/>
          <w:szCs w:val="19"/>
        </w:rPr>
        <w:t xml:space="preserve">Homeostatic tissue-resident macrophage identity conserved across organs: self-renewal/identity receptor CSF1R, complement/efferocytosis genes (C1QA, C1QB, MERTK, GAS6, VSIG4) supporting apoptotic-cell clearance, and resident-macrophage-specific surface markers LYVE1, TIMD4, FOLR2 that distinguish long-lived resident populations from recruited monocyte-derived macrophages.</w:t>
      </w:r>
    </w:p>
    <w:p>
      <w:pPr>
        <w:pStyle w:val="Heading3"/>
        <w:spacing w:after="60" w:before="160"/>
      </w:pPr>
      <w:r>
        <w:t xml:space="preserve">M1 inflammatory macrophage</w:t>
      </w:r>
    </w:p>
    <w:p>
      <w:pPr>
        <w:spacing w:after="60"/>
      </w:pPr>
      <w:r>
        <w:rPr>
          <w:b/>
          <w:bCs/>
          <w:sz w:val="20"/>
          <w:szCs w:val="20"/>
        </w:rPr>
        <w:t xml:space="preserve">Phenotype: </w:t>
      </w:r>
      <w:r>
        <w:rPr>
          <w:sz w:val="20"/>
          <w:szCs w:val="20"/>
        </w:rPr>
        <w:t xml:space="preserve">Classically activated macrophage driving insulitis and acute-pancreatitis inflammation</w:t>
      </w:r>
    </w:p>
    <w:p>
      <w:pPr>
        <w:spacing w:after="60"/>
      </w:pPr>
      <w:r>
        <w:rPr>
          <w:b/>
          <w:bCs/>
          <w:sz w:val="20"/>
          <w:szCs w:val="20"/>
        </w:rPr>
        <w:t xml:space="preserve">Marker genes (12): </w:t>
      </w:r>
      <w:r>
        <w:rPr>
          <w:sz w:val="20"/>
          <w:szCs w:val="20"/>
        </w:rPr>
        <w:t xml:space="preserve">NOS2, TNF, IL1B, IL6, CXCL9, CXCL10, CD86, IL12B, CCR7, IRF5, PTGS2, CXCL11</w:t>
      </w:r>
    </w:p>
    <w:p>
      <w:pPr>
        <w:spacing w:after="160"/>
      </w:pPr>
      <w:r>
        <w:rPr>
          <w:b/>
          <w:bCs/>
          <w:i/>
          <w:iCs/>
          <w:sz w:val="19"/>
          <w:szCs w:val="19"/>
        </w:rPr>
        <w:t xml:space="preserve">Notes: </w:t>
      </w:r>
      <w:r>
        <w:rPr>
          <w:i/>
          <w:iCs/>
          <w:sz w:val="19"/>
          <w:szCs w:val="19"/>
        </w:rPr>
        <w:t xml:space="preserve">Classical LPS/IFN-gamma-driven M1 polarization signature (Murray et al., Immunity 2014; Jablonski et al. 2015 gene-signature study): iNOS (NOS2), pro-inflammatory cytokines (TNF, IL1B, IL6, IL12B), Th1-recruiting chemokines CXCL9/CXCL10/CXCL11, costimulatory CD86, and the M1-driving transcription factor IRF5. CCR7 and PTGS2 (COX2) are additional established M1 markers.</w:t>
      </w:r>
    </w:p>
    <w:p>
      <w:pPr>
        <w:pStyle w:val="Heading3"/>
        <w:spacing w:after="60" w:before="160"/>
      </w:pPr>
      <w:r>
        <w:t xml:space="preserve">M2 reparative macrophage</w:t>
      </w:r>
    </w:p>
    <w:p>
      <w:pPr>
        <w:spacing w:after="60"/>
      </w:pPr>
      <w:r>
        <w:rPr>
          <w:b/>
          <w:bCs/>
          <w:sz w:val="20"/>
          <w:szCs w:val="20"/>
        </w:rPr>
        <w:t xml:space="preserve">Phenotype: </w:t>
      </w:r>
      <w:r>
        <w:rPr>
          <w:sz w:val="20"/>
          <w:szCs w:val="20"/>
        </w:rPr>
        <w:t xml:space="preserve">Alternatively activated macrophage supporting tissue repair and fibrosis, also resembling tumor-associated macrophages in PDAC</w:t>
      </w:r>
    </w:p>
    <w:p>
      <w:pPr>
        <w:spacing w:after="60"/>
      </w:pPr>
      <w:r>
        <w:rPr>
          <w:b/>
          <w:bCs/>
          <w:sz w:val="20"/>
          <w:szCs w:val="20"/>
        </w:rPr>
        <w:t xml:space="preserve">Marker genes (12): </w:t>
      </w:r>
      <w:r>
        <w:rPr>
          <w:sz w:val="20"/>
          <w:szCs w:val="20"/>
        </w:rPr>
        <w:t xml:space="preserve">MRC1, ARG1, CD163, IL10, TGFB1, CD36, CCL22, STAB1, MSR1, PDGFB, FN1, CLEC10A</w:t>
      </w:r>
    </w:p>
    <w:p>
      <w:pPr>
        <w:spacing w:after="160"/>
      </w:pPr>
      <w:r>
        <w:rPr>
          <w:b/>
          <w:bCs/>
          <w:i/>
          <w:iCs/>
          <w:sz w:val="19"/>
          <w:szCs w:val="19"/>
        </w:rPr>
        <w:t xml:space="preserve">Notes: </w:t>
      </w:r>
      <w:r>
        <w:rPr>
          <w:i/>
          <w:iCs/>
          <w:sz w:val="19"/>
          <w:szCs w:val="19"/>
        </w:rPr>
        <w:t xml:space="preserve">Alternatively-activated/wound-healing macrophage program: canonical M2 receptors MRC1 (CD206), CD163, CD36, STAB1, MSR1, CLEC10A; arginase metabolic switch ARG1; anti-inflammatory/pro-fibrotic cytokines IL10 and TGFB1; and tissue-repair factors PDGFB and FN1 (fibronectin) reflecting the reparative/fibrogenic role described in pancreatic tissue repair and PDAC stroma.</w:t>
      </w:r>
    </w:p>
    <w:p>
      <w:pPr>
        <w:pStyle w:val="Heading3"/>
        <w:spacing w:after="60" w:before="160"/>
      </w:pPr>
      <w:r>
        <w:t xml:space="preserve">Tumor-associated macrophage</w:t>
      </w:r>
    </w:p>
    <w:p>
      <w:pPr>
        <w:spacing w:after="60"/>
      </w:pPr>
      <w:r>
        <w:rPr>
          <w:b/>
          <w:bCs/>
          <w:sz w:val="20"/>
          <w:szCs w:val="20"/>
        </w:rPr>
        <w:t xml:space="preserve">Phenotype: </w:t>
      </w:r>
      <w:r>
        <w:rPr>
          <w:sz w:val="20"/>
          <w:szCs w:val="20"/>
        </w:rPr>
        <w:t xml:space="preserve">Immunosuppressive macrophage phenotype supporting tumor growth in pancreatic ductal adenocarcinoma</w:t>
      </w:r>
    </w:p>
    <w:p>
      <w:pPr>
        <w:spacing w:after="60"/>
      </w:pPr>
      <w:r>
        <w:rPr>
          <w:b/>
          <w:bCs/>
          <w:sz w:val="20"/>
          <w:szCs w:val="20"/>
        </w:rPr>
        <w:t xml:space="preserve">Marker genes (12): </w:t>
      </w:r>
      <w:r>
        <w:rPr>
          <w:sz w:val="20"/>
          <w:szCs w:val="20"/>
        </w:rPr>
        <w:t xml:space="preserve">CD163, ARG1, MMP9, SPP1, TREM2, MARCO, APOE, C1QC, VEGFA, CD274, IDO1, MRC1</w:t>
      </w:r>
    </w:p>
    <w:p>
      <w:pPr>
        <w:spacing w:after="160"/>
      </w:pPr>
      <w:r>
        <w:rPr>
          <w:b/>
          <w:bCs/>
          <w:i/>
          <w:iCs/>
          <w:sz w:val="19"/>
          <w:szCs w:val="19"/>
        </w:rPr>
        <w:t xml:space="preserve">Notes: </w:t>
      </w:r>
      <w:r>
        <w:rPr>
          <w:i/>
          <w:iCs/>
          <w:sz w:val="19"/>
          <w:szCs w:val="19"/>
        </w:rPr>
        <w:t xml:space="preserve">PDAC-specific TAM signature drawn from recent single-cell TAM atlases: SPP1+/TREM2+/APOE+/C1QC+ TAM subsets are recurrently identified pro-tumorigenic populations in PDAC scRNA-seq (e.g. CTHRC1+ fibroblast/SPP1+ macrophage crosstalk papers; MARCO+ TAM characterization in PDAC, PMID 41577813). Immunosuppressive checkpoint/enzyme genes CD274 (PD-L1) and IDO1, plus angiogenic VEGFA and matrix-remodeling MMP9, reflect the immunosuppressive, pro-angiogenic TAM phenotype supporting tumor growth.</w:t>
      </w:r>
    </w:p>
    <w:p>
      <w:pPr>
        <w:pStyle w:val="Heading2"/>
        <w:spacing w:after="100" w:before="200"/>
      </w:pPr>
      <w:r>
        <w:t xml:space="preserve">Mast cell</w:t>
      </w:r>
    </w:p>
    <w:p>
      <w:pPr>
        <w:pStyle w:val="Heading3"/>
        <w:spacing w:after="60" w:before="160"/>
      </w:pPr>
      <w:r>
        <w:t xml:space="preserve">Resting mast cell</w:t>
      </w:r>
    </w:p>
    <w:p>
      <w:pPr>
        <w:spacing w:after="60"/>
      </w:pPr>
      <w:r>
        <w:rPr>
          <w:b/>
          <w:bCs/>
          <w:sz w:val="20"/>
          <w:szCs w:val="20"/>
        </w:rPr>
        <w:t xml:space="preserve">Phenotype: </w:t>
      </w:r>
      <w:r>
        <w:rPr>
          <w:sz w:val="20"/>
          <w:szCs w:val="20"/>
        </w:rPr>
        <w:t xml:space="preserve">Quiescent tissue-resident mast cell</w:t>
      </w:r>
    </w:p>
    <w:p>
      <w:pPr>
        <w:spacing w:after="60"/>
      </w:pPr>
      <w:r>
        <w:rPr>
          <w:b/>
          <w:bCs/>
          <w:sz w:val="20"/>
          <w:szCs w:val="20"/>
        </w:rPr>
        <w:t xml:space="preserve">Marker genes (12): </w:t>
      </w:r>
      <w:r>
        <w:rPr>
          <w:sz w:val="20"/>
          <w:szCs w:val="20"/>
        </w:rPr>
        <w:t xml:space="preserve">KIT, TPSAB1, TPSB2, CMA1, CPA3, FCER1A, MS4A2, GATA2, MITF, HPGDS, SLC18A2, IL1RL1</w:t>
      </w:r>
    </w:p>
    <w:p>
      <w:pPr>
        <w:spacing w:after="160"/>
      </w:pPr>
      <w:r>
        <w:rPr>
          <w:b/>
          <w:bCs/>
          <w:i/>
          <w:iCs/>
          <w:sz w:val="19"/>
          <w:szCs w:val="19"/>
        </w:rPr>
        <w:t xml:space="preserve">Notes: </w:t>
      </w:r>
      <w:r>
        <w:rPr>
          <w:i/>
          <w:iCs/>
          <w:sz w:val="19"/>
          <w:szCs w:val="19"/>
        </w:rPr>
        <w:t xml:space="preserve">Baseline tissue-resident mast cell identity/differentiation program: KIT (CD117, mast cell growth-factor receptor), the full complement of stored granule proteases (TPSAB1, TPSB2, CMA1, CPA3) present but not yet released, FCER1A/MS4A2 (IgE receptor complex) constitutively expressed, and lineage transcription factors GATA2/MITF. HPGDS, SLC18A2, and IL1RL1 (ST2) reflect steady-state mast cell identity rather than an activation state.</w:t>
      </w:r>
    </w:p>
    <w:p>
      <w:pPr>
        <w:pStyle w:val="Heading3"/>
        <w:spacing w:after="60" w:before="160"/>
      </w:pPr>
      <w:r>
        <w:t xml:space="preserve">Degranulated/activated mast cell</w:t>
      </w:r>
    </w:p>
    <w:p>
      <w:pPr>
        <w:spacing w:after="60"/>
      </w:pPr>
      <w:r>
        <w:rPr>
          <w:b/>
          <w:bCs/>
          <w:sz w:val="20"/>
          <w:szCs w:val="20"/>
        </w:rPr>
        <w:t xml:space="preserve">Phenotype: </w:t>
      </w:r>
      <w:r>
        <w:rPr>
          <w:sz w:val="20"/>
          <w:szCs w:val="20"/>
        </w:rPr>
        <w:t xml:space="preserve">IgE-triggered or injury-triggered degranulation releasing histamine and proteases, implicated in acute pancreatitis and allergic-type responses</w:t>
      </w:r>
    </w:p>
    <w:p>
      <w:pPr>
        <w:spacing w:after="60"/>
      </w:pPr>
      <w:r>
        <w:rPr>
          <w:b/>
          <w:bCs/>
          <w:sz w:val="20"/>
          <w:szCs w:val="20"/>
        </w:rPr>
        <w:t xml:space="preserve">Marker genes (12): </w:t>
      </w:r>
      <w:r>
        <w:rPr>
          <w:sz w:val="20"/>
          <w:szCs w:val="20"/>
        </w:rPr>
        <w:t xml:space="preserve">TPSAB1, CMA1, HDC, FCER1A, MS4A2, SYK, IL6, TNF, CXCL8, IL13, CD63, ENPP3</w:t>
      </w:r>
    </w:p>
    <w:p>
      <w:pPr>
        <w:spacing w:after="160"/>
      </w:pPr>
      <w:r>
        <w:rPr>
          <w:b/>
          <w:bCs/>
          <w:i/>
          <w:iCs/>
          <w:sz w:val="19"/>
          <w:szCs w:val="19"/>
        </w:rPr>
        <w:t xml:space="preserve">Notes: </w:t>
      </w:r>
      <w:r>
        <w:rPr>
          <w:i/>
          <w:iCs/>
          <w:sz w:val="19"/>
          <w:szCs w:val="19"/>
        </w:rPr>
        <w:t xml:space="preserve">IgE/FcepsilonRI-triggered degranulation and downstream cytokine program: proximal signaling (FCER1A, MS4A2, SYK), histamine synthesis (HDC), released granule proteases (TPSAB1, CMA1), and newly synthesized cytokines/chemokines (IL6, TNF, CXCL8, IL13) characteristic of acute activation. CD63 and ENPP3 (CD203c) are established surface activation/degranulation markers used by flow cytometry to identify degranulated mast cells/basophils.</w:t>
      </w:r>
    </w:p>
    <w:p>
      <w:pPr>
        <w:pStyle w:val="Heading3"/>
        <w:spacing w:after="60" w:before="160"/>
      </w:pPr>
      <w:r>
        <w:t xml:space="preserve">Fibrogenic mast cell</w:t>
      </w:r>
    </w:p>
    <w:p>
      <w:pPr>
        <w:spacing w:after="60"/>
      </w:pPr>
      <w:r>
        <w:rPr>
          <w:b/>
          <w:bCs/>
          <w:sz w:val="20"/>
          <w:szCs w:val="20"/>
        </w:rPr>
        <w:t xml:space="preserve">Phenotype: </w:t>
      </w:r>
      <w:r>
        <w:rPr>
          <w:sz w:val="20"/>
          <w:szCs w:val="20"/>
        </w:rPr>
        <w:t xml:space="preserve">Chronic activation state implicated in promoting pancreatic fibrosis via stellate-cell crosstalk</w:t>
      </w:r>
    </w:p>
    <w:p>
      <w:pPr>
        <w:spacing w:after="60"/>
      </w:pPr>
      <w:r>
        <w:rPr>
          <w:b/>
          <w:bCs/>
          <w:sz w:val="20"/>
          <w:szCs w:val="20"/>
        </w:rPr>
        <w:t xml:space="preserve">Marker genes (8): </w:t>
      </w:r>
      <w:r>
        <w:rPr>
          <w:sz w:val="20"/>
          <w:szCs w:val="20"/>
        </w:rPr>
        <w:t xml:space="preserve">TGFB1, CPA3, TPSAB1, CMA1, VEGFA, FGF2, IL13, TIMP1</w:t>
      </w:r>
    </w:p>
    <w:p>
      <w:pPr>
        <w:spacing w:after="160"/>
      </w:pPr>
      <w:r>
        <w:rPr>
          <w:b/>
          <w:bCs/>
          <w:i/>
          <w:iCs/>
          <w:sz w:val="19"/>
          <w:szCs w:val="19"/>
        </w:rPr>
        <w:t xml:space="preserve">Notes: </w:t>
      </w:r>
      <w:r>
        <w:rPr>
          <w:i/>
          <w:iCs/>
          <w:sz w:val="19"/>
          <w:szCs w:val="19"/>
        </w:rPr>
        <w:t xml:space="preserve">Evidence for a distinct transcriptionally-defined 'fibrogenic' mast cell state is limited; this panel is built from literature on mast cell-fibroblast/stellate-cell crosstalk (mast cell tryptase/chymase activating fibroblasts and stellate cells; mast cell-derived TGF-beta1 driving PSC activation and fibrosis, e.g. PMC6468868 in PDAC) plus general pro-fibrotic/angiogenic mast cell mediators (VEGFA, FGF2, IL13, TIMP1). Kept to 8 genes (below the 10-15 target) because direct single-cell evidence for this specific state is thin rather than padding with generic mast cell identity genes.</w:t>
      </w:r>
    </w:p>
    <w:p>
      <w:pPr>
        <w:pStyle w:val="Heading3"/>
        <w:spacing w:after="60" w:before="160"/>
      </w:pPr>
      <w:r>
        <w:t xml:space="preserve">Degranulation-exhausted mast cell</w:t>
      </w:r>
    </w:p>
    <w:p>
      <w:pPr>
        <w:spacing w:after="60"/>
      </w:pPr>
      <w:r>
        <w:rPr>
          <w:b/>
          <w:bCs/>
          <w:sz w:val="20"/>
          <w:szCs w:val="20"/>
        </w:rPr>
        <w:t xml:space="preserve">Phenotype: </w:t>
      </w:r>
      <w:r>
        <w:rPr>
          <w:sz w:val="20"/>
          <w:szCs w:val="20"/>
        </w:rPr>
        <w:t xml:space="preserve">Post-degranulation refractory state with depleted granule stores</w:t>
      </w:r>
    </w:p>
    <w:p>
      <w:pPr>
        <w:spacing w:after="60"/>
      </w:pPr>
      <w:r>
        <w:rPr>
          <w:b/>
          <w:bCs/>
          <w:sz w:val="20"/>
          <w:szCs w:val="20"/>
        </w:rPr>
        <w:t xml:space="preserve">Marker genes (7): </w:t>
      </w:r>
      <w:r>
        <w:rPr>
          <w:sz w:val="20"/>
          <w:szCs w:val="20"/>
        </w:rPr>
        <w:t xml:space="preserve">IL10, CD200R1, FCER1A, MS4A2, SOCS1, SOCS3, CD300A</w:t>
      </w:r>
    </w:p>
    <w:p>
      <w:pPr>
        <w:spacing w:after="160"/>
      </w:pPr>
      <w:r>
        <w:rPr>
          <w:b/>
          <w:bCs/>
          <w:i/>
          <w:iCs/>
          <w:sz w:val="19"/>
          <w:szCs w:val="19"/>
        </w:rPr>
        <w:t xml:space="preserve">Notes: </w:t>
      </w:r>
      <w:r>
        <w:rPr>
          <w:i/>
          <w:iCs/>
          <w:sz w:val="19"/>
          <w:szCs w:val="19"/>
        </w:rPr>
        <w:t xml:space="preserve">No published transcriptomic signature specifically labeled 'exhausted/post-degranulation refractory mast cell' was found; this is the least literature-supported state in the panel. Genes are inferred from mast cell desensitization/hyporesponsiveness biology (a 2026 bioRxiv study on IgE-mediated mast cell desensitization describes an immunoregulatory transcriptional program distinct from activation, though its specific gene list was not accessible) and general negative-feedback regulators of FcepsilonRI signaling: inhibitory receptors CD200R1 and CD300A, negative signaling regulators SOCS1/SOCS3, the anti-inflammatory cytokine IL10, and retained IgE-receptor complex genes FCER1A/MS4A2 (receptor internalization/downregulation being a hallmark of the refractory state). Given the thinness of direct evidence, only 7 genes are provided rather than padding to 10-15.</w:t>
      </w:r>
    </w:p>
    <w:p>
      <w:pPr>
        <w:pStyle w:val="Heading1"/>
        <w:pageBreakBefore/>
        <w:spacing w:after="200"/>
      </w:pPr>
      <w:r>
        <w:t xml:space="preserve">Pancreatic Islet Cell Types -- References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D9E1E4" w:val="clear"/>
          </w:tcPr>
          <w:p>
            <w:r>
              <w:rPr>
                <w:b/>
                <w:bCs/>
                <w:sz w:val="20"/>
                <w:szCs w:val="20"/>
              </w:rPr>
              <w:t xml:space="preserve">Citation</w:t>
            </w:r>
          </w:p>
        </w:tc>
        <w:tc>
          <w:tcPr>
            <w:tcW w:type="dxa" w:w="4000"/>
            <w:shd w:fill="D9E1E4" w:val="clear"/>
          </w:tcPr>
          <w:p>
            <w:r>
              <w:rPr>
                <w:b/>
                <w:bCs/>
                <w:sz w:val="20"/>
                <w:szCs w:val="20"/>
              </w:rPr>
              <w:t xml:space="preserve">Supports</w:t>
            </w:r>
          </w:p>
        </w:tc>
      </w:tr>
      <w:tr>
        <w:tc>
          <w:tcPr>
            <w:tcW w:type="dxa" w:w="6000"/>
          </w:tcPr>
          <w:p>
            <w:r>
              <w:rPr>
                <w:b w:val="false"/>
                <w:bCs w:val="false"/>
                <w:sz w:val="20"/>
                <w:szCs w:val="20"/>
              </w:rPr>
              <w:t xml:space="preserve">Talchai C, Xuan S, Lin HV, Sussel L, Accili D. Pancreatic β cell dedifferentiation as a mechanism of diabetic β cell failure. Cell. 2012;150(6):1223-1234. PMID: 22980982</w:t>
            </w:r>
          </w:p>
        </w:tc>
        <w:tc>
          <w:tcPr>
            <w:tcW w:type="dxa" w:w="4000"/>
          </w:tcPr>
          <w:p>
            <w:r>
              <w:rPr>
                <w:b w:val="false"/>
                <w:bCs w:val="false"/>
                <w:sz w:val="20"/>
                <w:szCs w:val="20"/>
              </w:rPr>
              <w:t xml:space="preserve">Foundational beta-cell dedifferentiation model: loss of identity genes, gain of progenitor markers (Neurog3, Sox9, Aldh1a3), FOXO1 nuclear exclusion, and emergence of alpha-cell-like markers underlying the dedifferentiated and transdifferentiated beta-cell states.</w:t>
            </w:r>
          </w:p>
        </w:tc>
      </w:tr>
      <w:tr>
        <w:tc>
          <w:tcPr>
            <w:tcW w:type="dxa" w:w="6000"/>
          </w:tcPr>
          <w:p>
            <w:r>
              <w:rPr>
                <w:b w:val="false"/>
                <w:bCs w:val="false"/>
                <w:sz w:val="20"/>
                <w:szCs w:val="20"/>
              </w:rPr>
              <w:t xml:space="preserve">Cinti F, Bouchi R, Kim-Muller JY, et al. Evidence of β-Cell Dedifferentiation in Human Type 2 Diabetes. J Clin Endocrinol Metab. 2016;101(3):1044-1054. PMID: 26713822</w:t>
            </w:r>
          </w:p>
        </w:tc>
        <w:tc>
          <w:tcPr>
            <w:tcW w:type="dxa" w:w="4000"/>
          </w:tcPr>
          <w:p>
            <w:r>
              <w:rPr>
                <w:b w:val="false"/>
                <w:bCs w:val="false"/>
                <w:sz w:val="20"/>
                <w:szCs w:val="20"/>
              </w:rPr>
              <w:t xml:space="preserve">Confirms ALDH1A3 as a marker of beta-cell dedifferentiation in human T2D pancreas.</w:t>
            </w:r>
          </w:p>
        </w:tc>
      </w:tr>
      <w:tr>
        <w:tc>
          <w:tcPr>
            <w:tcW w:type="dxa" w:w="6000"/>
          </w:tcPr>
          <w:p>
            <w:r>
              <w:rPr>
                <w:b w:val="false"/>
                <w:bCs w:val="false"/>
                <w:sz w:val="20"/>
                <w:szCs w:val="20"/>
              </w:rPr>
              <w:t xml:space="preserve">Pullen TJ, Rutter GA. When less is more: the forbidden fruits of gene repression in the adult β-cell. Diabetes Obes Metab. 2013;15(6):503-512.</w:t>
            </w:r>
          </w:p>
        </w:tc>
        <w:tc>
          <w:tcPr>
            <w:tcW w:type="dxa" w:w="4000"/>
          </w:tcPr>
          <w:p>
            <w:r>
              <w:rPr>
                <w:b w:val="false"/>
                <w:bCs w:val="false"/>
                <w:sz w:val="20"/>
                <w:szCs w:val="20"/>
              </w:rPr>
              <w:t xml:space="preserve">Defines 'disallowed genes' (LDHA, SLC16A1/MCT1) whose re-expression marks loss of beta-cell identity, used in the dedifferentiated state.</w:t>
            </w:r>
          </w:p>
        </w:tc>
      </w:tr>
      <w:tr>
        <w:tc>
          <w:tcPr>
            <w:tcW w:type="dxa" w:w="6000"/>
          </w:tcPr>
          <w:p>
            <w:r>
              <w:rPr>
                <w:b w:val="false"/>
                <w:bCs w:val="false"/>
                <w:sz w:val="20"/>
                <w:szCs w:val="20"/>
              </w:rPr>
              <w:t xml:space="preserve">Spijker HS, Song H, Ellenbroek JH, et al. Loss of β-Cell Identity Occurs in Type 2 Diabetes and Is Associated With Islet Amyloid Deposits. Diabetes. 2015;64(8):2928-2938.</w:t>
            </w:r>
          </w:p>
        </w:tc>
        <w:tc>
          <w:tcPr>
            <w:tcW w:type="dxa" w:w="4000"/>
          </w:tcPr>
          <w:p>
            <w:r>
              <w:rPr>
                <w:b w:val="false"/>
                <w:bCs w:val="false"/>
                <w:sz w:val="20"/>
                <w:szCs w:val="20"/>
              </w:rPr>
              <w:t xml:space="preserve">Human evidence for beta-to-alpha cell transdifferentiation (co-expression of ARX/MAFB/GCG in insulin-lineage cells), supporting the transdifferentiated beta-cell state.</w:t>
            </w:r>
          </w:p>
        </w:tc>
      </w:tr>
      <w:tr>
        <w:tc>
          <w:tcPr>
            <w:tcW w:type="dxa" w:w="6000"/>
          </w:tcPr>
          <w:p>
            <w:r>
              <w:rPr>
                <w:b w:val="false"/>
                <w:bCs w:val="false"/>
                <w:sz w:val="20"/>
                <w:szCs w:val="20"/>
              </w:rPr>
              <w:t xml:space="preserve">Human pancreatic α-cell heterogeneity and trajectory inference analyses reveal SMOC1 as a β-cell dedifferentiation gene. Nat Commun. 2025. PMID: 41057332</w:t>
            </w:r>
          </w:p>
        </w:tc>
        <w:tc>
          <w:tcPr>
            <w:tcW w:type="dxa" w:w="4000"/>
          </w:tcPr>
          <w:p>
            <w:r>
              <w:rPr>
                <w:b w:val="false"/>
                <w:bCs w:val="false"/>
                <w:sz w:val="20"/>
                <w:szCs w:val="20"/>
              </w:rPr>
              <w:t xml:space="preserve">Identifies SMOC1 as an alpha-lineage gene ectopically induced along the beta-to-alpha dedifferentiation/transdifferentiation trajectory in human T2D islets.</w:t>
            </w:r>
          </w:p>
        </w:tc>
      </w:tr>
      <w:tr>
        <w:tc>
          <w:tcPr>
            <w:tcW w:type="dxa" w:w="6000"/>
          </w:tcPr>
          <w:p>
            <w:r>
              <w:rPr>
                <w:b w:val="false"/>
                <w:bCs w:val="false"/>
                <w:sz w:val="20"/>
                <w:szCs w:val="20"/>
              </w:rPr>
              <w:t xml:space="preserve">Aguayo-Mazzucato C, Andle J, Lee TB Jr, et al. Acceleration of β Cell Aging Determines Diabetes and Senolysis Improves Disease Outcomes. Cell Metab. 2019;30(1):129-142. PMID: 31155496</w:t>
            </w:r>
          </w:p>
        </w:tc>
        <w:tc>
          <w:tcPr>
            <w:tcW w:type="dxa" w:w="4000"/>
          </w:tcPr>
          <w:p>
            <w:r>
              <w:rPr>
                <w:b w:val="false"/>
                <w:bCs w:val="false"/>
                <w:sz w:val="20"/>
                <w:szCs w:val="20"/>
              </w:rPr>
              <w:t xml:space="preserve">Defines beta-cell senescence markers (CDKN2A/p16, CDKN1A/p21) and use of B2M as a surface marker for FACS isolation of senescent beta cells.</w:t>
            </w:r>
          </w:p>
        </w:tc>
      </w:tr>
      <w:tr>
        <w:tc>
          <w:tcPr>
            <w:tcW w:type="dxa" w:w="6000"/>
          </w:tcPr>
          <w:p>
            <w:r>
              <w:rPr>
                <w:b w:val="false"/>
                <w:bCs w:val="false"/>
                <w:sz w:val="20"/>
                <w:szCs w:val="20"/>
              </w:rPr>
              <w:t xml:space="preserve">Thompson PJ, Shah A, Ntranos V, et al. Targeted Elimination of Senescent Beta Cells Prevents Type 1 Diabetes. Cell Metab. 2019;29(5):1045-1060.</w:t>
            </w:r>
          </w:p>
        </w:tc>
        <w:tc>
          <w:tcPr>
            <w:tcW w:type="dxa" w:w="4000"/>
          </w:tcPr>
          <w:p>
            <w:r>
              <w:rPr>
                <w:b w:val="false"/>
                <w:bCs w:val="false"/>
                <w:sz w:val="20"/>
                <w:szCs w:val="20"/>
              </w:rPr>
              <w:t xml:space="preserve">Characterizes the beta-cell senescence-associated secretory phenotype (SASP: GDF15, SERPINE1, CCL2, IL1B).</w:t>
            </w:r>
          </w:p>
        </w:tc>
      </w:tr>
      <w:tr>
        <w:tc>
          <w:tcPr>
            <w:tcW w:type="dxa" w:w="6000"/>
          </w:tcPr>
          <w:p>
            <w:r>
              <w:rPr>
                <w:b w:val="false"/>
                <w:bCs w:val="false"/>
                <w:sz w:val="20"/>
                <w:szCs w:val="20"/>
              </w:rPr>
              <w:t xml:space="preserve">Zhong L, et al. / FoxM1-related studies (e.g., FoxM1 Is Up-Regulated by Obesity and Stimulates β-Cell Proliferation, Mol Endocrinol 2010; Insulin signaling regulates the FoxM1/PLK1/CENP-A pathway, PMC5382039).</w:t>
            </w:r>
          </w:p>
        </w:tc>
        <w:tc>
          <w:tcPr>
            <w:tcW w:type="dxa" w:w="4000"/>
          </w:tcPr>
          <w:p>
            <w:r>
              <w:rPr>
                <w:b w:val="false"/>
                <w:bCs w:val="false"/>
                <w:sz w:val="20"/>
                <w:szCs w:val="20"/>
              </w:rPr>
              <w:t xml:space="preserve">FOXM1/CCND2/PLK1/CENPA/BIRC5 as drivers of adaptive human beta-cell proliferation in obesity and pregnancy, supporting the proliferating beta-cell state.</w:t>
            </w:r>
          </w:p>
        </w:tc>
      </w:tr>
      <w:tr>
        <w:tc>
          <w:tcPr>
            <w:tcW w:type="dxa" w:w="6000"/>
          </w:tcPr>
          <w:p>
            <w:r>
              <w:rPr>
                <w:b w:val="false"/>
                <w:bCs w:val="false"/>
                <w:sz w:val="20"/>
                <w:szCs w:val="20"/>
              </w:rPr>
              <w:t xml:space="preserve">Xin Y, Gutierrez GD, Okamoto H, et al. and related human islet single-cell studies characterizing alpha-cell-enriched genes LOXL4, CRYBA2, GC, and SLC7A2.</w:t>
            </w:r>
          </w:p>
        </w:tc>
        <w:tc>
          <w:tcPr>
            <w:tcW w:type="dxa" w:w="4000"/>
          </w:tcPr>
          <w:p>
            <w:r>
              <w:rPr>
                <w:b w:val="false"/>
                <w:bCs w:val="false"/>
                <w:sz w:val="20"/>
                <w:szCs w:val="20"/>
              </w:rPr>
              <w:t xml:space="preserve">Human alpha-cell identity markers used in the mature-functional-alpha panel beyond the canonical GCG/ARX/MAFB set.</w:t>
            </w:r>
          </w:p>
        </w:tc>
      </w:tr>
      <w:tr>
        <w:tc>
          <w:tcPr>
            <w:tcW w:type="dxa" w:w="6000"/>
          </w:tcPr>
          <w:p>
            <w:r>
              <w:rPr>
                <w:b w:val="false"/>
                <w:bCs w:val="false"/>
                <w:sz w:val="20"/>
                <w:szCs w:val="20"/>
              </w:rPr>
              <w:t xml:space="preserve">Adriaenssens AE, Svendsen B, Lam BY, et al. Transcriptomic profiling of pancreatic alpha, beta and delta cell populations identifies delta cells as a principal target for ghrelin in mouse islets. Diabetologia. 2016;59(10):2156-2165.</w:t>
            </w:r>
          </w:p>
        </w:tc>
        <w:tc>
          <w:tcPr>
            <w:tcW w:type="dxa" w:w="4000"/>
          </w:tcPr>
          <w:p>
            <w:r>
              <w:rPr>
                <w:b w:val="false"/>
                <w:bCs w:val="false"/>
                <w:sz w:val="20"/>
                <w:szCs w:val="20"/>
              </w:rPr>
              <w:t xml:space="preserve">Delta-cell-enriched markers HHEX, RBP4, LEPR, GHSR used for the mature-functional-delta and delta-hypersecretory states.</w:t>
            </w:r>
          </w:p>
        </w:tc>
      </w:tr>
      <w:tr>
        <w:tc>
          <w:tcPr>
            <w:tcW w:type="dxa" w:w="6000"/>
          </w:tcPr>
          <w:p>
            <w:r>
              <w:rPr>
                <w:b w:val="false"/>
                <w:bCs w:val="false"/>
                <w:sz w:val="20"/>
                <w:szCs w:val="20"/>
              </w:rPr>
              <w:t xml:space="preserve">Somatostatin Containing δ-Cell Number Is Reduced in Type-2 Diabetes. PMC9959292.</w:t>
            </w:r>
          </w:p>
        </w:tc>
        <w:tc>
          <w:tcPr>
            <w:tcW w:type="dxa" w:w="4000"/>
          </w:tcPr>
          <w:p>
            <w:r>
              <w:rPr>
                <w:b w:val="false"/>
                <w:bCs w:val="false"/>
                <w:sz w:val="20"/>
                <w:szCs w:val="20"/>
              </w:rPr>
              <w:t xml:space="preserve">Direct evidence for reduced delta-cell number/mass in human T2D, underlying the delta-reduced state.</w:t>
            </w:r>
          </w:p>
        </w:tc>
      </w:tr>
      <w:tr>
        <w:tc>
          <w:tcPr>
            <w:tcW w:type="dxa" w:w="6000"/>
          </w:tcPr>
          <w:p>
            <w:r>
              <w:rPr>
                <w:b w:val="false"/>
                <w:bCs w:val="false"/>
                <w:sz w:val="20"/>
                <w:szCs w:val="20"/>
              </w:rPr>
              <w:t xml:space="preserve">Dean ED, Li M, Prasad N, et al. Interrupted Glucagon Signaling Reveals Hepatic α Cell Axis and Role for L-Glutamine in α Cell Proliferation. Cell Metab. 2017; and Pancreatic islet α cell function and proliferation require the arginine transporter SLC7A2. JCI 2024.</w:t>
            </w:r>
          </w:p>
        </w:tc>
        <w:tc>
          <w:tcPr>
            <w:tcW w:type="dxa" w:w="4000"/>
          </w:tcPr>
          <w:p>
            <w:r>
              <w:rPr>
                <w:b w:val="false"/>
                <w:bCs w:val="false"/>
                <w:sz w:val="20"/>
                <w:szCs w:val="20"/>
              </w:rPr>
              <w:t xml:space="preserve">SLC38A5/SLC7A2 amino-acid transporter induction linked to hyperglucagonemia and alpha-cell hyperplasia, used in the hyperglucagonemic alpha-cell state.</w:t>
            </w:r>
          </w:p>
        </w:tc>
      </w:tr>
      <w:tr>
        <w:tc>
          <w:tcPr>
            <w:tcW w:type="dxa" w:w="6000"/>
          </w:tcPr>
          <w:p>
            <w:r>
              <w:rPr>
                <w:b w:val="false"/>
                <w:bCs w:val="false"/>
                <w:sz w:val="20"/>
                <w:szCs w:val="20"/>
              </w:rPr>
              <w:t xml:space="preserve">Increased NKX6.1 expression and decreased ARX expression in alpha cells accompany reduced beta-cell volume in human subjects. Sci Rep. 2021;11:16951.</w:t>
            </w:r>
          </w:p>
        </w:tc>
        <w:tc>
          <w:tcPr>
            <w:tcW w:type="dxa" w:w="4000"/>
          </w:tcPr>
          <w:p>
            <w:r>
              <w:rPr>
                <w:b w:val="false"/>
                <w:bCs w:val="false"/>
                <w:sz w:val="20"/>
                <w:szCs w:val="20"/>
              </w:rPr>
              <w:t xml:space="preserve">Direct human evidence of alpha-cell reprogramming markers (NKX6-1 gain, ARX loss) used in the alpha-dedifferentiated state.</w:t>
            </w:r>
          </w:p>
        </w:tc>
      </w:tr>
      <w:tr>
        <w:tc>
          <w:tcPr>
            <w:tcW w:type="dxa" w:w="6000"/>
          </w:tcPr>
          <w:p>
            <w:r>
              <w:rPr>
                <w:b w:val="false"/>
                <w:bCs w:val="false"/>
                <w:sz w:val="20"/>
                <w:szCs w:val="20"/>
              </w:rPr>
              <w:t xml:space="preserve">Andralojc KM, Mercalli A, Nowak KW, et al. Ghrelin-producing epsilon cells in the developing and adult human pancreas. Diabetologia. 2009;52(3):486-493. PMID: 19096824</w:t>
            </w:r>
          </w:p>
        </w:tc>
        <w:tc>
          <w:tcPr>
            <w:tcW w:type="dxa" w:w="4000"/>
          </w:tcPr>
          <w:p>
            <w:r>
              <w:rPr>
                <w:b w:val="false"/>
                <w:bCs w:val="false"/>
                <w:sz w:val="20"/>
                <w:szCs w:val="20"/>
              </w:rPr>
              <w:t xml:space="preserve">Defines epsilon-cell markers (GHRL, ISL1, NKX2-2, absence of NKX6-1/PAX6) and developmental abundance changes used for both epsilon-cell states.</w:t>
            </w:r>
          </w:p>
        </w:tc>
      </w:tr>
      <w:tr>
        <w:tc>
          <w:tcPr>
            <w:tcW w:type="dxa" w:w="6000"/>
          </w:tcPr>
          <w:p>
            <w:r>
              <w:rPr>
                <w:b w:val="false"/>
                <w:bCs w:val="false"/>
                <w:sz w:val="20"/>
                <w:szCs w:val="20"/>
              </w:rPr>
              <w:t xml:space="preserve">Russell MA, Redick SD, Blodgett DM, et al. HLA Class II Antigen Processing and Presentation Pathway Components Demonstrated by Transcriptomics for Islet α, β, and δ-Cells in Type 1 Diabetes. Diabetes. 2019;68(5):988-1001.</w:t>
            </w:r>
          </w:p>
        </w:tc>
        <w:tc>
          <w:tcPr>
            <w:tcW w:type="dxa" w:w="4000"/>
          </w:tcPr>
          <w:p>
            <w:r>
              <w:rPr>
                <w:b w:val="false"/>
                <w:bCs w:val="false"/>
                <w:sz w:val="20"/>
                <w:szCs w:val="20"/>
              </w:rPr>
              <w:t xml:space="preserve">Documents interferon-stimulated gene/HLA class I-II induction across alpha, beta, delta (and by extension other) islet endocrine cell types during insulitis, supporting all *-inflammatory states.</w:t>
            </w:r>
          </w:p>
        </w:tc>
      </w:tr>
      <w:tr>
        <w:tc>
          <w:tcPr>
            <w:tcW w:type="dxa" w:w="6000"/>
          </w:tcPr>
          <w:p>
            <w:r>
              <w:rPr>
                <w:b w:val="false"/>
                <w:bCs w:val="false"/>
                <w:sz w:val="20"/>
                <w:szCs w:val="20"/>
              </w:rPr>
              <w:t xml:space="preserve">Marhfour I, Lopez XM, Lefkaditis D, et al. Expression of endoplasmic reticulum stress markers in the islets of patients with type 1 diabetes. Diabetologia. 2012;55(9):2417-2420.</w:t>
            </w:r>
          </w:p>
        </w:tc>
        <w:tc>
          <w:tcPr>
            <w:tcW w:type="dxa" w:w="4000"/>
          </w:tcPr>
          <w:p>
            <w:r>
              <w:rPr>
                <w:b w:val="false"/>
                <w:bCs w:val="false"/>
                <w:sz w:val="20"/>
                <w:szCs w:val="20"/>
              </w:rPr>
              <w:t xml:space="preserve">Human islet evidence for terminal UPR markers (DDIT3/CHOP, HSPA5, HERPUD1, DNAJB9) used in the er-stressed beta-cell state.</w:t>
            </w:r>
          </w:p>
        </w:tc>
      </w:tr>
      <w:tr>
        <w:tc>
          <w:tcPr>
            <w:tcW w:type="dxa" w:w="6000"/>
          </w:tcPr>
          <w:p>
            <w:r>
              <w:rPr>
                <w:b w:val="false"/>
                <w:bCs w:val="false"/>
                <w:sz w:val="20"/>
                <w:szCs w:val="20"/>
              </w:rPr>
              <w:t xml:space="preserve">Poitout V, Robertson RP. Glucolipotoxicity: fuel excess and beta-cell dysfunction. Endocr Rev. 2008;29(3):351-366.</w:t>
            </w:r>
          </w:p>
        </w:tc>
        <w:tc>
          <w:tcPr>
            <w:tcW w:type="dxa" w:w="4000"/>
          </w:tcPr>
          <w:p>
            <w:r>
              <w:rPr>
                <w:b w:val="false"/>
                <w:bCs w:val="false"/>
                <w:sz w:val="20"/>
                <w:szCs w:val="20"/>
              </w:rPr>
              <w:t xml:space="preserve">Reviews the combined glucose/lipid toxicity signature (TXNIP, CD36, SCD, ceramide pathway) used in the glucolipotoxicity beta-cell state.</w:t>
            </w:r>
          </w:p>
        </w:tc>
      </w:tr>
      <w:tr>
        <w:tc>
          <w:tcPr>
            <w:tcW w:type="dxa" w:w="6000"/>
          </w:tcPr>
          <w:p>
            <w:r>
              <w:rPr>
                <w:b w:val="false"/>
                <w:bCs w:val="false"/>
                <w:sz w:val="20"/>
                <w:szCs w:val="20"/>
              </w:rPr>
              <w:t xml:space="preserve">Halangk W et al., J Clin Invest, 2000</w:t>
            </w:r>
          </w:p>
        </w:tc>
        <w:tc>
          <w:tcPr>
            <w:tcW w:type="dxa" w:w="4000"/>
          </w:tcPr>
          <w:p>
            <w:r>
              <w:rPr>
                <w:b w:val="false"/>
                <w:bCs w:val="false"/>
                <w:sz w:val="20"/>
                <w:szCs w:val="20"/>
              </w:rPr>
              <w:t xml:space="preserve">Cathepsin B (CTSB)-mediated intra-acinar trypsinogen activation as the initiating event of acute pancreatitis.</w:t>
            </w:r>
          </w:p>
        </w:tc>
      </w:tr>
      <w:tr>
        <w:tc>
          <w:tcPr>
            <w:tcW w:type="dxa" w:w="6000"/>
          </w:tcPr>
          <w:p>
            <w:r>
              <w:rPr>
                <w:b w:val="false"/>
                <w:bCs w:val="false"/>
                <w:sz w:val="20"/>
                <w:szCs w:val="20"/>
              </w:rPr>
              <w:t xml:space="preserve">Gukovsky I &amp; Gukovskaya AS, reviews on NF-kB signaling in pancreatitis</w:t>
            </w:r>
          </w:p>
        </w:tc>
        <w:tc>
          <w:tcPr>
            <w:tcW w:type="dxa" w:w="4000"/>
          </w:tcPr>
          <w:p>
            <w:r>
              <w:rPr>
                <w:b w:val="false"/>
                <w:bCs w:val="false"/>
                <w:sz w:val="20"/>
                <w:szCs w:val="20"/>
              </w:rPr>
              <w:t xml:space="preserve">NF-kB (NFKBIA/IL6/TNF/CXCL1) activation as an early, causal acinar-intrinsic event in pancreatitis.</w:t>
            </w:r>
          </w:p>
        </w:tc>
      </w:tr>
      <w:tr>
        <w:tc>
          <w:tcPr>
            <w:tcW w:type="dxa" w:w="6000"/>
          </w:tcPr>
          <w:p>
            <w:r>
              <w:rPr>
                <w:b w:val="false"/>
                <w:bCs w:val="false"/>
                <w:sz w:val="20"/>
                <w:szCs w:val="20"/>
              </w:rPr>
              <w:t xml:space="preserve">Ji B &amp; Logsdon CD, studies on ER stress/UPR in pancreatitis acinar cells</w:t>
            </w:r>
          </w:p>
        </w:tc>
        <w:tc>
          <w:tcPr>
            <w:tcW w:type="dxa" w:w="4000"/>
          </w:tcPr>
          <w:p>
            <w:r>
              <w:rPr>
                <w:b w:val="false"/>
                <w:bCs w:val="false"/>
                <w:sz w:val="20"/>
                <w:szCs w:val="20"/>
              </w:rPr>
              <w:t xml:space="preserve">HSPA5/DDIT3/XBP1/ATF4 unfolded protein response activation in pancreatitis.</w:t>
            </w:r>
          </w:p>
        </w:tc>
      </w:tr>
      <w:tr>
        <w:tc>
          <w:tcPr>
            <w:tcW w:type="dxa" w:w="6000"/>
          </w:tcPr>
          <w:p>
            <w:r>
              <w:rPr>
                <w:b w:val="false"/>
                <w:bCs w:val="false"/>
                <w:sz w:val="20"/>
                <w:szCs w:val="20"/>
              </w:rPr>
              <w:t xml:space="preserve">Kopp JL et al., Cancer Cell, 2012 ('Identification of Sox9-Dependent Acinar-to-Ductal Reprogramming...')</w:t>
            </w:r>
          </w:p>
        </w:tc>
        <w:tc>
          <w:tcPr>
            <w:tcW w:type="dxa" w:w="4000"/>
          </w:tcPr>
          <w:p>
            <w:r>
              <w:rPr>
                <w:b w:val="false"/>
                <w:bCs w:val="false"/>
                <w:sz w:val="20"/>
                <w:szCs w:val="20"/>
              </w:rPr>
              <w:t xml:space="preserve">SOX9-driven acinar-to-ductal metaplasia as the principal PDAC-initiating mechanism.</w:t>
            </w:r>
          </w:p>
        </w:tc>
      </w:tr>
      <w:tr>
        <w:tc>
          <w:tcPr>
            <w:tcW w:type="dxa" w:w="6000"/>
          </w:tcPr>
          <w:p>
            <w:r>
              <w:rPr>
                <w:b w:val="false"/>
                <w:bCs w:val="false"/>
                <w:sz w:val="20"/>
                <w:szCs w:val="20"/>
              </w:rPr>
              <w:t xml:space="preserve">De La O JP et al., PNAS, 2008</w:t>
            </w:r>
          </w:p>
        </w:tc>
        <w:tc>
          <w:tcPr>
            <w:tcW w:type="dxa" w:w="4000"/>
          </w:tcPr>
          <w:p>
            <w:r>
              <w:rPr>
                <w:b w:val="false"/>
                <w:bCs w:val="false"/>
                <w:sz w:val="20"/>
                <w:szCs w:val="20"/>
              </w:rPr>
              <w:t xml:space="preserve">Notch (HES1) and oncogenic Kras cooperatively reprogram acinar cells to ductal intermediates.</w:t>
            </w:r>
          </w:p>
        </w:tc>
      </w:tr>
      <w:tr>
        <w:tc>
          <w:tcPr>
            <w:tcW w:type="dxa" w:w="6000"/>
          </w:tcPr>
          <w:p>
            <w:r>
              <w:rPr>
                <w:b w:val="false"/>
                <w:bCs w:val="false"/>
                <w:sz w:val="20"/>
                <w:szCs w:val="20"/>
              </w:rPr>
              <w:t xml:space="preserve">Ma Z et al., Gastroenterology, 2021 ('Single-cell transcriptomics reveals a conserved metaplasia program in pancreatic injury')</w:t>
            </w:r>
          </w:p>
        </w:tc>
        <w:tc>
          <w:tcPr>
            <w:tcW w:type="dxa" w:w="4000"/>
          </w:tcPr>
          <w:p>
            <w:r>
              <w:rPr>
                <w:b w:val="false"/>
                <w:bCs w:val="false"/>
                <w:sz w:val="20"/>
                <w:szCs w:val="20"/>
              </w:rPr>
              <w:t xml:space="preserve">TFF2/MUC6/MUC1/SPDEF mucinous ADM intermediate populations identified by scRNA-seq.</w:t>
            </w:r>
          </w:p>
        </w:tc>
      </w:tr>
      <w:tr>
        <w:tc>
          <w:tcPr>
            <w:tcW w:type="dxa" w:w="6000"/>
          </w:tcPr>
          <w:p>
            <w:r>
              <w:rPr>
                <w:b w:val="false"/>
                <w:bCs w:val="false"/>
                <w:sz w:val="20"/>
                <w:szCs w:val="20"/>
              </w:rPr>
              <w:t xml:space="preserve">Hruban RH et al., PanIN grading/progression consensus</w:t>
            </w:r>
          </w:p>
        </w:tc>
        <w:tc>
          <w:tcPr>
            <w:tcW w:type="dxa" w:w="4000"/>
          </w:tcPr>
          <w:p>
            <w:r>
              <w:rPr>
                <w:b w:val="false"/>
                <w:bCs w:val="false"/>
                <w:sz w:val="20"/>
                <w:szCs w:val="20"/>
              </w:rPr>
              <w:t xml:space="preserve">KRAS, CDKN2A, TP53, SMAD4 as sequentially acquired PanIN-to-PDAC driver alterations.</w:t>
            </w:r>
          </w:p>
        </w:tc>
      </w:tr>
      <w:tr>
        <w:tc>
          <w:tcPr>
            <w:tcW w:type="dxa" w:w="6000"/>
          </w:tcPr>
          <w:p>
            <w:r>
              <w:rPr>
                <w:b w:val="false"/>
                <w:bCs w:val="false"/>
                <w:sz w:val="20"/>
                <w:szCs w:val="20"/>
              </w:rPr>
              <w:t xml:space="preserve">'Oncogenic KRAS, Mucin 4, and Activin A-Mediated Fibroblast Activation Cooperate for PanIN Initiation', PMC, 2023</w:t>
            </w:r>
          </w:p>
        </w:tc>
        <w:tc>
          <w:tcPr>
            <w:tcW w:type="dxa" w:w="4000"/>
          </w:tcPr>
          <w:p>
            <w:r>
              <w:rPr>
                <w:b w:val="false"/>
                <w:bCs w:val="false"/>
                <w:sz w:val="20"/>
                <w:szCs w:val="20"/>
              </w:rPr>
              <w:t xml:space="preserve">MUC4 as an early PanIN marker associated with activated periductal fibroblasts.</w:t>
            </w:r>
          </w:p>
        </w:tc>
      </w:tr>
      <w:tr>
        <w:tc>
          <w:tcPr>
            <w:tcW w:type="dxa" w:w="6000"/>
          </w:tcPr>
          <w:p>
            <w:r>
              <w:rPr>
                <w:b w:val="false"/>
                <w:bCs w:val="false"/>
                <w:sz w:val="20"/>
                <w:szCs w:val="20"/>
              </w:rPr>
              <w:t xml:space="preserve">'Expression of chosen carcinoembryonic-related cell adhesion molecules in PanIN...' Med Sci Monit / medsci.org</w:t>
            </w:r>
          </w:p>
        </w:tc>
        <w:tc>
          <w:tcPr>
            <w:tcW w:type="dxa" w:w="4000"/>
          </w:tcPr>
          <w:p>
            <w:r>
              <w:rPr>
                <w:b w:val="false"/>
                <w:bCs w:val="false"/>
                <w:sz w:val="20"/>
                <w:szCs w:val="20"/>
              </w:rPr>
              <w:t xml:space="preserve">CEACAM5 absent in normal ducts, increasing with PanIN grade.</w:t>
            </w:r>
          </w:p>
        </w:tc>
      </w:tr>
      <w:tr>
        <w:tc>
          <w:tcPr>
            <w:tcW w:type="dxa" w:w="6000"/>
          </w:tcPr>
          <w:p>
            <w:r>
              <w:rPr>
                <w:b w:val="false"/>
                <w:bCs w:val="false"/>
                <w:sz w:val="20"/>
                <w:szCs w:val="20"/>
              </w:rPr>
              <w:t xml:space="preserve">Wine JJ &amp; Reddy MM (and related), J Cell Sci, 1993; Cold Spring Harb Perspect Med, 2012</w:t>
            </w:r>
          </w:p>
        </w:tc>
        <w:tc>
          <w:tcPr>
            <w:tcW w:type="dxa" w:w="4000"/>
          </w:tcPr>
          <w:p>
            <w:r>
              <w:rPr>
                <w:b w:val="false"/>
                <w:bCs w:val="false"/>
                <w:sz w:val="20"/>
                <w:szCs w:val="20"/>
              </w:rPr>
              <w:t xml:space="preserve">CFTR and MUC1 co-expression in human pancreatic ductal epithelial cells; CFTR loss and mucus obstruction in CF pancreas.</w:t>
            </w:r>
          </w:p>
        </w:tc>
      </w:tr>
      <w:tr>
        <w:tc>
          <w:tcPr>
            <w:tcW w:type="dxa" w:w="6000"/>
          </w:tcPr>
          <w:p>
            <w:r>
              <w:rPr>
                <w:b w:val="false"/>
                <w:bCs w:val="false"/>
                <w:sz w:val="20"/>
                <w:szCs w:val="20"/>
              </w:rPr>
              <w:t xml:space="preserve">'Single-Cell Transcriptomic Analysis of the Mouse Pancreas: Characteristic Features of Pancreatic Ductal Cells in Chronic Pancreatitis', Genes, 2022</w:t>
            </w:r>
          </w:p>
        </w:tc>
        <w:tc>
          <w:tcPr>
            <w:tcW w:type="dxa" w:w="4000"/>
          </w:tcPr>
          <w:p>
            <w:r>
              <w:rPr>
                <w:b w:val="false"/>
                <w:bCs w:val="false"/>
                <w:sz w:val="20"/>
                <w:szCs w:val="20"/>
              </w:rPr>
              <w:t xml:space="preserve">Ductal-cell-specific differential gene expression in chronic pancreatitis.</w:t>
            </w:r>
          </w:p>
        </w:tc>
      </w:tr>
      <w:tr>
        <w:tc>
          <w:tcPr>
            <w:tcW w:type="dxa" w:w="6000"/>
          </w:tcPr>
          <w:p>
            <w:r>
              <w:rPr>
                <w:b w:val="false"/>
                <w:bCs w:val="false"/>
                <w:sz w:val="20"/>
                <w:szCs w:val="20"/>
              </w:rPr>
              <w:t xml:space="preserve">Kisseleva T et al., PNAS, 2012 ('Myofibroblasts revert to an inactive phenotype during regression of liver fibrosis')</w:t>
            </w:r>
          </w:p>
        </w:tc>
        <w:tc>
          <w:tcPr>
            <w:tcW w:type="dxa" w:w="4000"/>
          </w:tcPr>
          <w:p>
            <w:r>
              <w:rPr>
                <w:b w:val="false"/>
                <w:bCs w:val="false"/>
                <w:sz w:val="20"/>
                <w:szCs w:val="20"/>
              </w:rPr>
              <w:t xml:space="preserve">BAMBI/PPARG up-regulation and ACTA2/COL1A1/TIMP1 down-regulation defining reverted (quiescing) myofibroblasts/stellate cells; used here by extrapolation for the pancreatic stellate-quiescing state.</w:t>
            </w:r>
          </w:p>
        </w:tc>
      </w:tr>
      <w:tr>
        <w:tc>
          <w:tcPr>
            <w:tcW w:type="dxa" w:w="6000"/>
          </w:tcPr>
          <w:p>
            <w:r>
              <w:rPr>
                <w:b w:val="false"/>
                <w:bCs w:val="false"/>
                <w:sz w:val="20"/>
                <w:szCs w:val="20"/>
              </w:rPr>
              <w:t xml:space="preserve">Erkan M et al., desmoplasia/periostin studies in chronic pancreatitis and PDAC stroma</w:t>
            </w:r>
          </w:p>
        </w:tc>
        <w:tc>
          <w:tcPr>
            <w:tcW w:type="dxa" w:w="4000"/>
          </w:tcPr>
          <w:p>
            <w:r>
              <w:rPr>
                <w:b w:val="false"/>
                <w:bCs w:val="false"/>
                <w:sz w:val="20"/>
                <w:szCs w:val="20"/>
              </w:rPr>
              <w:t xml:space="preserve">POSTN as a marker of fibrotic desmoplastic stellate-derived stroma.</w:t>
            </w:r>
          </w:p>
        </w:tc>
      </w:tr>
      <w:tr>
        <w:tc>
          <w:tcPr>
            <w:tcW w:type="dxa" w:w="6000"/>
          </w:tcPr>
          <w:p>
            <w:r>
              <w:rPr>
                <w:b w:val="false"/>
                <w:bCs w:val="false"/>
                <w:sz w:val="20"/>
                <w:szCs w:val="20"/>
              </w:rPr>
              <w:t xml:space="preserve">Hellstrom M et al., Nature, 2007</w:t>
            </w:r>
          </w:p>
        </w:tc>
        <w:tc>
          <w:tcPr>
            <w:tcW w:type="dxa" w:w="4000"/>
          </w:tcPr>
          <w:p>
            <w:r>
              <w:rPr>
                <w:b w:val="false"/>
                <w:bCs w:val="false"/>
                <w:sz w:val="20"/>
                <w:szCs w:val="20"/>
              </w:rPr>
              <w:t xml:space="preserve">DLL4 as the canonical marker of angiogenic tip endothelial cells via Notch signaling.</w:t>
            </w:r>
          </w:p>
        </w:tc>
      </w:tr>
      <w:tr>
        <w:tc>
          <w:tcPr>
            <w:tcW w:type="dxa" w:w="6000"/>
          </w:tcPr>
          <w:p>
            <w:r>
              <w:rPr>
                <w:b w:val="false"/>
                <w:bCs w:val="false"/>
                <w:sz w:val="20"/>
                <w:szCs w:val="20"/>
              </w:rPr>
              <w:t xml:space="preserve">Vasile E et al. / 'Plasminogen Activator Inhibitor-1 Is a Marker and a Mediator of Senescence', Arterioscler Thromb Vasc Biol</w:t>
            </w:r>
          </w:p>
        </w:tc>
        <w:tc>
          <w:tcPr>
            <w:tcW w:type="dxa" w:w="4000"/>
          </w:tcPr>
          <w:p>
            <w:r>
              <w:rPr>
                <w:b w:val="false"/>
                <w:bCs w:val="false"/>
                <w:sz w:val="20"/>
                <w:szCs w:val="20"/>
              </w:rPr>
              <w:t xml:space="preserve">SERPINE1/PAI-1 as a marker and mediator of endothelial senescence.</w:t>
            </w:r>
          </w:p>
        </w:tc>
      </w:tr>
      <w:tr>
        <w:tc>
          <w:tcPr>
            <w:tcW w:type="dxa" w:w="6000"/>
          </w:tcPr>
          <w:p>
            <w:r>
              <w:rPr>
                <w:b w:val="false"/>
                <w:bCs w:val="false"/>
                <w:sz w:val="20"/>
                <w:szCs w:val="20"/>
              </w:rPr>
              <w:t xml:space="preserve">Diabetes-induced endothelial senescence via thrombospondin-1/CD47 signaling, PMC (2019)</w:t>
            </w:r>
          </w:p>
        </w:tc>
        <w:tc>
          <w:tcPr>
            <w:tcW w:type="dxa" w:w="4000"/>
          </w:tcPr>
          <w:p>
            <w:r>
              <w:rPr>
                <w:b w:val="false"/>
                <w:bCs w:val="false"/>
                <w:sz w:val="20"/>
                <w:szCs w:val="20"/>
              </w:rPr>
              <w:t xml:space="preserve">THBS1 and impaired angiogenesis in diabetic endothelial senescence, relevant to diabetes-related microangiopathy.</w:t>
            </w:r>
          </w:p>
        </w:tc>
      </w:tr>
      <w:tr>
        <w:tc>
          <w:tcPr>
            <w:tcW w:type="dxa" w:w="6000"/>
          </w:tcPr>
          <w:p>
            <w:r>
              <w:rPr>
                <w:b w:val="false"/>
                <w:bCs w:val="false"/>
                <w:sz w:val="20"/>
                <w:szCs w:val="20"/>
              </w:rPr>
              <w:t xml:space="preserve">Wherry EJ, Kurachi M. Molecular and cellular insights into T cell exhaustion. Nat Rev Immunol. 2015 (PMID 26205583)</w:t>
            </w:r>
          </w:p>
        </w:tc>
        <w:tc>
          <w:tcPr>
            <w:tcW w:type="dxa" w:w="4000"/>
          </w:tcPr>
          <w:p>
            <w:r>
              <w:rPr>
                <w:b w:val="false"/>
                <w:bCs w:val="false"/>
                <w:sz w:val="20"/>
                <w:szCs w:val="20"/>
              </w:rPr>
              <w:t xml:space="preserve">Supports core T cell exhaustion markers PDCD1, LAG3, HAVCR2, TOX, EOMES, ENTPD1 and general exhaustion biology</w:t>
            </w:r>
          </w:p>
        </w:tc>
      </w:tr>
      <w:tr>
        <w:tc>
          <w:tcPr>
            <w:tcW w:type="dxa" w:w="6000"/>
          </w:tcPr>
          <w:p>
            <w:r>
              <w:rPr>
                <w:b w:val="false"/>
                <w:bCs w:val="false"/>
                <w:sz w:val="20"/>
                <w:szCs w:val="20"/>
              </w:rPr>
              <w:t xml:space="preserve">Blank CU et al. Defining 'T cell exhaustion'. Nat Rev Immunol. 2019 (PMID 31570879)</w:t>
            </w:r>
          </w:p>
        </w:tc>
        <w:tc>
          <w:tcPr>
            <w:tcW w:type="dxa" w:w="4000"/>
          </w:tcPr>
          <w:p>
            <w:r>
              <w:rPr>
                <w:b w:val="false"/>
                <w:bCs w:val="false"/>
                <w:sz w:val="20"/>
                <w:szCs w:val="20"/>
              </w:rPr>
              <w:t xml:space="preserve">Consensus nomenclature/markers for exhausted T cells including TIGIT, CD38, BATF</w:t>
            </w:r>
          </w:p>
        </w:tc>
      </w:tr>
      <w:tr>
        <w:tc>
          <w:tcPr>
            <w:tcW w:type="dxa" w:w="6000"/>
          </w:tcPr>
          <w:p>
            <w:r>
              <w:rPr>
                <w:b w:val="false"/>
                <w:bCs w:val="false"/>
                <w:sz w:val="20"/>
                <w:szCs w:val="20"/>
              </w:rPr>
              <w:t xml:space="preserve">Sakaguchi S, Miyara M, Costantino CM, Hafler DA. FOXP3+ regulatory T cells in the human immune system. Nat Rev Immunol. 2010 (PMID 20706272)</w:t>
            </w:r>
          </w:p>
        </w:tc>
        <w:tc>
          <w:tcPr>
            <w:tcW w:type="dxa" w:w="4000"/>
          </w:tcPr>
          <w:p>
            <w:r>
              <w:rPr>
                <w:b w:val="false"/>
                <w:bCs w:val="false"/>
                <w:sz w:val="20"/>
                <w:szCs w:val="20"/>
              </w:rPr>
              <w:t xml:space="preserve">Supports Treg markers FOXP3, IL2RA, CTLA4, IKZF2, TNFRSF18</w:t>
            </w:r>
          </w:p>
        </w:tc>
      </w:tr>
      <w:tr>
        <w:tc>
          <w:tcPr>
            <w:tcW w:type="dxa" w:w="6000"/>
          </w:tcPr>
          <w:p>
            <w:r>
              <w:rPr>
                <w:b w:val="false"/>
                <w:bCs w:val="false"/>
                <w:sz w:val="20"/>
                <w:szCs w:val="20"/>
              </w:rPr>
              <w:t xml:space="preserve">Murray PJ et al. Macrophage activation and polarization: nomenclature and experimental guidelines. Immunity. 2014 (PMID 25035950)</w:t>
            </w:r>
          </w:p>
        </w:tc>
        <w:tc>
          <w:tcPr>
            <w:tcW w:type="dxa" w:w="4000"/>
          </w:tcPr>
          <w:p>
            <w:r>
              <w:rPr>
                <w:b w:val="false"/>
                <w:bCs w:val="false"/>
                <w:sz w:val="20"/>
                <w:szCs w:val="20"/>
              </w:rPr>
              <w:t xml:space="preserve">Standard M1 (NOS2, TNF, IL1B, CXCL9/10) vs M2 (MRC1, ARG1, CD163, IL10) polarization marker guidelines</w:t>
            </w:r>
          </w:p>
        </w:tc>
      </w:tr>
      <w:tr>
        <w:tc>
          <w:tcPr>
            <w:tcW w:type="dxa" w:w="6000"/>
          </w:tcPr>
          <w:p>
            <w:r>
              <w:rPr>
                <w:b w:val="false"/>
                <w:bCs w:val="false"/>
                <w:sz w:val="20"/>
                <w:szCs w:val="20"/>
              </w:rPr>
              <w:t xml:space="preserve">Identification and characterization of MARCO-expressing tumor-associated macrophages in pancreatic ductal adenocarcinoma with pan-cancer relevance. (PMID 41577813)</w:t>
            </w:r>
          </w:p>
        </w:tc>
        <w:tc>
          <w:tcPr>
            <w:tcW w:type="dxa" w:w="4000"/>
          </w:tcPr>
          <w:p>
            <w:r>
              <w:rPr>
                <w:b w:val="false"/>
                <w:bCs w:val="false"/>
                <w:sz w:val="20"/>
                <w:szCs w:val="20"/>
              </w:rPr>
              <w:t xml:space="preserve">Supports MARCO as a PDAC TAM marker</w:t>
            </w:r>
          </w:p>
        </w:tc>
      </w:tr>
      <w:tr>
        <w:tc>
          <w:tcPr>
            <w:tcW w:type="dxa" w:w="6000"/>
          </w:tcPr>
          <w:p>
            <w:r>
              <w:rPr>
                <w:b w:val="false"/>
                <w:bCs w:val="false"/>
                <w:sz w:val="20"/>
                <w:szCs w:val="20"/>
              </w:rPr>
              <w:t xml:space="preserve">CTHRC1+ fibroblasts and SPP1+ macrophages synergistically contribute to pro-tumorigenic tumor microenvironment in pancreatic ductal adenocarcinoma. (PMID 39075108)</w:t>
            </w:r>
          </w:p>
        </w:tc>
        <w:tc>
          <w:tcPr>
            <w:tcW w:type="dxa" w:w="4000"/>
          </w:tcPr>
          <w:p>
            <w:r>
              <w:rPr>
                <w:b w:val="false"/>
                <w:bCs w:val="false"/>
                <w:sz w:val="20"/>
                <w:szCs w:val="20"/>
              </w:rPr>
              <w:t xml:space="preserve">Supports SPP1, TREM2, APOE, C1QC as PDAC TAM subset markers</w:t>
            </w:r>
          </w:p>
        </w:tc>
      </w:tr>
      <w:tr>
        <w:tc>
          <w:tcPr>
            <w:tcW w:type="dxa" w:w="6000"/>
          </w:tcPr>
          <w:p>
            <w:r>
              <w:rPr>
                <w:b w:val="false"/>
                <w:bCs w:val="false"/>
                <w:sz w:val="20"/>
                <w:szCs w:val="20"/>
              </w:rPr>
              <w:t xml:space="preserve">Nutt SL, Hodgkin PD, Tarlinton DM, Corcoran LM. The generation of antibody-secreting plasma cells. Nat Rev Immunol. 2015 (PMID 25907459)</w:t>
            </w:r>
          </w:p>
        </w:tc>
        <w:tc>
          <w:tcPr>
            <w:tcW w:type="dxa" w:w="4000"/>
          </w:tcPr>
          <w:p>
            <w:r>
              <w:rPr>
                <w:b w:val="false"/>
                <w:bCs w:val="false"/>
                <w:sz w:val="20"/>
                <w:szCs w:val="20"/>
              </w:rPr>
              <w:t xml:space="preserve">Supports plasma cell differentiation markers PRDM1, XBP1, IRF4, JCHAIN, SDC1, TNFRSF17</w:t>
            </w:r>
          </w:p>
        </w:tc>
      </w:tr>
      <w:tr>
        <w:tc>
          <w:tcPr>
            <w:tcW w:type="dxa" w:w="6000"/>
          </w:tcPr>
          <w:p>
            <w:r>
              <w:rPr>
                <w:b w:val="false"/>
                <w:bCs w:val="false"/>
                <w:sz w:val="20"/>
                <w:szCs w:val="20"/>
              </w:rPr>
              <w:t xml:space="preserve">Palm AKE, Henry C. Remembrance of Things Past: Long-Term B Cell Memory After Infection and Vaccination. Front Immunol. 2019 (PMID 31031762)</w:t>
            </w:r>
          </w:p>
        </w:tc>
        <w:tc>
          <w:tcPr>
            <w:tcW w:type="dxa" w:w="4000"/>
          </w:tcPr>
          <w:p>
            <w:r>
              <w:rPr>
                <w:b w:val="false"/>
                <w:bCs w:val="false"/>
                <w:sz w:val="20"/>
                <w:szCs w:val="20"/>
              </w:rPr>
              <w:t xml:space="preserve">Supports memory B cell markers CD27, CD80, CD86, FAS, CR2</w:t>
            </w:r>
          </w:p>
        </w:tc>
      </w:tr>
      <w:tr>
        <w:tc>
          <w:tcPr>
            <w:tcW w:type="dxa" w:w="6000"/>
          </w:tcPr>
          <w:p>
            <w:r>
              <w:rPr>
                <w:b w:val="false"/>
                <w:bCs w:val="false"/>
                <w:sz w:val="20"/>
                <w:szCs w:val="20"/>
              </w:rPr>
              <w:t xml:space="preserve">CD27 is not an ideal marker for human memory B cells and can be modulated by IL-21. Sci Rep. 2024 (PMID not confirmed)</w:t>
            </w:r>
          </w:p>
        </w:tc>
        <w:tc>
          <w:tcPr>
            <w:tcW w:type="dxa" w:w="4000"/>
          </w:tcPr>
          <w:p>
            <w:r>
              <w:rPr>
                <w:b w:val="false"/>
                <w:bCs w:val="false"/>
                <w:sz w:val="20"/>
                <w:szCs w:val="20"/>
              </w:rPr>
              <w:t xml:space="preserve">Caveat noted for CD27 as a memory B cell marker, informing the broader memory-B panel used here</w:t>
            </w:r>
          </w:p>
        </w:tc>
      </w:tr>
      <w:tr>
        <w:tc>
          <w:tcPr>
            <w:tcW w:type="dxa" w:w="6000"/>
          </w:tcPr>
          <w:p>
            <w:r>
              <w:rPr>
                <w:b w:val="false"/>
                <w:bCs w:val="false"/>
                <w:sz w:val="20"/>
                <w:szCs w:val="20"/>
              </w:rPr>
              <w:t xml:space="preserve">Metcalfe DD, Baram D, Mekori YA. Mast cells. Physiol Rev. 1997; and general mast cell biology reviews</w:t>
            </w:r>
          </w:p>
        </w:tc>
        <w:tc>
          <w:tcPr>
            <w:tcW w:type="dxa" w:w="4000"/>
          </w:tcPr>
          <w:p>
            <w:r>
              <w:rPr>
                <w:b w:val="false"/>
                <w:bCs w:val="false"/>
                <w:sz w:val="20"/>
                <w:szCs w:val="20"/>
              </w:rPr>
              <w:t xml:space="preserve">Supports mast cell identity/degranulation markers KIT, TPSAB1, CMA1, CPA3, FCER1A, MS4A2, HDC</w:t>
            </w:r>
          </w:p>
        </w:tc>
      </w:tr>
      <w:tr>
        <w:tc>
          <w:tcPr>
            <w:tcW w:type="dxa" w:w="6000"/>
          </w:tcPr>
          <w:p>
            <w:r>
              <w:rPr>
                <w:b w:val="false"/>
                <w:bCs w:val="false"/>
                <w:sz w:val="20"/>
                <w:szCs w:val="20"/>
              </w:rPr>
              <w:t xml:space="preserve">Ma Y et al. CAFs and TGF-beta Signaling Activation by Mast Cells Contribute to Resistance to Gemcitabine/Nab-paclitaxel in Pancreatic Cancer. (PMC6468868)</w:t>
            </w:r>
          </w:p>
        </w:tc>
        <w:tc>
          <w:tcPr>
            <w:tcW w:type="dxa" w:w="4000"/>
          </w:tcPr>
          <w:p>
            <w:r>
              <w:rPr>
                <w:b w:val="false"/>
                <w:bCs w:val="false"/>
                <w:sz w:val="20"/>
                <w:szCs w:val="20"/>
              </w:rPr>
              <w:t xml:space="preserve">Supports mast cell TGFB1-driven fibrogenic crosstalk with pancreatic stellate cells</w:t>
            </w:r>
          </w:p>
        </w:tc>
      </w:tr>
      <w:tr>
        <w:tc>
          <w:tcPr>
            <w:tcW w:type="dxa" w:w="6000"/>
          </w:tcPr>
          <w:p>
            <w:r>
              <w:rPr>
                <w:b w:val="false"/>
                <w:bCs w:val="false"/>
                <w:sz w:val="20"/>
                <w:szCs w:val="20"/>
              </w:rPr>
              <w:t xml:space="preserve">Mast cell desensitization induces a distinct IgE-dependent transcriptional program associated with immune regulation. bioRxiv, 2026 (DOI 10.64898/2026.02.28.708745)</w:t>
            </w:r>
          </w:p>
        </w:tc>
        <w:tc>
          <w:tcPr>
            <w:tcW w:type="dxa" w:w="4000"/>
          </w:tcPr>
          <w:p>
            <w:r>
              <w:rPr>
                <w:b w:val="false"/>
                <w:bCs w:val="false"/>
                <w:sz w:val="20"/>
                <w:szCs w:val="20"/>
              </w:rPr>
              <w:t xml:space="preserve">Basis for the inferred, low-confidence 'exhausted/refractory' mast cell state (immunoregulatory program distinct from activation)</w:t>
            </w:r>
          </w:p>
        </w:tc>
      </w:tr>
    </w:tbl>
    <w:p>
      <w:pPr>
        <w:pStyle w:val="Heading1"/>
        <w:pageBreakBefore/>
        <w:spacing w:after="200"/>
      </w:pPr>
      <w:r>
        <w:t xml:space="preserve">Liver Cell Types</w:t>
      </w:r>
    </w:p>
    <w:p>
      <w:pPr>
        <w:pStyle w:val="Heading2"/>
        <w:spacing w:after="100" w:before="200"/>
      </w:pPr>
      <w:r>
        <w:t xml:space="preserve">Hepatocyte</w:t>
      </w:r>
    </w:p>
    <w:p>
      <w:pPr>
        <w:pStyle w:val="Heading3"/>
        <w:spacing w:after="60" w:before="160"/>
      </w:pPr>
      <w:r>
        <w:t xml:space="preserve">Peri-portal hepatocyte</w:t>
      </w:r>
    </w:p>
    <w:p>
      <w:pPr>
        <w:spacing w:after="60"/>
      </w:pPr>
      <w:r>
        <w:rPr>
          <w:b/>
          <w:bCs/>
          <w:sz w:val="20"/>
          <w:szCs w:val="20"/>
        </w:rPr>
        <w:t xml:space="preserve">Phenotype: </w:t>
      </w:r>
      <w:r>
        <w:rPr>
          <w:sz w:val="20"/>
          <w:szCs w:val="20"/>
        </w:rPr>
        <w:t xml:space="preserve">Zone 1 hepatocyte nearest the portal triad; oxygen- and nutrient-rich environment favoring oxidative and biosynthetic metabolism</w:t>
      </w:r>
    </w:p>
    <w:p>
      <w:pPr>
        <w:spacing w:after="60"/>
      </w:pPr>
      <w:r>
        <w:rPr>
          <w:b/>
          <w:bCs/>
          <w:sz w:val="20"/>
          <w:szCs w:val="20"/>
        </w:rPr>
        <w:t xml:space="preserve">Marker genes (13): </w:t>
      </w:r>
      <w:r>
        <w:rPr>
          <w:sz w:val="20"/>
          <w:szCs w:val="20"/>
        </w:rPr>
        <w:t xml:space="preserve">ASS1, CPS1, ASL, ARG1, OTC, HAL, SDS, PCK1, G6PC, GLS2, FBP1, CYP7A1, ALDOB</w:t>
      </w:r>
    </w:p>
    <w:p>
      <w:pPr>
        <w:spacing w:after="160"/>
      </w:pPr>
      <w:r>
        <w:rPr>
          <w:b/>
          <w:bCs/>
          <w:i/>
          <w:iCs/>
          <w:sz w:val="19"/>
          <w:szCs w:val="19"/>
        </w:rPr>
        <w:t xml:space="preserve">Notes: </w:t>
      </w:r>
      <w:r>
        <w:rPr>
          <w:i/>
          <w:iCs/>
          <w:sz w:val="19"/>
          <w:szCs w:val="19"/>
        </w:rPr>
        <w:t xml:space="preserve">Classic zone-1 urea cycle / gluconeogenesis genes; ASS1, CPS1, ASL, ARG1, OTC, PCK1, G6PC, HAL, SDS are canonical periportal landmark genes in the Halpern et al. 2017 Nature single-cell spatial reconstruction of mouse liver zonation.</w:t>
      </w:r>
    </w:p>
    <w:p>
      <w:pPr>
        <w:pStyle w:val="Heading3"/>
        <w:spacing w:after="60" w:before="160"/>
      </w:pPr>
      <w:r>
        <w:t xml:space="preserve">Mid-lobular hepatocyte</w:t>
      </w:r>
    </w:p>
    <w:p>
      <w:pPr>
        <w:spacing w:after="60"/>
      </w:pPr>
      <w:r>
        <w:rPr>
          <w:b/>
          <w:bCs/>
          <w:sz w:val="20"/>
          <w:szCs w:val="20"/>
        </w:rPr>
        <w:t xml:space="preserve">Phenotype: </w:t>
      </w:r>
      <w:r>
        <w:rPr>
          <w:sz w:val="20"/>
          <w:szCs w:val="20"/>
        </w:rPr>
        <w:t xml:space="preserve">Zone 2 hepatocyte occupying the transitional region between the portal triad and central vein, with a blended metabolic profile</w:t>
      </w:r>
    </w:p>
    <w:p>
      <w:pPr>
        <w:spacing w:after="60"/>
      </w:pPr>
      <w:r>
        <w:rPr>
          <w:b/>
          <w:bCs/>
          <w:sz w:val="20"/>
          <w:szCs w:val="20"/>
        </w:rPr>
        <w:t xml:space="preserve">Marker genes (8): </w:t>
      </w:r>
      <w:r>
        <w:rPr>
          <w:sz w:val="20"/>
          <w:szCs w:val="20"/>
        </w:rPr>
        <w:t xml:space="preserve">IGFBP2, ALB, APOB, TTR, HNF4A, SERPINA1, AHSG, TF</w:t>
      </w:r>
    </w:p>
    <w:p>
      <w:pPr>
        <w:spacing w:after="160"/>
      </w:pPr>
      <w:r>
        <w:rPr>
          <w:b/>
          <w:bCs/>
          <w:i/>
          <w:iCs/>
          <w:sz w:val="19"/>
          <w:szCs w:val="19"/>
        </w:rPr>
        <w:t xml:space="preserve">Notes: </w:t>
      </w:r>
      <w:r>
        <w:rPr>
          <w:i/>
          <w:iCs/>
          <w:sz w:val="19"/>
          <w:szCs w:val="19"/>
        </w:rPr>
        <w:t xml:space="preserve">Evidence is genuinely thin: zone 2 has no widely validated unique marker set, and most literature (e.g. the 2021 Frontiers zonation review, Halpern 2017) describes it as a transcriptional gradient/blend between zone 1 and zone 3 rather than a discrete state. IGFBP2 is the one gene reported as relatively enriched in midlobular hepatocytes (2022 bioRxiv 'IGFBP2-expressing midlobular hepatocytes' study on regeneration); the remaining genes are pan-hepatocyte identity genes included because they are expressed at intermediate levels across the lobule, not because they are zone-2-specific. Fewer than 10 genes reflects this thin state-specific evidence rather than an oversight.</w:t>
      </w:r>
    </w:p>
    <w:p>
      <w:pPr>
        <w:pStyle w:val="Heading3"/>
        <w:spacing w:after="60" w:before="160"/>
      </w:pPr>
      <w:r>
        <w:t xml:space="preserve">Central-lobular hepatocyte</w:t>
      </w:r>
    </w:p>
    <w:p>
      <w:pPr>
        <w:spacing w:after="60"/>
      </w:pPr>
      <w:r>
        <w:rPr>
          <w:b/>
          <w:bCs/>
          <w:sz w:val="20"/>
          <w:szCs w:val="20"/>
        </w:rPr>
        <w:t xml:space="preserve">Phenotype: </w:t>
      </w:r>
      <w:r>
        <w:rPr>
          <w:sz w:val="20"/>
          <w:szCs w:val="20"/>
        </w:rPr>
        <w:t xml:space="preserve">Zone 3 hepatocyte nearest the central vein; relatively hypoxic environment favoring glycolysis, lipogenesis, and xenobiotic detoxification, and most vulnerable to toxic/hypoxic injury</w:t>
      </w:r>
    </w:p>
    <w:p>
      <w:pPr>
        <w:spacing w:after="60"/>
      </w:pPr>
      <w:r>
        <w:rPr>
          <w:b/>
          <w:bCs/>
          <w:sz w:val="20"/>
          <w:szCs w:val="20"/>
        </w:rPr>
        <w:t xml:space="preserve">Marker genes (13): </w:t>
      </w:r>
      <w:r>
        <w:rPr>
          <w:sz w:val="20"/>
          <w:szCs w:val="20"/>
        </w:rPr>
        <w:t xml:space="preserve">GLUL, CYP2E1, CYP1A2, CYP3A4, AXIN2, RHBG, OAT, SLC1A2, LGR5, RNF43, TBX3, ADH4, ALDH1B1</w:t>
      </w:r>
    </w:p>
    <w:p>
      <w:pPr>
        <w:spacing w:after="160"/>
      </w:pPr>
      <w:r>
        <w:rPr>
          <w:b/>
          <w:bCs/>
          <w:i/>
          <w:iCs/>
          <w:sz w:val="19"/>
          <w:szCs w:val="19"/>
        </w:rPr>
        <w:t xml:space="preserve">Notes: </w:t>
      </w:r>
      <w:r>
        <w:rPr>
          <w:i/>
          <w:iCs/>
          <w:sz w:val="19"/>
          <w:szCs w:val="19"/>
        </w:rPr>
        <w:t xml:space="preserve">GLUL, CYP2E1, CYP1A2, CYP3A4, OAT and RHBG are canonical zone-3/pericentral landmark genes from Halpern et al. 2017 (Nature) zonation atlas. AXIN2, LGR5, RNF43 and TBX3 mark the Wnt/RSPO3-responsive pericentral hepatocyte population described in Wang et al. 2015 (Nature, Axin2+ self-renewing pericentral hepatocytes) and Planas-Paz et al. 2016 (Nat Cell Biol, Wnt-RSPO3 axis controls zonation via TBX3).</w:t>
      </w:r>
    </w:p>
    <w:p>
      <w:pPr>
        <w:pStyle w:val="Heading3"/>
        <w:spacing w:after="60" w:before="160"/>
      </w:pPr>
      <w:r>
        <w:t xml:space="preserve">Steatotic hepatocyte</w:t>
      </w:r>
    </w:p>
    <w:p>
      <w:pPr>
        <w:spacing w:after="60"/>
      </w:pPr>
      <w:r>
        <w:rPr>
          <w:b/>
          <w:bCs/>
          <w:sz w:val="20"/>
          <w:szCs w:val="20"/>
        </w:rPr>
        <w:t xml:space="preserve">Phenotype: </w:t>
      </w:r>
      <w:r>
        <w:rPr>
          <w:sz w:val="20"/>
          <w:szCs w:val="20"/>
        </w:rPr>
        <w:t xml:space="preserve">Lipid-laden hepatocyte characteristic of non-alcoholic/metabolic-associated fatty liver disease, typically emerging first in the pericentral zone</w:t>
      </w:r>
    </w:p>
    <w:p>
      <w:pPr>
        <w:spacing w:after="60"/>
      </w:pPr>
      <w:r>
        <w:rPr>
          <w:b/>
          <w:bCs/>
          <w:sz w:val="20"/>
          <w:szCs w:val="20"/>
        </w:rPr>
        <w:t xml:space="preserve">Marker genes (13): </w:t>
      </w:r>
      <w:r>
        <w:rPr>
          <w:sz w:val="20"/>
          <w:szCs w:val="20"/>
        </w:rPr>
        <w:t xml:space="preserve">PLIN2, PLIN5, CIDEA, CIDEC, PPARG, FABP1, CD36, DGAT2, PNPLA3, TM6SF2, SREBF1, MOGAT1, SCD</w:t>
      </w:r>
    </w:p>
    <w:p>
      <w:pPr>
        <w:spacing w:after="160"/>
      </w:pPr>
      <w:r>
        <w:rPr>
          <w:b/>
          <w:bCs/>
          <w:i/>
          <w:iCs/>
          <w:sz w:val="19"/>
          <w:szCs w:val="19"/>
        </w:rPr>
        <w:t xml:space="preserve">Notes: </w:t>
      </w:r>
      <w:r>
        <w:rPr>
          <w:i/>
          <w:iCs/>
          <w:sz w:val="19"/>
          <w:szCs w:val="19"/>
        </w:rPr>
        <w:t xml:space="preserve">Lipid-droplet coating proteins (PLIN2/PLIN5/CIDEA/CIDEC), lipogenic/uptake genes (CD36, DGAT2, SCD, SREBF1, MOGAT1, FABP1, PPARG) and the two major NAFLD/NASH genetic-risk genes PNPLA3 (Romeo et al., Nat Genet 2008) and TM6SF2 (Kozlitina et al., Nat Genet 2014) are well established steatotic hepatocyte markers.</w:t>
      </w:r>
    </w:p>
    <w:p>
      <w:pPr>
        <w:pStyle w:val="Heading3"/>
        <w:spacing w:after="60" w:before="160"/>
      </w:pPr>
      <w:r>
        <w:t xml:space="preserve">Inflamed/injured hepatocyte</w:t>
      </w:r>
    </w:p>
    <w:p>
      <w:pPr>
        <w:spacing w:after="60"/>
      </w:pPr>
      <w:r>
        <w:rPr>
          <w:b/>
          <w:bCs/>
          <w:sz w:val="20"/>
          <w:szCs w:val="20"/>
        </w:rPr>
        <w:t xml:space="preserve">Phenotype: </w:t>
      </w:r>
      <w:r>
        <w:rPr>
          <w:sz w:val="20"/>
          <w:szCs w:val="20"/>
        </w:rPr>
        <w:t xml:space="preserve">Interferon-stimulated, stressed hepatocyte state seen in viral hepatitis and drug-induced liver injury</w:t>
      </w:r>
    </w:p>
    <w:p>
      <w:pPr>
        <w:spacing w:after="60"/>
      </w:pPr>
      <w:r>
        <w:rPr>
          <w:b/>
          <w:bCs/>
          <w:sz w:val="20"/>
          <w:szCs w:val="20"/>
        </w:rPr>
        <w:t xml:space="preserve">Marker genes (13): </w:t>
      </w:r>
      <w:r>
        <w:rPr>
          <w:sz w:val="20"/>
          <w:szCs w:val="20"/>
        </w:rPr>
        <w:t xml:space="preserve">ISG15, GDF15, MX1, OAS1, IFIT1, IFIT3, STAT1, IRF1, CDKN1A, ATF3, HMGB1, FGF21, EGR1</w:t>
      </w:r>
    </w:p>
    <w:p>
      <w:pPr>
        <w:spacing w:after="160"/>
      </w:pPr>
      <w:r>
        <w:rPr>
          <w:b/>
          <w:bCs/>
          <w:i/>
          <w:iCs/>
          <w:sz w:val="19"/>
          <w:szCs w:val="19"/>
        </w:rPr>
        <w:t xml:space="preserve">Notes: </w:t>
      </w:r>
      <w:r>
        <w:rPr>
          <w:i/>
          <w:iCs/>
          <w:sz w:val="19"/>
          <w:szCs w:val="19"/>
        </w:rPr>
        <w:t xml:space="preserve">Interferon-stimulated genes (ISG15, MX1, OAS1, IFIT1, IFIT3, STAT1, IRF1) are induced in hepatocytes during viral hepatitis (HBV/HCV) as part of the intrahepatic innate antiviral response; GDF15 and FGF21 are integrated-stress-response hepatokines induced by hepatocellular injury/DILI, and CDKN1A, ATF3, EGR1, HMGB1 mark acute hepatocyte stress/damage response.</w:t>
      </w:r>
    </w:p>
    <w:p>
      <w:pPr>
        <w:pStyle w:val="Heading2"/>
        <w:spacing w:after="100" w:before="200"/>
      </w:pPr>
      <w:r>
        <w:t xml:space="preserve">Cholangiocyte</w:t>
      </w:r>
    </w:p>
    <w:p>
      <w:pPr>
        <w:pStyle w:val="Heading3"/>
        <w:spacing w:after="60" w:before="160"/>
      </w:pPr>
      <w:r>
        <w:t xml:space="preserve">Mature functional cholangiocyte</w:t>
      </w:r>
    </w:p>
    <w:p>
      <w:pPr>
        <w:spacing w:after="60"/>
      </w:pPr>
      <w:r>
        <w:rPr>
          <w:b/>
          <w:bCs/>
          <w:sz w:val="20"/>
          <w:szCs w:val="20"/>
        </w:rPr>
        <w:t xml:space="preserve">Phenotype: </w:t>
      </w:r>
      <w:r>
        <w:rPr>
          <w:sz w:val="20"/>
          <w:szCs w:val="20"/>
        </w:rPr>
        <w:t xml:space="preserve">Canonical healthy bile duct epithelial cell modifying bile composition</w:t>
      </w:r>
    </w:p>
    <w:p>
      <w:pPr>
        <w:spacing w:after="60"/>
      </w:pPr>
      <w:r>
        <w:rPr>
          <w:b/>
          <w:bCs/>
          <w:sz w:val="20"/>
          <w:szCs w:val="20"/>
        </w:rPr>
        <w:t xml:space="preserve">Marker genes (13): </w:t>
      </w:r>
      <w:r>
        <w:rPr>
          <w:sz w:val="20"/>
          <w:szCs w:val="20"/>
        </w:rPr>
        <w:t xml:space="preserve">CFTR, KRT19, SOX9, KRT7, AQP1, SLC4A2, HNF1B, EPCAM, ANXA4, GGT1, TACSTD2, CLDN4, ONECUT1</w:t>
      </w:r>
    </w:p>
    <w:p>
      <w:pPr>
        <w:spacing w:after="160"/>
      </w:pPr>
      <w:r>
        <w:rPr>
          <w:b/>
          <w:bCs/>
          <w:i/>
          <w:iCs/>
          <w:sz w:val="19"/>
          <w:szCs w:val="19"/>
        </w:rPr>
        <w:t xml:space="preserve">Notes: </w:t>
      </w:r>
      <w:r>
        <w:rPr>
          <w:i/>
          <w:iCs/>
          <w:sz w:val="19"/>
          <w:szCs w:val="19"/>
        </w:rPr>
        <w:t xml:space="preserve">Canonical mature biliary epithelial identity and bile-modification genes (CFTR, AQP1, SLC4A2) consistent with the Aizarani et al. 2019 (Nature) human liver cell atlas cholangiocyte cluster definitions.</w:t>
      </w:r>
    </w:p>
    <w:p>
      <w:pPr>
        <w:pStyle w:val="Heading3"/>
        <w:spacing w:after="60" w:before="160"/>
      </w:pPr>
      <w:r>
        <w:t xml:space="preserve">Reactive cholangiocyte (ductular reaction)</w:t>
      </w:r>
    </w:p>
    <w:p>
      <w:pPr>
        <w:spacing w:after="60"/>
      </w:pPr>
      <w:r>
        <w:rPr>
          <w:b/>
          <w:bCs/>
          <w:sz w:val="20"/>
          <w:szCs w:val="20"/>
        </w:rPr>
        <w:t xml:space="preserve">Phenotype: </w:t>
      </w:r>
      <w:r>
        <w:rPr>
          <w:sz w:val="20"/>
          <w:szCs w:val="20"/>
        </w:rPr>
        <w:t xml:space="preserve">Proliferative, activated cholangiocyte state seen in primary sclerosing cholangitis, primary biliary cholangitis, and other cholestatic injury</w:t>
      </w:r>
    </w:p>
    <w:p>
      <w:pPr>
        <w:spacing w:after="60"/>
      </w:pPr>
      <w:r>
        <w:rPr>
          <w:b/>
          <w:bCs/>
          <w:sz w:val="20"/>
          <w:szCs w:val="20"/>
        </w:rPr>
        <w:t xml:space="preserve">Marker genes (13): </w:t>
      </w:r>
      <w:r>
        <w:rPr>
          <w:sz w:val="20"/>
          <w:szCs w:val="20"/>
        </w:rPr>
        <w:t xml:space="preserve">KRT19, KRT7, SOX9, EPCAM, MKI67, PCNA, CCND1, SPP1, NCAM1, ITGB6, TGFB1, CCL2, PDGFB</w:t>
      </w:r>
    </w:p>
    <w:p>
      <w:pPr>
        <w:spacing w:after="160"/>
      </w:pPr>
      <w:r>
        <w:rPr>
          <w:b/>
          <w:bCs/>
          <w:i/>
          <w:iCs/>
          <w:sz w:val="19"/>
          <w:szCs w:val="19"/>
        </w:rPr>
        <w:t xml:space="preserve">Notes: </w:t>
      </w:r>
      <w:r>
        <w:rPr>
          <w:i/>
          <w:iCs/>
          <w:sz w:val="19"/>
          <w:szCs w:val="19"/>
        </w:rPr>
        <w:t xml:space="preserve">NCAM1 marks the reactive/neuroendocrine phenotype of ductular-reaction cholangiocytes in PSC and biliary atresia (Guicciardi et al., Hepatology 2020, 'Spectrum of Reactive Cholangiocytes in PSC'); SPP1 (osteopontin) is a well-documented mediator of biliary inflammation/fibrosis secreted by reactive cholangiocytes; ITGB6 is induced specifically in adaptive/reactive cholangiocyte populations surrounding the fibro-obliterative ductular reaction (bile-acid-activated macrophage/integrin avb6 literature).</w:t>
      </w:r>
    </w:p>
    <w:p>
      <w:pPr>
        <w:pStyle w:val="Heading3"/>
        <w:spacing w:after="60" w:before="160"/>
      </w:pPr>
      <w:r>
        <w:t xml:space="preserve">Cholestatic cholangiocyte</w:t>
      </w:r>
    </w:p>
    <w:p>
      <w:pPr>
        <w:spacing w:after="60"/>
      </w:pPr>
      <w:r>
        <w:rPr>
          <w:b/>
          <w:bCs/>
          <w:sz w:val="20"/>
          <w:szCs w:val="20"/>
        </w:rPr>
        <w:t xml:space="preserve">Phenotype: </w:t>
      </w:r>
      <w:r>
        <w:rPr>
          <w:sz w:val="20"/>
          <w:szCs w:val="20"/>
        </w:rPr>
        <w:t xml:space="preserve">Impaired bile flow and bile-acid-induced toxicity characteristic of obstructive or autoimmune cholestasis</w:t>
      </w:r>
    </w:p>
    <w:p>
      <w:pPr>
        <w:spacing w:after="60"/>
      </w:pPr>
      <w:r>
        <w:rPr>
          <w:b/>
          <w:bCs/>
          <w:sz w:val="20"/>
          <w:szCs w:val="20"/>
        </w:rPr>
        <w:t xml:space="preserve">Marker genes (12): </w:t>
      </w:r>
      <w:r>
        <w:rPr>
          <w:sz w:val="20"/>
          <w:szCs w:val="20"/>
        </w:rPr>
        <w:t xml:space="preserve">CFTR, SLC4A2, AQP1, SCTR, SLC26A6, CA2, ABCC3, NR1H4, CLDN1, MUC5B, TFF2, GGT1</w:t>
      </w:r>
    </w:p>
    <w:p>
      <w:pPr>
        <w:spacing w:after="160"/>
      </w:pPr>
      <w:r>
        <w:rPr>
          <w:b/>
          <w:bCs/>
          <w:i/>
          <w:iCs/>
          <w:sz w:val="19"/>
          <w:szCs w:val="19"/>
        </w:rPr>
        <w:t xml:space="preserve">Notes: </w:t>
      </w:r>
      <w:r>
        <w:rPr>
          <w:i/>
          <w:iCs/>
          <w:sz w:val="19"/>
          <w:szCs w:val="19"/>
        </w:rPr>
        <w:t xml:space="preserve">Bile-acid/bicarbonate transport genes altered under cholestasis; ABCC3 (MRP3) is a classic compensatory basolateral bile-acid transporter upregulated in cholestatic liver disease; NR1H4 (FXR) is the bile-acid-sensing nuclear receptor central to cholestatic feedback; CLDN1 was recently shown to be a mediator/therapeutic target in PSC (2025 J Hepatol). Evidence here is more general cholangiocyte/cholestasis biology rather than a scRNA-seq-defined discrete cluster.</w:t>
      </w:r>
    </w:p>
    <w:p>
      <w:pPr>
        <w:pStyle w:val="Heading3"/>
        <w:spacing w:after="60" w:before="160"/>
      </w:pPr>
      <w:r>
        <w:t xml:space="preserve">Cholangiocarcinoma-like cholangiocyte</w:t>
      </w:r>
    </w:p>
    <w:p>
      <w:pPr>
        <w:spacing w:after="60"/>
      </w:pPr>
      <w:r>
        <w:rPr>
          <w:b/>
          <w:bCs/>
          <w:sz w:val="20"/>
          <w:szCs w:val="20"/>
        </w:rPr>
        <w:t xml:space="preserve">Phenotype: </w:t>
      </w:r>
      <w:r>
        <w:rPr>
          <w:sz w:val="20"/>
          <w:szCs w:val="20"/>
        </w:rPr>
        <w:t xml:space="preserve">Neoplastic transformation driven by IDH1 mutation or FGFR2 fusion, precursor/tumor cell state of cholangiocarcinoma</w:t>
      </w:r>
    </w:p>
    <w:p>
      <w:pPr>
        <w:spacing w:after="60"/>
      </w:pPr>
      <w:r>
        <w:rPr>
          <w:b/>
          <w:bCs/>
          <w:sz w:val="20"/>
          <w:szCs w:val="20"/>
        </w:rPr>
        <w:t xml:space="preserve">Marker genes (14): </w:t>
      </w:r>
      <w:r>
        <w:rPr>
          <w:sz w:val="20"/>
          <w:szCs w:val="20"/>
        </w:rPr>
        <w:t xml:space="preserve">KRAS, TP53, IDH1, FGFR2, ARID1A, BAP1, SMAD4, ERBB2, CDKN2A, PBRM1, SOX9, S100P, SPP1, MUC5AC</w:t>
      </w:r>
    </w:p>
    <w:p>
      <w:pPr>
        <w:spacing w:after="160"/>
      </w:pPr>
      <w:r>
        <w:rPr>
          <w:b/>
          <w:bCs/>
          <w:i/>
          <w:iCs/>
          <w:sz w:val="19"/>
          <w:szCs w:val="19"/>
        </w:rPr>
        <w:t xml:space="preserve">Notes: </w:t>
      </w:r>
      <w:r>
        <w:rPr>
          <w:i/>
          <w:iCs/>
          <w:sz w:val="19"/>
          <w:szCs w:val="19"/>
        </w:rPr>
        <w:t xml:space="preserve">Driver mutation genes (IDH1, FGFR2 fusions, KRAS, TP53, ARID1A, BAP1, SMAD4, ERBB2, CDKN2A, PBRM1) reflect the established intrahepatic cholangiocarcinoma genomic landscape (e.g. Farshidfar et al., Cell Reports 2017, IDH-mutant molecular subtype). S100P and SPP1 were identified as subtype markers distinguishing the two molecularly distinct iCCA subtypes (perihilar large-duct vs peripheral small-duct) in a single-cell RNA-seq study (Nat Commun 2022, 'two molecularly distinct subtypes of intrahepatic cholangiocarcinoma'). MUC5AC is part of a validated serum biomarker panel for CCA diagnosis. SOX9 marks biliary/cancer-stem-like differentiation in CCA.</w:t>
      </w:r>
    </w:p>
    <w:p>
      <w:pPr>
        <w:pStyle w:val="Heading2"/>
        <w:spacing w:after="100" w:before="200"/>
      </w:pPr>
      <w:r>
        <w:t xml:space="preserve">Endothelial cell</w:t>
      </w:r>
    </w:p>
    <w:p>
      <w:pPr>
        <w:pStyle w:val="Heading3"/>
        <w:spacing w:after="60" w:before="160"/>
      </w:pPr>
      <w:r>
        <w:t xml:space="preserve">Sinusoidal endothelial cell</w:t>
      </w:r>
    </w:p>
    <w:p>
      <w:pPr>
        <w:spacing w:after="60"/>
      </w:pPr>
      <w:r>
        <w:rPr>
          <w:b/>
          <w:bCs/>
          <w:sz w:val="20"/>
          <w:szCs w:val="20"/>
        </w:rPr>
        <w:t xml:space="preserve">Phenotype: </w:t>
      </w:r>
      <w:r>
        <w:rPr>
          <w:sz w:val="20"/>
          <w:szCs w:val="20"/>
        </w:rPr>
        <w:t xml:space="preserve">Fenestrated, scavenger-receptor-high liver sinusoidal endothelial cell (LSEC) lining hepatic sinusoids</w:t>
      </w:r>
    </w:p>
    <w:p>
      <w:pPr>
        <w:spacing w:after="60"/>
      </w:pPr>
      <w:r>
        <w:rPr>
          <w:b/>
          <w:bCs/>
          <w:sz w:val="20"/>
          <w:szCs w:val="20"/>
        </w:rPr>
        <w:t xml:space="preserve">Marker genes (13): </w:t>
      </w:r>
      <w:r>
        <w:rPr>
          <w:sz w:val="20"/>
          <w:szCs w:val="20"/>
        </w:rPr>
        <w:t xml:space="preserve">STAB2, LYVE1, CLEC4G, FCGR2B, CLEC1B, GATA4, MAF, OIT3, FCN2, CRHBP, STAB1, MRC1, DNASE1L3</w:t>
      </w:r>
    </w:p>
    <w:p>
      <w:pPr>
        <w:spacing w:after="160"/>
      </w:pPr>
      <w:r>
        <w:rPr>
          <w:b/>
          <w:bCs/>
          <w:i/>
          <w:iCs/>
          <w:sz w:val="19"/>
          <w:szCs w:val="19"/>
        </w:rPr>
        <w:t xml:space="preserve">Notes: </w:t>
      </w:r>
      <w:r>
        <w:rPr>
          <w:i/>
          <w:iCs/>
          <w:sz w:val="19"/>
          <w:szCs w:val="19"/>
        </w:rPr>
        <w:t xml:space="preserve">Canonical human/mouse LSEC identity and scavenger-receptor genes from Halpern et al. 2018 (Nat Biotechnol, paired-cell sequencing of liver endothelium), MacParland et al. 2018 (Nat Commun human liver atlas) and Aizarani et al. 2019 (Nature); OIT3 is highlighted as a robust LSEC-restricted hallmark gene (Nat. Signal Transduct Target Ther 2023).</w:t>
      </w:r>
    </w:p>
    <w:p>
      <w:pPr>
        <w:pStyle w:val="Heading3"/>
        <w:spacing w:after="60" w:before="160"/>
      </w:pPr>
      <w:r>
        <w:t xml:space="preserve">Lymphatic endothelial cell</w:t>
      </w:r>
    </w:p>
    <w:p>
      <w:pPr>
        <w:spacing w:after="60"/>
      </w:pPr>
      <w:r>
        <w:rPr>
          <w:b/>
          <w:bCs/>
          <w:sz w:val="20"/>
          <w:szCs w:val="20"/>
        </w:rPr>
        <w:t xml:space="preserve">Phenotype: </w:t>
      </w:r>
      <w:r>
        <w:rPr>
          <w:sz w:val="20"/>
          <w:szCs w:val="20"/>
        </w:rPr>
        <w:t xml:space="preserve">PROX1+/PDPN+ lymphatic vessel endothelium draining hepatic interstitial fluid via portal tract lymphatics</w:t>
      </w:r>
    </w:p>
    <w:p>
      <w:pPr>
        <w:spacing w:after="60"/>
      </w:pPr>
      <w:r>
        <w:rPr>
          <w:b/>
          <w:bCs/>
          <w:sz w:val="20"/>
          <w:szCs w:val="20"/>
        </w:rPr>
        <w:t xml:space="preserve">Marker genes (10): </w:t>
      </w:r>
      <w:r>
        <w:rPr>
          <w:sz w:val="20"/>
          <w:szCs w:val="20"/>
        </w:rPr>
        <w:t xml:space="preserve">PROX1, PDPN, FLT4, LYVE1, CCL21, MMRN1, RELN, NRP2, SOX18, FOXC2</w:t>
      </w:r>
    </w:p>
    <w:p>
      <w:pPr>
        <w:spacing w:after="160"/>
      </w:pPr>
      <w:r>
        <w:rPr>
          <w:b/>
          <w:bCs/>
          <w:i/>
          <w:iCs/>
          <w:sz w:val="19"/>
          <w:szCs w:val="19"/>
        </w:rPr>
        <w:t xml:space="preserve">Notes: </w:t>
      </w:r>
      <w:r>
        <w:rPr>
          <w:i/>
          <w:iCs/>
          <w:sz w:val="19"/>
          <w:szCs w:val="19"/>
        </w:rPr>
        <w:t xml:space="preserve">PROX1, PDPN(D2-40), FLT4(VEGFR3), LYVE1, CCL21 and MMRN1 are the standard pan-organ lymphatic endothelial identity panel; NRP2, SOX18 and FOXC2 are additional well-established lymphatic transcriptional regulators/markers from general vascular biology (not liver-specific), added because liver-specific lymphatic endothelial transcriptomic studies are limited (see Yamauchi et al. lymphatic marker podoplanin/D2-40 in cirrhotic liver).</w:t>
      </w:r>
    </w:p>
    <w:p>
      <w:pPr>
        <w:pStyle w:val="Heading3"/>
        <w:spacing w:after="60" w:before="160"/>
      </w:pPr>
      <w:r>
        <w:t xml:space="preserve">Central vein endothelial cell</w:t>
      </w:r>
    </w:p>
    <w:p>
      <w:pPr>
        <w:spacing w:after="60"/>
      </w:pPr>
      <w:r>
        <w:rPr>
          <w:b/>
          <w:bCs/>
          <w:sz w:val="20"/>
          <w:szCs w:val="20"/>
        </w:rPr>
        <w:t xml:space="preserve">Phenotype: </w:t>
      </w:r>
      <w:r>
        <w:rPr>
          <w:sz w:val="20"/>
          <w:szCs w:val="20"/>
        </w:rPr>
        <w:t xml:space="preserve">Wnt-ligand-secreting endothelium of the central vein that establishes pericentral hepatocyte zonation</w:t>
      </w:r>
    </w:p>
    <w:p>
      <w:pPr>
        <w:spacing w:after="60"/>
      </w:pPr>
      <w:r>
        <w:rPr>
          <w:b/>
          <w:bCs/>
          <w:sz w:val="20"/>
          <w:szCs w:val="20"/>
        </w:rPr>
        <w:t xml:space="preserve">Marker genes (9): </w:t>
      </w:r>
      <w:r>
        <w:rPr>
          <w:sz w:val="20"/>
          <w:szCs w:val="20"/>
        </w:rPr>
        <w:t xml:space="preserve">WNT2, WNT9B, RSPO3, THBD, KIT, PECAM1, CDH5, VWF, CD34</w:t>
      </w:r>
    </w:p>
    <w:p>
      <w:pPr>
        <w:spacing w:after="160"/>
      </w:pPr>
      <w:r>
        <w:rPr>
          <w:b/>
          <w:bCs/>
          <w:i/>
          <w:iCs/>
          <w:sz w:val="19"/>
          <w:szCs w:val="19"/>
        </w:rPr>
        <w:t xml:space="preserve">Notes: </w:t>
      </w:r>
      <w:r>
        <w:rPr>
          <w:i/>
          <w:iCs/>
          <w:sz w:val="19"/>
          <w:szCs w:val="19"/>
        </w:rPr>
        <w:t xml:space="preserve">WNT2, WNT9B and RSPO3 are the defining central-vein endothelial ligands that establish pericentral hepatocyte zonation (Wang et al. 2015 Nature; Planas-Paz et al. 2016 Nat Cell Biol; Halpern et al. 2018 Nat Biotechnol). KIT was specifically reported as abundant in central-vein-proximal liver endothelial cells and low/absent periportally (Halpern et al. 2018). PECAM1/CDH5/VWF/CD34 are generic pan-endothelial genes added to reach panel size since central-vein-specific literature is otherwise narrow; this is noted as comparatively thin state-specific evidence beyond the four Wnt-pathway genes.</w:t>
      </w:r>
    </w:p>
    <w:p>
      <w:pPr>
        <w:pStyle w:val="Heading3"/>
        <w:spacing w:after="60" w:before="160"/>
      </w:pPr>
      <w:r>
        <w:t xml:space="preserve">Vascular endothelial cell</w:t>
      </w:r>
    </w:p>
    <w:p>
      <w:pPr>
        <w:spacing w:after="60"/>
      </w:pPr>
      <w:r>
        <w:rPr>
          <w:b/>
          <w:bCs/>
          <w:sz w:val="20"/>
          <w:szCs w:val="20"/>
        </w:rPr>
        <w:t xml:space="preserve">Phenotype: </w:t>
      </w:r>
      <w:r>
        <w:rPr>
          <w:sz w:val="20"/>
          <w:szCs w:val="20"/>
        </w:rPr>
        <w:t xml:space="preserve">Continuous, basement-membrane-bearing endothelium of the portal vein and hepatic artery, distinct from fenestrated sinusoidal endothelium</w:t>
      </w:r>
    </w:p>
    <w:p>
      <w:pPr>
        <w:spacing w:after="60"/>
      </w:pPr>
      <w:r>
        <w:rPr>
          <w:b/>
          <w:bCs/>
          <w:sz w:val="20"/>
          <w:szCs w:val="20"/>
        </w:rPr>
        <w:t xml:space="preserve">Marker genes (11): </w:t>
      </w:r>
      <w:r>
        <w:rPr>
          <w:sz w:val="20"/>
          <w:szCs w:val="20"/>
        </w:rPr>
        <w:t xml:space="preserve">PECAM1, VWF, CD34, EFNB2, SOX17, DLL4, HEY1, NOTCH4, BMX, GJA5, LTBP4</w:t>
      </w:r>
    </w:p>
    <w:p>
      <w:pPr>
        <w:spacing w:after="160"/>
      </w:pPr>
      <w:r>
        <w:rPr>
          <w:b/>
          <w:bCs/>
          <w:i/>
          <w:iCs/>
          <w:sz w:val="19"/>
          <w:szCs w:val="19"/>
        </w:rPr>
        <w:t xml:space="preserve">Notes: </w:t>
      </w:r>
      <w:r>
        <w:rPr>
          <w:i/>
          <w:iCs/>
          <w:sz w:val="19"/>
          <w:szCs w:val="19"/>
        </w:rPr>
        <w:t xml:space="preserve">EFNB2, DLL4 and LTBP4 mark periportal/portal-vein and hepatic-artery continuous (non-fenestrated) liver endothelium as distinct from sinusoidal LSECs (Halpern et al. 2018, Nat Biotechnol paired-cell sequencing); SOX17, HEY1, NOTCH4, BMX and GJA5 are established arterial/continuous-endothelium identity genes from general vascular biology used here to characterize the non-sinusoidal hepatic vasculature.</w:t>
      </w:r>
    </w:p>
    <w:p>
      <w:pPr>
        <w:pStyle w:val="Heading3"/>
        <w:spacing w:after="60" w:before="160"/>
      </w:pPr>
      <w:r>
        <w:t xml:space="preserve">Capillarized (activated) sinusoidal endothelial cell</w:t>
      </w:r>
    </w:p>
    <w:p>
      <w:pPr>
        <w:spacing w:after="60"/>
      </w:pPr>
      <w:r>
        <w:rPr>
          <w:b/>
          <w:bCs/>
          <w:sz w:val="20"/>
          <w:szCs w:val="20"/>
        </w:rPr>
        <w:t xml:space="preserve">Phenotype: </w:t>
      </w:r>
      <w:r>
        <w:rPr>
          <w:sz w:val="20"/>
          <w:szCs w:val="20"/>
        </w:rPr>
        <w:t xml:space="preserve">Defenestrated, basement-membrane-gaining LSEC phenotype characteristic of liver fibrosis and cirrhosis</w:t>
      </w:r>
    </w:p>
    <w:p>
      <w:pPr>
        <w:spacing w:after="60"/>
      </w:pPr>
      <w:r>
        <w:rPr>
          <w:b/>
          <w:bCs/>
          <w:sz w:val="20"/>
          <w:szCs w:val="20"/>
        </w:rPr>
        <w:t xml:space="preserve">Marker genes (11): </w:t>
      </w:r>
      <w:r>
        <w:rPr>
          <w:sz w:val="20"/>
          <w:szCs w:val="20"/>
        </w:rPr>
        <w:t xml:space="preserve">PECAM1, CD34, VWF, COL4A1, COL4A2, LAMB1, LAMA4, SPARC, FN1, ACKR1, PLVAP</w:t>
      </w:r>
    </w:p>
    <w:p>
      <w:pPr>
        <w:spacing w:after="160"/>
      </w:pPr>
      <w:r>
        <w:rPr>
          <w:b/>
          <w:bCs/>
          <w:i/>
          <w:iCs/>
          <w:sz w:val="19"/>
          <w:szCs w:val="19"/>
        </w:rPr>
        <w:t xml:space="preserve">Notes: </w:t>
      </w:r>
      <w:r>
        <w:rPr>
          <w:i/>
          <w:iCs/>
          <w:sz w:val="19"/>
          <w:szCs w:val="19"/>
        </w:rPr>
        <w:t xml:space="preserve">Capillarization is defined by acquisition of a continuous-endothelium/basement-membrane phenotype: increased CD31/CD34/VWF with concurrent loss of fenestrae and gain of basement membrane genes (COL4A1, COL4A2, LAMB1, LAMA4, SPARC, FN1) (multiple LSEC defenestration/cirrhosis studies; CD34 reported as the more specific capillarization marker vs CD31). ACKR1+ and PLVAP+ endothelial cells were specifically shown by Ramachandran et al. 2019 (Nature, 'Resolving the fibrotic niche of human liver cirrhosis at single-cell level') to expand in cirrhosis and localize to the fibrotic niche, making them strong state-specific markers.</w:t>
      </w:r>
    </w:p>
    <w:p>
      <w:pPr>
        <w:pStyle w:val="Heading2"/>
        <w:spacing w:after="100" w:before="200"/>
      </w:pPr>
      <w:r>
        <w:t xml:space="preserve">Hepatic stellate cell (HSC)</w:t>
      </w:r>
    </w:p>
    <w:p>
      <w:pPr>
        <w:pStyle w:val="Heading3"/>
        <w:spacing w:after="60" w:before="160"/>
      </w:pPr>
      <w:r>
        <w:t xml:space="preserve">Quiescent HSC</w:t>
      </w:r>
    </w:p>
    <w:p>
      <w:pPr>
        <w:spacing w:after="60"/>
      </w:pPr>
      <w:r>
        <w:rPr>
          <w:b/>
          <w:bCs/>
          <w:sz w:val="20"/>
          <w:szCs w:val="20"/>
        </w:rPr>
        <w:t xml:space="preserve">Phenotype: </w:t>
      </w:r>
      <w:r>
        <w:rPr>
          <w:sz w:val="20"/>
          <w:szCs w:val="20"/>
        </w:rPr>
        <w:t xml:space="preserve">Vitamin A-storing, non-proliferative resting perisinusoidal cell in the healthy liver</w:t>
      </w:r>
    </w:p>
    <w:p>
      <w:pPr>
        <w:spacing w:after="60"/>
      </w:pPr>
      <w:r>
        <w:rPr>
          <w:b/>
          <w:bCs/>
          <w:sz w:val="20"/>
          <w:szCs w:val="20"/>
        </w:rPr>
        <w:t xml:space="preserve">Marker genes (13): </w:t>
      </w:r>
      <w:r>
        <w:rPr>
          <w:sz w:val="20"/>
          <w:szCs w:val="20"/>
        </w:rPr>
        <w:t xml:space="preserve">GFAP, DES, RGS5, PDGFRB, NGFR, SYP, NES, ADRB2, HGF, RBP1, LRAT, RDH10, STRA6</w:t>
      </w:r>
    </w:p>
    <w:p>
      <w:pPr>
        <w:spacing w:after="160"/>
      </w:pPr>
      <w:r>
        <w:rPr>
          <w:b/>
          <w:bCs/>
          <w:i/>
          <w:iCs/>
          <w:sz w:val="19"/>
          <w:szCs w:val="19"/>
        </w:rPr>
        <w:t xml:space="preserve">Notes: </w:t>
      </w:r>
      <w:r>
        <w:rPr>
          <w:i/>
          <w:iCs/>
          <w:sz w:val="19"/>
          <w:szCs w:val="19"/>
        </w:rPr>
        <w:t xml:space="preserve">Canonical quiescent HSC identity and vitamin-A storage genes as reviewed in Tsuchida &amp; Friedman 2017 (Nat Rev Gastroenterol Hepatol, 'Mechanisms of hepatic stellate cell activation'); LRAT and RBP1 are specifically required for retinyl-ester storage in quiescent HSC lipid droplets.</w:t>
      </w:r>
    </w:p>
    <w:p>
      <w:pPr>
        <w:pStyle w:val="Heading3"/>
        <w:spacing w:after="60" w:before="160"/>
      </w:pPr>
      <w:r>
        <w:t xml:space="preserve">Activated HSC</w:t>
      </w:r>
    </w:p>
    <w:p>
      <w:pPr>
        <w:spacing w:after="60"/>
      </w:pPr>
      <w:r>
        <w:rPr>
          <w:b/>
          <w:bCs/>
          <w:sz w:val="20"/>
          <w:szCs w:val="20"/>
        </w:rPr>
        <w:t xml:space="preserve">Phenotype: </w:t>
      </w:r>
      <w:r>
        <w:rPr>
          <w:sz w:val="20"/>
          <w:szCs w:val="20"/>
        </w:rPr>
        <w:t xml:space="preserve">Myofibroblast-like fibrogenic activation driving liver fibrosis in chronic injury (viral hepatitis, NASH, alcohol-related liver disease)</w:t>
      </w:r>
    </w:p>
    <w:p>
      <w:pPr>
        <w:spacing w:after="60"/>
      </w:pPr>
      <w:r>
        <w:rPr>
          <w:b/>
          <w:bCs/>
          <w:sz w:val="20"/>
          <w:szCs w:val="20"/>
        </w:rPr>
        <w:t xml:space="preserve">Marker genes (13): </w:t>
      </w:r>
      <w:r>
        <w:rPr>
          <w:sz w:val="20"/>
          <w:szCs w:val="20"/>
        </w:rPr>
        <w:t xml:space="preserve">ACTA2, TAGLN, PDGFRB, PDGFRA, MYH11, CNN1, COL1A1, COL1A2, COL3A1, TGFB1, TGFBR1, SMAD3, LOX</w:t>
      </w:r>
    </w:p>
    <w:p>
      <w:pPr>
        <w:spacing w:after="160"/>
      </w:pPr>
      <w:r>
        <w:rPr>
          <w:b/>
          <w:bCs/>
          <w:i/>
          <w:iCs/>
          <w:sz w:val="19"/>
          <w:szCs w:val="19"/>
        </w:rPr>
        <w:t xml:space="preserve">Notes: </w:t>
      </w:r>
      <w:r>
        <w:rPr>
          <w:i/>
          <w:iCs/>
          <w:sz w:val="19"/>
          <w:szCs w:val="19"/>
        </w:rPr>
        <w:t xml:space="preserve">Standard myofibroblast transdifferentiation panel (alpha-SMA/ACTA2, TAGLN, CNN1, MYH11, PDGFRB/PDGFRA, TGF-beta/SMAD signaling, early collagen induction) per Tsuchida &amp; Friedman 2017 review and Mederacke et al. 2013 (Nat Commun, HSC lineage tracing as origin of myofibroblasts).</w:t>
      </w:r>
    </w:p>
    <w:p>
      <w:pPr>
        <w:pStyle w:val="Heading3"/>
        <w:spacing w:after="60" w:before="160"/>
      </w:pPr>
      <w:r>
        <w:t xml:space="preserve">Fibrotic (end-stage) HSC</w:t>
      </w:r>
    </w:p>
    <w:p>
      <w:pPr>
        <w:spacing w:after="60"/>
      </w:pPr>
      <w:r>
        <w:rPr>
          <w:b/>
          <w:bCs/>
          <w:sz w:val="20"/>
          <w:szCs w:val="20"/>
        </w:rPr>
        <w:t xml:space="preserve">Phenotype: </w:t>
      </w:r>
      <w:r>
        <w:rPr>
          <w:sz w:val="20"/>
          <w:szCs w:val="20"/>
        </w:rPr>
        <w:t xml:space="preserve">Sustained ECM deposition characteristic of advanced fibrosis and cirrhosis</w:t>
      </w:r>
    </w:p>
    <w:p>
      <w:pPr>
        <w:spacing w:after="60"/>
      </w:pPr>
      <w:r>
        <w:rPr>
          <w:b/>
          <w:bCs/>
          <w:sz w:val="20"/>
          <w:szCs w:val="20"/>
        </w:rPr>
        <w:t xml:space="preserve">Marker genes (13): </w:t>
      </w:r>
      <w:r>
        <w:rPr>
          <w:sz w:val="20"/>
          <w:szCs w:val="20"/>
        </w:rPr>
        <w:t xml:space="preserve">COL1A1, COL1A2, COL3A1, TIMP1, LOXL2, SPP1, TNC, POSTN, PDGFRA, THBS2, MMP2, DCN, LUM</w:t>
      </w:r>
    </w:p>
    <w:p>
      <w:pPr>
        <w:spacing w:after="160"/>
      </w:pPr>
      <w:r>
        <w:rPr>
          <w:b/>
          <w:bCs/>
          <w:i/>
          <w:iCs/>
          <w:sz w:val="19"/>
          <w:szCs w:val="19"/>
        </w:rPr>
        <w:t xml:space="preserve">Notes: </w:t>
      </w:r>
      <w:r>
        <w:rPr>
          <w:i/>
          <w:iCs/>
          <w:sz w:val="19"/>
          <w:szCs w:val="19"/>
        </w:rPr>
        <w:t xml:space="preserve">This state had zero genes previously. Sustained ECM deposition genes (COL1A1/COL1A2/COL3A1, TIMP1, PDGFRA) mark the scar-associated myofibroblast population defined by Ramachandran et al. 2019 (Nature, 'Resolving the fibrotic niche of human liver cirrhosis'); LOXL2 (collagen crosslinking) and TNC/POSTN/THBS2 (matricellular ECM genes enriched in the fibrotic niche) are drawn from Dobie et al. 2019 (Cell Reports, 'Single-cell transcriptomics uncovers zonation of function in the mesenchyme during liver fibrosis'). Note: transcriptionally, 'end-stage fibrotic' HSC/myofibroblasts overlap substantially with 'activated' HSC in current single-cell literature; a fully distinct end-stage-specific signature (vs. simply higher magnitude/duration of the activation program) is not yet crisply established, so some overlap with the activated-hsc panel is expected and appropriate.</w:t>
      </w:r>
    </w:p>
    <w:p>
      <w:pPr>
        <w:pStyle w:val="Heading3"/>
        <w:spacing w:after="60" w:before="160"/>
      </w:pPr>
      <w:r>
        <w:t xml:space="preserve">Reverting (inactivating) HSC</w:t>
      </w:r>
    </w:p>
    <w:p>
      <w:pPr>
        <w:spacing w:after="60"/>
      </w:pPr>
      <w:r>
        <w:rPr>
          <w:b/>
          <w:bCs/>
          <w:sz w:val="20"/>
          <w:szCs w:val="20"/>
        </w:rPr>
        <w:t xml:space="preserve">Phenotype: </w:t>
      </w:r>
      <w:r>
        <w:rPr>
          <w:sz w:val="20"/>
          <w:szCs w:val="20"/>
        </w:rPr>
        <w:t xml:space="preserve">Partial return toward quiescence during fibrosis regression after removal of the injurious stimulus</w:t>
      </w:r>
    </w:p>
    <w:p>
      <w:pPr>
        <w:spacing w:after="60"/>
      </w:pPr>
      <w:r>
        <w:rPr>
          <w:b/>
          <w:bCs/>
          <w:sz w:val="20"/>
          <w:szCs w:val="20"/>
        </w:rPr>
        <w:t xml:space="preserve">Marker genes (8): </w:t>
      </w:r>
      <w:r>
        <w:rPr>
          <w:sz w:val="20"/>
          <w:szCs w:val="20"/>
        </w:rPr>
        <w:t xml:space="preserve">RGS5, PPARG, HGF, NGFR, DES, GFAP, PDGFRB, VIM</w:t>
      </w:r>
    </w:p>
    <w:p>
      <w:pPr>
        <w:spacing w:after="160"/>
      </w:pPr>
      <w:r>
        <w:rPr>
          <w:b/>
          <w:bCs/>
          <w:i/>
          <w:iCs/>
          <w:sz w:val="19"/>
          <w:szCs w:val="19"/>
        </w:rPr>
        <w:t xml:space="preserve">Notes: </w:t>
      </w:r>
      <w:r>
        <w:rPr>
          <w:i/>
          <w:iCs/>
          <w:sz w:val="19"/>
          <w:szCs w:val="19"/>
        </w:rPr>
        <w:t xml:space="preserve">This state had zero genes previously. Evidence is genuinely limited: Kisseleva et al. 2012 (PNAS, 'Myofibroblasts revert to an inactive phenotype during regression of liver fibrosis') and Troeger et al. 2012 (Gastroenterology, 'Deactivation of hepatic stellate cells during liver fibrosis resolution in mice') show that a fraction of activated HSC/myofibroblasts partially re-express quiescence-associated genes (RGS5, HGF, NGFR, DES, GFAP) and PPARG (adipogenic/quiescence transcription factor) while down-regulating but not fully losing activation markers (PDGFRB, VIM retained at intermediate levels), and that these 'inactivated' cells remain primed to reactivate faster upon re-injury. A precise, validated 'reverting-specific' gene signature distinct from quiescent HSC has not been firmly established in the literature, so this panel is intentionally kept under 10 genes and should be treated as lower-confidence than the other three HSC states.</w:t>
      </w:r>
    </w:p>
    <w:p>
      <w:pPr>
        <w:pStyle w:val="Heading2"/>
        <w:spacing w:after="100" w:before="200"/>
      </w:pPr>
      <w:r>
        <w:t xml:space="preserve">B cell</w:t>
      </w:r>
    </w:p>
    <w:p>
      <w:pPr>
        <w:pStyle w:val="Heading3"/>
        <w:spacing w:after="60" w:before="160"/>
      </w:pPr>
      <w:r>
        <w:t xml:space="preserve">Naive B cell</w:t>
      </w:r>
    </w:p>
    <w:p>
      <w:pPr>
        <w:spacing w:after="60"/>
      </w:pPr>
      <w:r>
        <w:rPr>
          <w:b/>
          <w:bCs/>
          <w:sz w:val="20"/>
          <w:szCs w:val="20"/>
        </w:rPr>
        <w:t xml:space="preserve">Phenotype: </w:t>
      </w:r>
      <w:r>
        <w:rPr>
          <w:sz w:val="20"/>
          <w:szCs w:val="20"/>
        </w:rPr>
        <w:t xml:space="preserve">Circulating antigen-inexperienced B cell</w:t>
      </w:r>
    </w:p>
    <w:p>
      <w:pPr>
        <w:spacing w:after="60"/>
      </w:pPr>
      <w:r>
        <w:rPr>
          <w:b/>
          <w:bCs/>
          <w:sz w:val="20"/>
          <w:szCs w:val="20"/>
        </w:rPr>
        <w:t xml:space="preserve">Marker genes (14): </w:t>
      </w:r>
      <w:r>
        <w:rPr>
          <w:sz w:val="20"/>
          <w:szCs w:val="20"/>
        </w:rPr>
        <w:t xml:space="preserve">CD19, MS4A1, CD79A, CD79B, PAX5, BANK1, CD22, IGHD, IGHM, TCL1A, FCER2, IL4R, CCR7, SELL</w:t>
      </w:r>
    </w:p>
    <w:p>
      <w:pPr>
        <w:spacing w:after="160"/>
      </w:pPr>
      <w:r>
        <w:rPr>
          <w:b/>
          <w:bCs/>
          <w:i/>
          <w:iCs/>
          <w:sz w:val="19"/>
          <w:szCs w:val="19"/>
        </w:rPr>
        <w:t xml:space="preserve">Notes: </w:t>
      </w:r>
      <w:r>
        <w:rPr>
          <w:i/>
          <w:iCs/>
          <w:sz w:val="19"/>
          <w:szCs w:val="19"/>
        </w:rPr>
        <w:t xml:space="preserve">Core B-lineage identity (CD19/MS4A1/CD79A/CD79B/PAX5/BANK1/CD22) plus markers specific to the naive (antigen-inexperienced) subset: co-expression of unswitched IGHD/IGHM, TCL1A (highly and preferentially expressed in naive/transitional B cells), FCER2/CD23 and IL4R (naive/quiescence markers), and CCR7/SELL which mark recirculating naive lymphocytes not yet retained in tissue.</w:t>
      </w:r>
    </w:p>
    <w:p>
      <w:pPr>
        <w:pStyle w:val="Heading3"/>
        <w:spacing w:after="60" w:before="160"/>
      </w:pPr>
      <w:r>
        <w:t xml:space="preserve">Activated B cell</w:t>
      </w:r>
    </w:p>
    <w:p>
      <w:pPr>
        <w:spacing w:after="60"/>
      </w:pPr>
      <w:r>
        <w:rPr>
          <w:b/>
          <w:bCs/>
          <w:sz w:val="20"/>
          <w:szCs w:val="20"/>
        </w:rPr>
        <w:t xml:space="preserve">Phenotype: </w:t>
      </w:r>
      <w:r>
        <w:rPr>
          <w:sz w:val="20"/>
          <w:szCs w:val="20"/>
        </w:rPr>
        <w:t xml:space="preserve">Antigen-engaged, proliferating B cell</w:t>
      </w:r>
    </w:p>
    <w:p>
      <w:pPr>
        <w:spacing w:after="60"/>
      </w:pPr>
      <w:r>
        <w:rPr>
          <w:b/>
          <w:bCs/>
          <w:sz w:val="20"/>
          <w:szCs w:val="20"/>
        </w:rPr>
        <w:t xml:space="preserve">Marker genes (12): </w:t>
      </w:r>
      <w:r>
        <w:rPr>
          <w:sz w:val="20"/>
          <w:szCs w:val="20"/>
        </w:rPr>
        <w:t xml:space="preserve">CD69, CD86, CD80, CD40, MYC, AICDA, MKI67, CCND2, CD83, IRF4, FAS, TNFRSF13B</w:t>
      </w:r>
    </w:p>
    <w:p>
      <w:pPr>
        <w:spacing w:after="160"/>
      </w:pPr>
      <w:r>
        <w:rPr>
          <w:b/>
          <w:bCs/>
          <w:i/>
          <w:iCs/>
          <w:sz w:val="19"/>
          <w:szCs w:val="19"/>
        </w:rPr>
        <w:t xml:space="preserve">Notes: </w:t>
      </w:r>
      <w:r>
        <w:rPr>
          <w:i/>
          <w:iCs/>
          <w:sz w:val="19"/>
          <w:szCs w:val="19"/>
        </w:rPr>
        <w:t xml:space="preserve">Classic B-cell activation markers upregulated upon antigen/BCR engagement and CD40 signaling (CD69, CD86, CD80, CD40, CD83, FAS/CD95), proliferation genes (MYC, MKI67, CCND2), AICDA (activation-induced deaminase, induced upon activation for SHM/CSR), early IRF4 induction preceding terminal plasma-cell commitment, and TNFRSF13B (TACI) upregulation with activation.</w:t>
      </w:r>
    </w:p>
    <w:p>
      <w:pPr>
        <w:pStyle w:val="Heading3"/>
        <w:spacing w:after="60" w:before="160"/>
      </w:pPr>
      <w:r>
        <w:t xml:space="preserve">Plasma cell</w:t>
      </w:r>
    </w:p>
    <w:p>
      <w:pPr>
        <w:spacing w:after="60"/>
      </w:pPr>
      <w:r>
        <w:rPr>
          <w:b/>
          <w:bCs/>
          <w:sz w:val="20"/>
          <w:szCs w:val="20"/>
        </w:rPr>
        <w:t xml:space="preserve">Phenotype: </w:t>
      </w:r>
      <w:r>
        <w:rPr>
          <w:sz w:val="20"/>
          <w:szCs w:val="20"/>
        </w:rPr>
        <w:t xml:space="preserve">Terminally differentiated antibody-secreting B cell, expanded in autoimmune hepatitis and primary biliary cholangitis</w:t>
      </w:r>
    </w:p>
    <w:p>
      <w:pPr>
        <w:spacing w:after="60"/>
      </w:pPr>
      <w:r>
        <w:rPr>
          <w:b/>
          <w:bCs/>
          <w:sz w:val="20"/>
          <w:szCs w:val="20"/>
        </w:rPr>
        <w:t xml:space="preserve">Marker genes (13): </w:t>
      </w:r>
      <w:r>
        <w:rPr>
          <w:sz w:val="20"/>
          <w:szCs w:val="20"/>
        </w:rPr>
        <w:t xml:space="preserve">PRDM1, XBP1, SDC1, CD38, IRF4, JCHAIN, MZB1, SSR4, DERL3, FKBP11, IGHG1, IGHA1, TNFRSF17</w:t>
      </w:r>
    </w:p>
    <w:p>
      <w:pPr>
        <w:spacing w:after="160"/>
      </w:pPr>
      <w:r>
        <w:rPr>
          <w:b/>
          <w:bCs/>
          <w:i/>
          <w:iCs/>
          <w:sz w:val="19"/>
          <w:szCs w:val="19"/>
        </w:rPr>
        <w:t xml:space="preserve">Notes: </w:t>
      </w:r>
      <w:r>
        <w:rPr>
          <w:i/>
          <w:iCs/>
          <w:sz w:val="19"/>
          <w:szCs w:val="19"/>
        </w:rPr>
        <w:t xml:space="preserve">Canonical terminally-differentiated antibody-secreting cell program: master transcription factors PRDM1(BLIMP1)/IRF4/XBP1, surface markers SDC1(CD138) and CD38, secretory-pathway/UPR genes supporting high immunoglobulin output (JCHAIN, MZB1, SSR4, DERL3, FKBP11), immunoglobulin isotype transcripts (IGHG1/IGHA1), and TNFRSF17 (BCMA), a well-established long-lived plasma cell survival receptor.</w:t>
      </w:r>
    </w:p>
    <w:p>
      <w:pPr>
        <w:pStyle w:val="Heading3"/>
        <w:spacing w:after="60" w:before="160"/>
      </w:pPr>
      <w:r>
        <w:t xml:space="preserve">Memory B cell</w:t>
      </w:r>
    </w:p>
    <w:p>
      <w:pPr>
        <w:spacing w:after="60"/>
      </w:pPr>
      <w:r>
        <w:rPr>
          <w:b/>
          <w:bCs/>
          <w:sz w:val="20"/>
          <w:szCs w:val="20"/>
        </w:rPr>
        <w:t xml:space="preserve">Phenotype: </w:t>
      </w:r>
      <w:r>
        <w:rPr>
          <w:sz w:val="20"/>
          <w:szCs w:val="20"/>
        </w:rPr>
        <w:t xml:space="preserve">Long-lived antigen-experienced B cell poised for rapid recall response</w:t>
      </w:r>
    </w:p>
    <w:p>
      <w:pPr>
        <w:spacing w:after="60"/>
      </w:pPr>
      <w:r>
        <w:rPr>
          <w:b/>
          <w:bCs/>
          <w:sz w:val="20"/>
          <w:szCs w:val="20"/>
        </w:rPr>
        <w:t xml:space="preserve">Marker genes (11): </w:t>
      </w:r>
      <w:r>
        <w:rPr>
          <w:sz w:val="20"/>
          <w:szCs w:val="20"/>
        </w:rPr>
        <w:t xml:space="preserve">CD27, CD80, TNFRSF13B, CXCR4, CD44, FAS, CR2, S1PR1, ITGB1, CCR6, CD24</w:t>
      </w:r>
    </w:p>
    <w:p>
      <w:pPr>
        <w:spacing w:after="160"/>
      </w:pPr>
      <w:r>
        <w:rPr>
          <w:b/>
          <w:bCs/>
          <w:i/>
          <w:iCs/>
          <w:sz w:val="19"/>
          <w:szCs w:val="19"/>
        </w:rPr>
        <w:t xml:space="preserve">Notes: </w:t>
      </w:r>
      <w:r>
        <w:rPr>
          <w:i/>
          <w:iCs/>
          <w:sz w:val="19"/>
          <w:szCs w:val="19"/>
        </w:rPr>
        <w:t xml:space="preserve">CD27 is the most widely used human memory B-cell marker but is explicitly not universal (a CD27-negative memory subset exists; noted in recent literature). Panel combines CD27 with other markers reported as enriched on memory versus naive B cells (high CD80, TNFRSF13B/TACI, CD44, FAS/CD95, CR2/CD21, CD24) and recirculation/homing receptors (CXCR4, S1PR1, ITGB1, CCR6). Confidence is slightly lower here than for the other B-cell states because no single marker set is universally agreed upon for human memory B cells.</w:t>
      </w:r>
    </w:p>
    <w:p>
      <w:pPr>
        <w:pStyle w:val="Heading2"/>
        <w:spacing w:after="100" w:before="200"/>
      </w:pPr>
      <w:r>
        <w:t xml:space="preserve">T cell</w:t>
      </w:r>
    </w:p>
    <w:p>
      <w:pPr>
        <w:pStyle w:val="Heading3"/>
        <w:spacing w:after="60" w:before="160"/>
      </w:pPr>
      <w:r>
        <w:t xml:space="preserve">Naive/circulating T cell</w:t>
      </w:r>
    </w:p>
    <w:p>
      <w:pPr>
        <w:spacing w:after="60"/>
      </w:pPr>
      <w:r>
        <w:rPr>
          <w:b/>
          <w:bCs/>
          <w:sz w:val="20"/>
          <w:szCs w:val="20"/>
        </w:rPr>
        <w:t xml:space="preserve">Phenotype: </w:t>
      </w:r>
      <w:r>
        <w:rPr>
          <w:sz w:val="20"/>
          <w:szCs w:val="20"/>
        </w:rPr>
        <w:t xml:space="preserve">Circulating, antigen-inexperienced T cell not yet retained in the liver</w:t>
      </w:r>
    </w:p>
    <w:p>
      <w:pPr>
        <w:spacing w:after="60"/>
      </w:pPr>
      <w:r>
        <w:rPr>
          <w:b/>
          <w:bCs/>
          <w:sz w:val="20"/>
          <w:szCs w:val="20"/>
        </w:rPr>
        <w:t xml:space="preserve">Marker genes (12): </w:t>
      </w:r>
      <w:r>
        <w:rPr>
          <w:sz w:val="20"/>
          <w:szCs w:val="20"/>
        </w:rPr>
        <w:t xml:space="preserve">CCR7, SELL, IL7R, TCF7, LEF1, CD27, CD28, CD3D, CD3E, TRAC, S1PR1, KLF2</w:t>
      </w:r>
    </w:p>
    <w:p>
      <w:pPr>
        <w:spacing w:after="160"/>
      </w:pPr>
      <w:r>
        <w:rPr>
          <w:b/>
          <w:bCs/>
          <w:i/>
          <w:iCs/>
          <w:sz w:val="19"/>
          <w:szCs w:val="19"/>
        </w:rPr>
        <w:t xml:space="preserve">Notes: </w:t>
      </w:r>
      <w:r>
        <w:rPr>
          <w:i/>
          <w:iCs/>
          <w:sz w:val="19"/>
          <w:szCs w:val="19"/>
        </w:rPr>
        <w:t xml:space="preserve">Standard naive/circulating T-cell signature: lymph-node homing receptors CCR7 and SELL (CD62L), transcription factors TCF7 and LEF1 that define stemness/naivety, costimulatory receptors CD27/CD28 retained from thymic egress, core TCR-complex genes (CD3D, CD3E, TRAC) for T-lineage identity, IL7R for naive T-cell survival, and S1PR1/KLF2 which govern egress and recirculation (and are downregulated upon tissue residency, providing contrast with the Trm state).</w:t>
      </w:r>
    </w:p>
    <w:p>
      <w:pPr>
        <w:pStyle w:val="Heading3"/>
        <w:spacing w:after="60" w:before="160"/>
      </w:pPr>
      <w:r>
        <w:t xml:space="preserve">Tissue-resident memory T cell (Trm)</w:t>
      </w:r>
    </w:p>
    <w:p>
      <w:pPr>
        <w:spacing w:after="60"/>
      </w:pPr>
      <w:r>
        <w:rPr>
          <w:b/>
          <w:bCs/>
          <w:sz w:val="20"/>
          <w:szCs w:val="20"/>
        </w:rPr>
        <w:t xml:space="preserve">Phenotype: </w:t>
      </w:r>
      <w:r>
        <w:rPr>
          <w:sz w:val="20"/>
          <w:szCs w:val="20"/>
        </w:rPr>
        <w:t xml:space="preserve">CD69+CXCR6+ liver-resident memory T cell retained in the hepatic sinusoids, poised for rapid recall response</w:t>
      </w:r>
    </w:p>
    <w:p>
      <w:pPr>
        <w:spacing w:after="60"/>
      </w:pPr>
      <w:r>
        <w:rPr>
          <w:b/>
          <w:bCs/>
          <w:sz w:val="20"/>
          <w:szCs w:val="20"/>
        </w:rPr>
        <w:t xml:space="preserve">Marker genes (12): </w:t>
      </w:r>
      <w:r>
        <w:rPr>
          <w:sz w:val="20"/>
          <w:szCs w:val="20"/>
        </w:rPr>
        <w:t xml:space="preserve">CD69, CXCR6, ITGAE, ITGA1, ZNF683, RGS1, CXCR3, RUNX3, CD8A, CD3D, CD3E, PRDM1</w:t>
      </w:r>
    </w:p>
    <w:p>
      <w:pPr>
        <w:spacing w:after="160"/>
      </w:pPr>
      <w:r>
        <w:rPr>
          <w:b/>
          <w:bCs/>
          <w:i/>
          <w:iCs/>
          <w:sz w:val="19"/>
          <w:szCs w:val="19"/>
        </w:rPr>
        <w:t xml:space="preserve">Notes: </w:t>
      </w:r>
      <w:r>
        <w:rPr>
          <w:i/>
          <w:iCs/>
          <w:sz w:val="19"/>
          <w:szCs w:val="19"/>
        </w:rPr>
        <w:t xml:space="preserve">Reflects the well-characterized human liver Trm core signature (Pallett et al., Sci Rep 2017; Kumar et al., Cell Rep 2017): CD69 and ITGAE (CD103) as canonical residency markers, CXCR6 which is highly enriched on CD69+ intrahepatic CD8+ T cells (~90%) versus blood, ITGA1 (CD49a) and RGS1 as part of the core Trm adhesion/retention signature, and the transcription factors ZNF683 (Hobit), RUNX3 and PRDM1 that cooperatively drive tissue-resident memory differentiation. CXCR3 supports liver homing. Human hepatic Trm notably also express CD103 (ITGAE), distinguishing them from mouse Trm.</w:t>
      </w:r>
    </w:p>
    <w:p>
      <w:pPr>
        <w:pStyle w:val="Heading3"/>
        <w:spacing w:after="60" w:before="160"/>
      </w:pPr>
      <w:r>
        <w:t xml:space="preserve">Cytotoxic activated T cell</w:t>
      </w:r>
    </w:p>
    <w:p>
      <w:pPr>
        <w:spacing w:after="60"/>
      </w:pPr>
      <w:r>
        <w:rPr>
          <w:b/>
          <w:bCs/>
          <w:sz w:val="20"/>
          <w:szCs w:val="20"/>
        </w:rPr>
        <w:t xml:space="preserve">Phenotype: </w:t>
      </w:r>
      <w:r>
        <w:rPr>
          <w:sz w:val="20"/>
          <w:szCs w:val="20"/>
        </w:rPr>
        <w:t xml:space="preserve">Effector CD8+ state driving hepatocyte killing in viral hepatitis and autoimmune hepatitis</w:t>
      </w:r>
    </w:p>
    <w:p>
      <w:pPr>
        <w:spacing w:after="60"/>
      </w:pPr>
      <w:r>
        <w:rPr>
          <w:b/>
          <w:bCs/>
          <w:sz w:val="20"/>
          <w:szCs w:val="20"/>
        </w:rPr>
        <w:t xml:space="preserve">Marker genes (13): </w:t>
      </w:r>
      <w:r>
        <w:rPr>
          <w:sz w:val="20"/>
          <w:szCs w:val="20"/>
        </w:rPr>
        <w:t xml:space="preserve">GZMB, PRF1, IFNG, GZMA, GZMK, NKG7, KLRG1, EOMES, TBX21, FASLG, CD8A, TNF, IL2</w:t>
      </w:r>
    </w:p>
    <w:p>
      <w:pPr>
        <w:spacing w:after="160"/>
      </w:pPr>
      <w:r>
        <w:rPr>
          <w:b/>
          <w:bCs/>
          <w:i/>
          <w:iCs/>
          <w:sz w:val="19"/>
          <w:szCs w:val="19"/>
        </w:rPr>
        <w:t xml:space="preserve">Notes: </w:t>
      </w:r>
      <w:r>
        <w:rPr>
          <w:i/>
          <w:iCs/>
          <w:sz w:val="19"/>
          <w:szCs w:val="19"/>
        </w:rPr>
        <w:t xml:space="preserve">Standard effector CD8+ cytotoxic program: cytolytic granule components (GZMB, GZMA, GZMK, PRF1, NKG7), death-receptor ligand FASLG, effector cytokines (IFNG, TNF, IL2), the master effector transcription factors TBX21 (T-bet) and EOMES, KLRG1 as a terminal-effector marker, and CD8A confirming the CD8 lineage; this program is directly implicated in hepatocyte killing in viral and autoimmune hepatitis.</w:t>
      </w:r>
    </w:p>
    <w:p>
      <w:pPr>
        <w:pStyle w:val="Heading3"/>
        <w:spacing w:after="60" w:before="160"/>
      </w:pPr>
      <w:r>
        <w:t xml:space="preserve">Exhausted T cell</w:t>
      </w:r>
    </w:p>
    <w:p>
      <w:pPr>
        <w:spacing w:after="60"/>
      </w:pPr>
      <w:r>
        <w:rPr>
          <w:b/>
          <w:bCs/>
          <w:sz w:val="20"/>
          <w:szCs w:val="20"/>
        </w:rPr>
        <w:t xml:space="preserve">Phenotype: </w:t>
      </w:r>
      <w:r>
        <w:rPr>
          <w:sz w:val="20"/>
          <w:szCs w:val="20"/>
        </w:rPr>
        <w:t xml:space="preserve">Dysfunctional state arising from chronic antigen exposure in chronic HBV/HCV infection and hepatocellular carcinoma</w:t>
      </w:r>
    </w:p>
    <w:p>
      <w:pPr>
        <w:spacing w:after="60"/>
      </w:pPr>
      <w:r>
        <w:rPr>
          <w:b/>
          <w:bCs/>
          <w:sz w:val="20"/>
          <w:szCs w:val="20"/>
        </w:rPr>
        <w:t xml:space="preserve">Marker genes (13): </w:t>
      </w:r>
      <w:r>
        <w:rPr>
          <w:sz w:val="20"/>
          <w:szCs w:val="20"/>
        </w:rPr>
        <w:t xml:space="preserve">PDCD1, LAG3, HAVCR2, TOX, TIGIT, CD160, BTLA, ENTPD1, CXCL13, CTLA4, LAYN, CD38, TNFRSF9</w:t>
      </w:r>
    </w:p>
    <w:p>
      <w:pPr>
        <w:spacing w:after="160"/>
      </w:pPr>
      <w:r>
        <w:rPr>
          <w:b/>
          <w:bCs/>
          <w:i/>
          <w:iCs/>
          <w:sz w:val="19"/>
          <w:szCs w:val="19"/>
        </w:rPr>
        <w:t xml:space="preserve">Notes: </w:t>
      </w:r>
      <w:r>
        <w:rPr>
          <w:i/>
          <w:iCs/>
          <w:sz w:val="19"/>
          <w:szCs w:val="19"/>
        </w:rPr>
        <w:t xml:space="preserve">Panel reflects the widely-replicated chronic-antigen/exhaustion signature seen in chronic HBV/HCV and HCC studies: co-inhibitory receptors (PDCD1, LAG3, HAVCR2/TIM-3, TIGIT, CD160, BTLA, CTLA4), the exhaustion master transcription factor TOX, markers of terminal exhaustion (ENTPD1/CD39, CD38, LAYN), the CXCL13 chemokine signature associated with dysfunctional/exhausted intratumoral and intrahepatic T cells, and TNFRSF9 (4-1BB) marking chronically antigen-engaged exhausted cells.</w:t>
      </w:r>
    </w:p>
    <w:p>
      <w:pPr>
        <w:pStyle w:val="Heading3"/>
        <w:spacing w:after="60" w:before="160"/>
      </w:pPr>
      <w:r>
        <w:t xml:space="preserve">Regulatory T cell</w:t>
      </w:r>
    </w:p>
    <w:p>
      <w:pPr>
        <w:spacing w:after="60"/>
      </w:pPr>
      <w:r>
        <w:rPr>
          <w:b/>
          <w:bCs/>
          <w:sz w:val="20"/>
          <w:szCs w:val="20"/>
        </w:rPr>
        <w:t xml:space="preserve">Phenotype: </w:t>
      </w:r>
      <w:r>
        <w:rPr>
          <w:sz w:val="20"/>
          <w:szCs w:val="20"/>
        </w:rPr>
        <w:t xml:space="preserve">Tolerogenic Treg state restraining autoimmune attack on hepatocytes and bile ducts</w:t>
      </w:r>
    </w:p>
    <w:p>
      <w:pPr>
        <w:spacing w:after="60"/>
      </w:pPr>
      <w:r>
        <w:rPr>
          <w:b/>
          <w:bCs/>
          <w:sz w:val="20"/>
          <w:szCs w:val="20"/>
        </w:rPr>
        <w:t xml:space="preserve">Marker genes (12): </w:t>
      </w:r>
      <w:r>
        <w:rPr>
          <w:sz w:val="20"/>
          <w:szCs w:val="20"/>
        </w:rPr>
        <w:t xml:space="preserve">FOXP3, IL2RA, CTLA4, IKZF2, TNFRSF18, TNFRSF4, ENTPD1, NT5E, TGFB1, LAG3, TIGIT, IL10</w:t>
      </w:r>
    </w:p>
    <w:p>
      <w:pPr>
        <w:spacing w:after="160"/>
      </w:pPr>
      <w:r>
        <w:rPr>
          <w:b/>
          <w:bCs/>
          <w:i/>
          <w:iCs/>
          <w:sz w:val="19"/>
          <w:szCs w:val="19"/>
        </w:rPr>
        <w:t xml:space="preserve">Notes: </w:t>
      </w:r>
      <w:r>
        <w:rPr>
          <w:i/>
          <w:iCs/>
          <w:sz w:val="19"/>
          <w:szCs w:val="19"/>
        </w:rPr>
        <w:t xml:space="preserve">Canonical Treg identity/suppressive program: master transcription factor FOXP3, IL2RA (CD25) and IKZF2 (Helios), co-inhibitory/costimulatory receptors CTLA4, TNFRSF18 (GITR), TNFRSF4 (OX40); the ectoenzyme pair ENTPD1 (CD39)/NT5E (CD73) mediating adenosine-based suppression, which is specifically reported as upregulated on intrahepatic Tregs; TGFB1 and IL10 as suppressive cytokines; and TIGIT, which is highly enriched on and functionally important for intrahepatic Tregs in chronic liver disease.</w:t>
      </w:r>
    </w:p>
    <w:p>
      <w:pPr>
        <w:pStyle w:val="Heading2"/>
        <w:spacing w:after="100" w:before="200"/>
      </w:pPr>
      <w:r>
        <w:t xml:space="preserve">Myeloid cell</w:t>
      </w:r>
    </w:p>
    <w:p>
      <w:pPr>
        <w:pStyle w:val="Heading3"/>
        <w:spacing w:after="60" w:before="160"/>
      </w:pPr>
      <w:r>
        <w:t xml:space="preserve">Kupffer cell</w:t>
      </w:r>
    </w:p>
    <w:p>
      <w:pPr>
        <w:spacing w:after="60"/>
      </w:pPr>
      <w:r>
        <w:rPr>
          <w:b/>
          <w:bCs/>
          <w:sz w:val="20"/>
          <w:szCs w:val="20"/>
        </w:rPr>
        <w:t xml:space="preserve">Phenotype: </w:t>
      </w:r>
      <w:r>
        <w:rPr>
          <w:sz w:val="20"/>
          <w:szCs w:val="20"/>
        </w:rPr>
        <w:t xml:space="preserve">Liver-resident, self-renewing macrophage lining hepatic sinusoids that clears gut-derived bacteria/endotoxin and aged red blood cells</w:t>
      </w:r>
    </w:p>
    <w:p>
      <w:pPr>
        <w:spacing w:after="60"/>
      </w:pPr>
      <w:r>
        <w:rPr>
          <w:b/>
          <w:bCs/>
          <w:sz w:val="20"/>
          <w:szCs w:val="20"/>
        </w:rPr>
        <w:t xml:space="preserve">Marker genes (12): </w:t>
      </w:r>
      <w:r>
        <w:rPr>
          <w:sz w:val="20"/>
          <w:szCs w:val="20"/>
        </w:rPr>
        <w:t xml:space="preserve">MARCO, VSIG4, CD5L, TIMD4, CLEC4F, FOLR2, ID3, SPIC, CD163, VCAM1, HMOX1, SLC40A1</w:t>
      </w:r>
    </w:p>
    <w:p>
      <w:pPr>
        <w:spacing w:after="160"/>
      </w:pPr>
      <w:r>
        <w:rPr>
          <w:b/>
          <w:bCs/>
          <w:i/>
          <w:iCs/>
          <w:sz w:val="19"/>
          <w:szCs w:val="19"/>
        </w:rPr>
        <w:t xml:space="preserve">Notes: </w:t>
      </w:r>
      <w:r>
        <w:rPr>
          <w:i/>
          <w:iCs/>
          <w:sz w:val="19"/>
          <w:szCs w:val="19"/>
        </w:rPr>
        <w:t xml:space="preserve">Core Kupffer-cell identity/self-renewal signature converged upon by human and mouse liver macrophage atlases (MARCO, VSIG4, CD5L, TIMD4, CLEC4F, FOLR2, CD163, VCAM1) plus the transcription factors ID3 and SPIC that specify Kupffer-cell fate, and HMOX1/SLC40A1 reflecting the iron/erythrophagocytosis handling niche function. CLEC4F is the most specific single marker in mouse; MARCO/VSIG4/CD5L/TIMD4/FOLR2/CD163 are the best cross-species human markers.</w:t>
      </w:r>
    </w:p>
    <w:p>
      <w:pPr>
        <w:pStyle w:val="Heading3"/>
        <w:spacing w:after="60" w:before="160"/>
      </w:pPr>
      <w:r>
        <w:t xml:space="preserve">Lipid-associated macrophage (LAM)</w:t>
      </w:r>
    </w:p>
    <w:p>
      <w:pPr>
        <w:spacing w:after="60"/>
      </w:pPr>
      <w:r>
        <w:rPr>
          <w:b/>
          <w:bCs/>
          <w:sz w:val="20"/>
          <w:szCs w:val="20"/>
        </w:rPr>
        <w:t xml:space="preserve">Phenotype: </w:t>
      </w:r>
      <w:r>
        <w:rPr>
          <w:sz w:val="20"/>
          <w:szCs w:val="20"/>
        </w:rPr>
        <w:t xml:space="preserve">TREM2+CD9+ scar/lipid-associated macrophage expanding around fibrotic septa and steatotic hepatocytes in NASH</w:t>
      </w:r>
    </w:p>
    <w:p>
      <w:pPr>
        <w:spacing w:after="60"/>
      </w:pPr>
      <w:r>
        <w:rPr>
          <w:b/>
          <w:bCs/>
          <w:sz w:val="20"/>
          <w:szCs w:val="20"/>
        </w:rPr>
        <w:t xml:space="preserve">Marker genes (13): </w:t>
      </w:r>
      <w:r>
        <w:rPr>
          <w:sz w:val="20"/>
          <w:szCs w:val="20"/>
        </w:rPr>
        <w:t xml:space="preserve">TREM2, CD9, GPNMB, SPP1, FABP5, CD63, APOE, APOC1, LPL, LGALS3, CTSD, CTSB, CTSK</w:t>
      </w:r>
    </w:p>
    <w:p>
      <w:pPr>
        <w:spacing w:after="160"/>
      </w:pPr>
      <w:r>
        <w:rPr>
          <w:b/>
          <w:bCs/>
          <w:i/>
          <w:iCs/>
          <w:sz w:val="19"/>
          <w:szCs w:val="19"/>
        </w:rPr>
        <w:t xml:space="preserve">Notes: </w:t>
      </w:r>
      <w:r>
        <w:rPr>
          <w:i/>
          <w:iCs/>
          <w:sz w:val="19"/>
          <w:szCs w:val="19"/>
        </w:rPr>
        <w:t xml:space="preserve">Directly matches the TREM2+CD9+ 'scar-associated macrophage' (SAM) population defined by Ramachandran et al. 2019 Nature in human cirrhotic liver, which co-expresses GPNMB, SPP1, FABP5 and CD63, and the convergent TREM2+ lipid-associated macrophage (LAM) signature from NASH/MASH liver atlases (APOE, APOC1, LPL, LGALS3, cathepsins CTSD/CTSB/CTSK reflecting the osteoclast-like lipid-handling program).</w:t>
      </w:r>
    </w:p>
    <w:p>
      <w:pPr>
        <w:pStyle w:val="Heading3"/>
        <w:spacing w:after="60" w:before="160"/>
      </w:pPr>
      <w:r>
        <w:t xml:space="preserve">Monocyte-derived inflammatory macrophage</w:t>
      </w:r>
    </w:p>
    <w:p>
      <w:pPr>
        <w:spacing w:after="60"/>
      </w:pPr>
      <w:r>
        <w:rPr>
          <w:b/>
          <w:bCs/>
          <w:sz w:val="20"/>
          <w:szCs w:val="20"/>
        </w:rPr>
        <w:t xml:space="preserve">Phenotype: </w:t>
      </w:r>
      <w:r>
        <w:rPr>
          <w:sz w:val="20"/>
          <w:szCs w:val="20"/>
        </w:rPr>
        <w:t xml:space="preserve">Recruited monocyte-derived macrophage driving acute inflammation in hepatitis and acute liver injury</w:t>
      </w:r>
    </w:p>
    <w:p>
      <w:pPr>
        <w:spacing w:after="60"/>
      </w:pPr>
      <w:r>
        <w:rPr>
          <w:b/>
          <w:bCs/>
          <w:sz w:val="20"/>
          <w:szCs w:val="20"/>
        </w:rPr>
        <w:t xml:space="preserve">Marker genes (12): </w:t>
      </w:r>
      <w:r>
        <w:rPr>
          <w:sz w:val="20"/>
          <w:szCs w:val="20"/>
        </w:rPr>
        <w:t xml:space="preserve">CCR2, CCL2, TNF, IL1B, IL6, S100A8, S100A9, VCAN, FCN1, CD14, CXCL10, PTGS2</w:t>
      </w:r>
    </w:p>
    <w:p>
      <w:pPr>
        <w:spacing w:after="160"/>
      </w:pPr>
      <w:r>
        <w:rPr>
          <w:b/>
          <w:bCs/>
          <w:i/>
          <w:iCs/>
          <w:sz w:val="19"/>
          <w:szCs w:val="19"/>
        </w:rPr>
        <w:t xml:space="preserve">Notes: </w:t>
      </w:r>
      <w:r>
        <w:rPr>
          <w:i/>
          <w:iCs/>
          <w:sz w:val="19"/>
          <w:szCs w:val="19"/>
        </w:rPr>
        <w:t xml:space="preserve">CD14+ classical monocyte-derived infiltrate signature (S100A8, S100A9, VCAN, FCN1, CD14) used to distinguish recirculating inflammatory macrophages from resident Kupffer cells in acute-on-chronic liver failure and viral-hepatitis scRNA-seq studies, combined with the CCR2/CCL2 recruitment axis and M1 pro-inflammatory effectors (TNF, IL1B, IL6, CXCL10, PTGS2).</w:t>
      </w:r>
    </w:p>
    <w:p>
      <w:pPr>
        <w:pStyle w:val="Heading3"/>
        <w:spacing w:after="60" w:before="160"/>
      </w:pPr>
      <w:r>
        <w:t xml:space="preserve">Restorative/reparative macrophage</w:t>
      </w:r>
    </w:p>
    <w:p>
      <w:pPr>
        <w:spacing w:after="60"/>
      </w:pPr>
      <w:r>
        <w:rPr>
          <w:b/>
          <w:bCs/>
          <w:sz w:val="20"/>
          <w:szCs w:val="20"/>
        </w:rPr>
        <w:t xml:space="preserve">Phenotype: </w:t>
      </w:r>
      <w:r>
        <w:rPr>
          <w:sz w:val="20"/>
          <w:szCs w:val="20"/>
        </w:rPr>
        <w:t xml:space="preserve">Anti-inflammatory, tissue-repair-promoting macrophage supporting resolution of injury</w:t>
      </w:r>
    </w:p>
    <w:p>
      <w:pPr>
        <w:spacing w:after="60"/>
      </w:pPr>
      <w:r>
        <w:rPr>
          <w:b/>
          <w:bCs/>
          <w:sz w:val="20"/>
          <w:szCs w:val="20"/>
        </w:rPr>
        <w:t xml:space="preserve">Marker genes (12): </w:t>
      </w:r>
      <w:r>
        <w:rPr>
          <w:sz w:val="20"/>
          <w:szCs w:val="20"/>
        </w:rPr>
        <w:t xml:space="preserve">MRC1, CD163, MERTK, GAS6, IL10, TGFB1, STAB1, MMP9, MMP12, MMP13, IGF1, GPNMB</w:t>
      </w:r>
    </w:p>
    <w:p>
      <w:pPr>
        <w:spacing w:after="160"/>
      </w:pPr>
      <w:r>
        <w:rPr>
          <w:b/>
          <w:bCs/>
          <w:i/>
          <w:iCs/>
          <w:sz w:val="19"/>
          <w:szCs w:val="19"/>
        </w:rPr>
        <w:t xml:space="preserve">Notes: </w:t>
      </w:r>
      <w:r>
        <w:rPr>
          <w:i/>
          <w:iCs/>
          <w:sz w:val="19"/>
          <w:szCs w:val="19"/>
        </w:rPr>
        <w:t xml:space="preserve">Based on Ramachandran/Iredale et al. 2012 PNAS (PMID 23100531), which defined the Ly6C(lo) 'restorative' macrophage subset in resolving liver fibrosis: this population is the principal MMP-expressing subset (MMP9, MMP12, MMP13), upregulates IGF1 and GPNMB, and acquires an anti-inflammatory/efferocytic phenotype (MERTK-GAS6 axis, high phagocytic MRC1/CD163/STAB1, IL10/TGFB1). Direct human single-cell evidence for this exact state is sparser than for Kupffer cells or LAMs — this list leans on the mouse fibrosis-resolution literature translated to human orthologs, so confidence is moderate rather than high.</w:t>
      </w:r>
    </w:p>
    <w:p>
      <w:pPr>
        <w:pStyle w:val="Heading2"/>
        <w:spacing w:after="100" w:before="200"/>
      </w:pPr>
      <w:r>
        <w:t xml:space="preserve">NK cell</w:t>
      </w:r>
    </w:p>
    <w:p>
      <w:pPr>
        <w:pStyle w:val="Heading3"/>
        <w:spacing w:after="60" w:before="160"/>
      </w:pPr>
      <w:r>
        <w:t xml:space="preserve">Circulating (conventional) NK cell</w:t>
      </w:r>
    </w:p>
    <w:p>
      <w:pPr>
        <w:spacing w:after="60"/>
      </w:pPr>
      <w:r>
        <w:rPr>
          <w:b/>
          <w:bCs/>
          <w:sz w:val="20"/>
          <w:szCs w:val="20"/>
        </w:rPr>
        <w:t xml:space="preserve">Phenotype: </w:t>
      </w:r>
      <w:r>
        <w:rPr>
          <w:sz w:val="20"/>
          <w:szCs w:val="20"/>
        </w:rPr>
        <w:t xml:space="preserve">CD56dim/CD16+ conventional cytotoxic NK cell recruited from blood</w:t>
      </w:r>
    </w:p>
    <w:p>
      <w:pPr>
        <w:spacing w:after="60"/>
      </w:pPr>
      <w:r>
        <w:rPr>
          <w:b/>
          <w:bCs/>
          <w:sz w:val="20"/>
          <w:szCs w:val="20"/>
        </w:rPr>
        <w:t xml:space="preserve">Marker genes (12): </w:t>
      </w:r>
      <w:r>
        <w:rPr>
          <w:sz w:val="20"/>
          <w:szCs w:val="20"/>
        </w:rPr>
        <w:t xml:space="preserve">FCGR3A, KLRD1, KLRF1, CX3CR1, GZMB, PRF1, GNLY, KLRC1, NCR1, S1PR5, SPON2, FGFBP2</w:t>
      </w:r>
    </w:p>
    <w:p>
      <w:pPr>
        <w:spacing w:after="160"/>
      </w:pPr>
      <w:r>
        <w:rPr>
          <w:b/>
          <w:bCs/>
          <w:i/>
          <w:iCs/>
          <w:sz w:val="19"/>
          <w:szCs w:val="19"/>
        </w:rPr>
        <w:t xml:space="preserve">Notes: </w:t>
      </w:r>
      <w:r>
        <w:rPr>
          <w:i/>
          <w:iCs/>
          <w:sz w:val="19"/>
          <w:szCs w:val="19"/>
        </w:rPr>
        <w:t xml:space="preserve">Canonical CD56dim/CD16+ (FCGR3A+) peripheral-blood-derived NK signature. CX3CR1 and S1PR5 mark blood/circulating egress-competent NK cells and are specifically reported as absent from liver-resident CD56bright NK cells, providing the key discriminator from the liver-resident state. SPON2 and FGFBP2 are established CD56dim-selective transcriptomic markers from NK scRNA-seq atlases. Fewer liver-specific papers directly profile this 'default' circulating subset since most liver NK literature focuses on contrasting it against resident populations.</w:t>
      </w:r>
    </w:p>
    <w:p>
      <w:pPr>
        <w:pStyle w:val="Heading3"/>
        <w:spacing w:after="60" w:before="160"/>
      </w:pPr>
      <w:r>
        <w:t xml:space="preserve">Liver-resident NK cell (ILC1-like)</w:t>
      </w:r>
    </w:p>
    <w:p>
      <w:pPr>
        <w:spacing w:after="60"/>
      </w:pPr>
      <w:r>
        <w:rPr>
          <w:b/>
          <w:bCs/>
          <w:sz w:val="20"/>
          <w:szCs w:val="20"/>
        </w:rPr>
        <w:t xml:space="preserve">Phenotype: </w:t>
      </w:r>
      <w:r>
        <w:rPr>
          <w:sz w:val="20"/>
          <w:szCs w:val="20"/>
        </w:rPr>
        <w:t xml:space="preserve">CXCR6+CD49a+ tissue-resident NK/ILC1 population uniquely enriched in liver sinusoids</w:t>
      </w:r>
    </w:p>
    <w:p>
      <w:pPr>
        <w:spacing w:after="60"/>
      </w:pPr>
      <w:r>
        <w:rPr>
          <w:b/>
          <w:bCs/>
          <w:sz w:val="20"/>
          <w:szCs w:val="20"/>
        </w:rPr>
        <w:t xml:space="preserve">Marker genes (12): </w:t>
      </w:r>
      <w:r>
        <w:rPr>
          <w:sz w:val="20"/>
          <w:szCs w:val="20"/>
        </w:rPr>
        <w:t xml:space="preserve">CXCR6, ITGA1, ZNF683, CD69, IL7R, AHR, CD160, KLRB1, LTB, TBX21, EOMES, CD2</w:t>
      </w:r>
    </w:p>
    <w:p>
      <w:pPr>
        <w:spacing w:after="160"/>
      </w:pPr>
      <w:r>
        <w:rPr>
          <w:b/>
          <w:bCs/>
          <w:i/>
          <w:iCs/>
          <w:sz w:val="19"/>
          <w:szCs w:val="19"/>
        </w:rPr>
        <w:t xml:space="preserve">Notes: </w:t>
      </w:r>
      <w:r>
        <w:rPr>
          <w:i/>
          <w:iCs/>
          <w:sz w:val="19"/>
          <w:szCs w:val="19"/>
        </w:rPr>
        <w:t xml:space="preserve">CXCR6+CD49a(ITGA1)+CD69+ tissue-residency signature from Stegmann et al. 2016 (CXCR6 marks T-bet(lo)Eomes(hi) liver NK), Hudspeth/Cuff et al. 2017 Sci Rep (Hobit/ZNF683 in CD56bright liver-resident NK), and Cell Reports 2022 liver-type ILC1 scRNA-seq (IL7R, AHR, LTB, CD160, KLRB1, CD9). Both TBX21 and EOMES are included because reported transcription-factor patterns differ across studies (Marquardt et al. report Tbet+Eomes+, Stegmann et al. report Tbet-lo/Eomes-hi), reflecting genuine heterogeneity between liver-resident NK and ILC1-like subsets rather than a single settled marker set.</w:t>
      </w:r>
    </w:p>
    <w:p>
      <w:pPr>
        <w:pStyle w:val="Heading3"/>
        <w:spacing w:after="60" w:before="160"/>
      </w:pPr>
      <w:r>
        <w:t xml:space="preserve">Cytotoxic activated NK cell</w:t>
      </w:r>
    </w:p>
    <w:p>
      <w:pPr>
        <w:spacing w:after="60"/>
      </w:pPr>
      <w:r>
        <w:rPr>
          <w:b/>
          <w:bCs/>
          <w:sz w:val="20"/>
          <w:szCs w:val="20"/>
        </w:rPr>
        <w:t xml:space="preserve">Phenotype: </w:t>
      </w:r>
      <w:r>
        <w:rPr>
          <w:sz w:val="20"/>
          <w:szCs w:val="20"/>
        </w:rPr>
        <w:t xml:space="preserve">IFN-gamma/granzyme-high effector state engaged during viral hepatitis or anti-tumor immune surveillance</w:t>
      </w:r>
    </w:p>
    <w:p>
      <w:pPr>
        <w:spacing w:after="60"/>
      </w:pPr>
      <w:r>
        <w:rPr>
          <w:b/>
          <w:bCs/>
          <w:sz w:val="20"/>
          <w:szCs w:val="20"/>
        </w:rPr>
        <w:t xml:space="preserve">Marker genes (12): </w:t>
      </w:r>
      <w:r>
        <w:rPr>
          <w:sz w:val="20"/>
          <w:szCs w:val="20"/>
        </w:rPr>
        <w:t xml:space="preserve">GZMB, PRF1, IFNG, GZMA, GZMH, NKG7, FASLG, TNF, TNFSF10, CSF2, MKI67, KLRK1</w:t>
      </w:r>
    </w:p>
    <w:p>
      <w:pPr>
        <w:spacing w:after="160"/>
      </w:pPr>
      <w:r>
        <w:rPr>
          <w:b/>
          <w:bCs/>
          <w:i/>
          <w:iCs/>
          <w:sz w:val="19"/>
          <w:szCs w:val="19"/>
        </w:rPr>
        <w:t xml:space="preserve">Notes: </w:t>
      </w:r>
      <w:r>
        <w:rPr>
          <w:i/>
          <w:iCs/>
          <w:sz w:val="19"/>
          <w:szCs w:val="19"/>
        </w:rPr>
        <w:t xml:space="preserve">Standard cytotoxic/effector NK activation signature (granzymes, perforin, IFN-gamma, Fas-ligand, TRAIL/TNFSF10, activating receptor NKG2D/KLRK1, proliferation marker MKI67) consistent with the hyper-activated/degranulating NK phenotype described during acute viral hepatitis and anti-tumor surveillance (Björkström, Marquardt liver NK studies). This is a general cytotoxic-effector program rather than a liver-exclusive one, but is well established in liver immunology contexts.</w:t>
      </w:r>
    </w:p>
    <w:p>
      <w:pPr>
        <w:pStyle w:val="Heading3"/>
        <w:spacing w:after="60" w:before="160"/>
      </w:pPr>
      <w:r>
        <w:t xml:space="preserve">Exhausted/dysfunctional NK cell</w:t>
      </w:r>
    </w:p>
    <w:p>
      <w:pPr>
        <w:spacing w:after="60"/>
      </w:pPr>
      <w:r>
        <w:rPr>
          <w:b/>
          <w:bCs/>
          <w:sz w:val="20"/>
          <w:szCs w:val="20"/>
        </w:rPr>
        <w:t xml:space="preserve">Phenotype: </w:t>
      </w:r>
      <w:r>
        <w:rPr>
          <w:sz w:val="20"/>
          <w:szCs w:val="20"/>
        </w:rPr>
        <w:t xml:space="preserve">Reduced cytotoxic function and elevated inhibitory receptor expression characteristic of chronic HCV infection and hepatocellular carcinoma</w:t>
      </w:r>
    </w:p>
    <w:p>
      <w:pPr>
        <w:spacing w:after="60"/>
      </w:pPr>
      <w:r>
        <w:rPr>
          <w:b/>
          <w:bCs/>
          <w:sz w:val="20"/>
          <w:szCs w:val="20"/>
        </w:rPr>
        <w:t xml:space="preserve">Marker genes (10): </w:t>
      </w:r>
      <w:r>
        <w:rPr>
          <w:sz w:val="20"/>
          <w:szCs w:val="20"/>
        </w:rPr>
        <w:t xml:space="preserve">HAVCR2, PDCD1, TIGIT, LAG3, CD96, KLRC1, CD244, KLRD1, KLRK1, NCR3</w:t>
      </w:r>
    </w:p>
    <w:p>
      <w:pPr>
        <w:spacing w:after="160"/>
      </w:pPr>
      <w:r>
        <w:rPr>
          <w:b/>
          <w:bCs/>
          <w:i/>
          <w:iCs/>
          <w:sz w:val="19"/>
          <w:szCs w:val="19"/>
        </w:rPr>
        <w:t xml:space="preserve">Notes: </w:t>
      </w:r>
      <w:r>
        <w:rPr>
          <w:i/>
          <w:iCs/>
          <w:sz w:val="19"/>
          <w:szCs w:val="19"/>
        </w:rPr>
        <w:t xml:space="preserve">Inhibitory-receptor/exhaustion signature drawn from chronic HCV and HCC NK-dysfunction literature: HAVCR2 (TIM-3) and TIGIT co-expression marks exhausted NK in HBV/HCV-HCC (Oncoimmunology 2021); CD96 correlates with NK exhaustion and poor prognosis in HCC (Hepatology, Sun et al.); KLRC1 (NKG2A) is a defined NK exhaustion checkpoint for HCV persistence (Zhang et al., Nat Commun 2019, PMID 30944315); CD244 (2B4) is upregulated on dysfunctional NK/T cells in chronic HCV. Only 10 genes are listed because impairment of activating receptors (KLRK1/NKG2D, NCR3/NKp30, KLRD1/CD94) is reported as reduced expression/function rather than a clean 'up' marker, so this list is somewhat heterogeneous in direction — evidence is real but less uniformly 'marker-like' than the other three NK states.</w:t>
      </w:r>
    </w:p>
    <w:p>
      <w:pPr>
        <w:pStyle w:val="Heading2"/>
        <w:spacing w:after="100" w:before="200"/>
      </w:pPr>
      <w:r>
        <w:t xml:space="preserve">Mast cell</w:t>
      </w:r>
    </w:p>
    <w:p>
      <w:pPr>
        <w:pStyle w:val="Heading3"/>
        <w:spacing w:after="60" w:before="160"/>
      </w:pPr>
      <w:r>
        <w:t xml:space="preserve">Resting mast cell</w:t>
      </w:r>
    </w:p>
    <w:p>
      <w:pPr>
        <w:spacing w:after="60"/>
      </w:pPr>
      <w:r>
        <w:rPr>
          <w:b/>
          <w:bCs/>
          <w:sz w:val="20"/>
          <w:szCs w:val="20"/>
        </w:rPr>
        <w:t xml:space="preserve">Phenotype: </w:t>
      </w:r>
      <w:r>
        <w:rPr>
          <w:sz w:val="20"/>
          <w:szCs w:val="20"/>
        </w:rPr>
        <w:t xml:space="preserve">Quiescent tissue-resident mast cell</w:t>
      </w:r>
    </w:p>
    <w:p>
      <w:pPr>
        <w:spacing w:after="60"/>
      </w:pPr>
      <w:r>
        <w:rPr>
          <w:b/>
          <w:bCs/>
          <w:sz w:val="20"/>
          <w:szCs w:val="20"/>
        </w:rPr>
        <w:t xml:space="preserve">Marker genes (12): </w:t>
      </w:r>
      <w:r>
        <w:rPr>
          <w:sz w:val="20"/>
          <w:szCs w:val="20"/>
        </w:rPr>
        <w:t xml:space="preserve">KIT, TPSAB1, TPSB2, CPA3, MS4A2, FCER1A, GATA2, MITF, CMA1, HDC, SLC18A2, IL1RL1</w:t>
      </w:r>
    </w:p>
    <w:p>
      <w:pPr>
        <w:spacing w:after="160"/>
      </w:pPr>
      <w:r>
        <w:rPr>
          <w:b/>
          <w:bCs/>
          <w:i/>
          <w:iCs/>
          <w:sz w:val="19"/>
          <w:szCs w:val="19"/>
        </w:rPr>
        <w:t xml:space="preserve">Notes: </w:t>
      </w:r>
      <w:r>
        <w:rPr>
          <w:i/>
          <w:iCs/>
          <w:sz w:val="19"/>
          <w:szCs w:val="19"/>
        </w:rPr>
        <w:t xml:space="preserve">Standard tissue-resident mast-cell identity program, present regardless of activation state: KIT (CD117) and the master transcription factors GATA2/MITF that specify mast-cell lineage, granule protease genes (TPSAB1, TPSB2, CPA3, CMA1), the high-affinity IgE receptor components (MS4A2/FcER1beta, FCER1A), histamine biosynthesis/storage machinery (HDC, SLC18A2/VMAT2) reflecting a fully granule-loaded quiescent cell, and IL1RL1 (ST2), constitutively expressed on resting mast cells.</w:t>
      </w:r>
    </w:p>
    <w:p>
      <w:pPr>
        <w:pStyle w:val="Heading3"/>
        <w:spacing w:after="60" w:before="160"/>
      </w:pPr>
      <w:r>
        <w:t xml:space="preserve">Degranulated/activated mast cell</w:t>
      </w:r>
    </w:p>
    <w:p>
      <w:pPr>
        <w:spacing w:after="60"/>
      </w:pPr>
      <w:r>
        <w:rPr>
          <w:b/>
          <w:bCs/>
          <w:sz w:val="20"/>
          <w:szCs w:val="20"/>
        </w:rPr>
        <w:t xml:space="preserve">Phenotype: </w:t>
      </w:r>
      <w:r>
        <w:rPr>
          <w:sz w:val="20"/>
          <w:szCs w:val="20"/>
        </w:rPr>
        <w:t xml:space="preserve">IgE-triggered or injury-triggered degranulation releasing histamine and proteases</w:t>
      </w:r>
    </w:p>
    <w:p>
      <w:pPr>
        <w:spacing w:after="60"/>
      </w:pPr>
      <w:r>
        <w:rPr>
          <w:b/>
          <w:bCs/>
          <w:sz w:val="20"/>
          <w:szCs w:val="20"/>
        </w:rPr>
        <w:t xml:space="preserve">Marker genes (12): </w:t>
      </w:r>
      <w:r>
        <w:rPr>
          <w:sz w:val="20"/>
          <w:szCs w:val="20"/>
        </w:rPr>
        <w:t xml:space="preserve">TPSAB1, CMA1, HDC, FCER1A, SYK, LYN, LAT, PLCG1, IL6, TNF, CXCL8, IL13</w:t>
      </w:r>
    </w:p>
    <w:p>
      <w:pPr>
        <w:spacing w:after="160"/>
      </w:pPr>
      <w:r>
        <w:rPr>
          <w:b/>
          <w:bCs/>
          <w:i/>
          <w:iCs/>
          <w:sz w:val="19"/>
          <w:szCs w:val="19"/>
        </w:rPr>
        <w:t xml:space="preserve">Notes: </w:t>
      </w:r>
      <w:r>
        <w:rPr>
          <w:i/>
          <w:iCs/>
          <w:sz w:val="19"/>
          <w:szCs w:val="19"/>
        </w:rPr>
        <w:t xml:space="preserve">Combines the released-granule proteases (TPSAB1, CMA1) and histamine synthesis gene (HDC) with the canonical IgE/FcERI proximal signaling cascade that triggers degranulation (FCER1A, SYK, LYN, LAT, PLCG1), plus the de novo cytokine/chemokine response mounted after activation (IL6, TNF, CXCL8, IL13), well established in IgE-mediated mast-cell activation literature.</w:t>
      </w:r>
    </w:p>
    <w:p>
      <w:pPr>
        <w:pStyle w:val="Heading3"/>
        <w:spacing w:after="60" w:before="160"/>
      </w:pPr>
      <w:r>
        <w:t xml:space="preserve">Fibrogenic mast cell</w:t>
      </w:r>
    </w:p>
    <w:p>
      <w:pPr>
        <w:spacing w:after="60"/>
      </w:pPr>
      <w:r>
        <w:rPr>
          <w:b/>
          <w:bCs/>
          <w:sz w:val="20"/>
          <w:szCs w:val="20"/>
        </w:rPr>
        <w:t xml:space="preserve">Phenotype: </w:t>
      </w:r>
      <w:r>
        <w:rPr>
          <w:sz w:val="20"/>
          <w:szCs w:val="20"/>
        </w:rPr>
        <w:t xml:space="preserve">Chronic activation state implicated in promoting periductal and parenchymal fibrosis via hepatic-stellate-cell crosstalk, notably around bile ducts in cholangiopathies</w:t>
      </w:r>
    </w:p>
    <w:p>
      <w:pPr>
        <w:spacing w:after="60"/>
      </w:pPr>
      <w:r>
        <w:rPr>
          <w:b/>
          <w:bCs/>
          <w:sz w:val="20"/>
          <w:szCs w:val="20"/>
        </w:rPr>
        <w:t xml:space="preserve">Marker genes (9): </w:t>
      </w:r>
      <w:r>
        <w:rPr>
          <w:sz w:val="20"/>
          <w:szCs w:val="20"/>
        </w:rPr>
        <w:t xml:space="preserve">TGFB1, CMA1, TPSAB1, VEGFA, FGF2, KIT, IL13, CTSG, TNF</w:t>
      </w:r>
    </w:p>
    <w:p>
      <w:pPr>
        <w:spacing w:after="160"/>
      </w:pPr>
      <w:r>
        <w:rPr>
          <w:b/>
          <w:bCs/>
          <w:i/>
          <w:iCs/>
          <w:sz w:val="19"/>
          <w:szCs w:val="19"/>
        </w:rPr>
        <w:t xml:space="preserve">Notes: </w:t>
      </w:r>
      <w:r>
        <w:rPr>
          <w:i/>
          <w:iCs/>
          <w:sz w:val="19"/>
          <w:szCs w:val="19"/>
        </w:rPr>
        <w:t xml:space="preserve">Evidence for a discrete 'fibrogenic mast cell' transcriptional state is limited; this list is built from mechanistic studies showing mast-cell chymase (CMA1) and tryptase (TPSAB1) promote hepatic stellate cell activation/transdifferentiation and correlate with fibrosis stage, with TGFB1 as the principal profibrotic mediator secreted by activated mast cells, plus angiogenic/growth factors (VEGFA, FGF2) and cytokines (IL13, TNF) implicated in mast-cell-driven fibrogenesis in chronic liver disease. Kept below 10-15 genes deliberately given the thinner, largely indirect (not scRNA-seq-defined) evidence base; do not treat this as a validated single-cell signature.</w:t>
      </w:r>
    </w:p>
    <w:p>
      <w:pPr>
        <w:pStyle w:val="Heading3"/>
        <w:spacing w:after="60" w:before="160"/>
      </w:pPr>
      <w:r>
        <w:t xml:space="preserve">Degranulation-exhausted mast cell</w:t>
      </w:r>
    </w:p>
    <w:p>
      <w:pPr>
        <w:spacing w:after="60"/>
      </w:pPr>
      <w:r>
        <w:rPr>
          <w:b/>
          <w:bCs/>
          <w:sz w:val="20"/>
          <w:szCs w:val="20"/>
        </w:rPr>
        <w:t xml:space="preserve">Phenotype: </w:t>
      </w:r>
      <w:r>
        <w:rPr>
          <w:sz w:val="20"/>
          <w:szCs w:val="20"/>
        </w:rPr>
        <w:t xml:space="preserve">Post-degranulation refractory state with depleted granule stores</w:t>
      </w:r>
    </w:p>
    <w:p>
      <w:pPr>
        <w:spacing w:after="60"/>
      </w:pPr>
      <w:r>
        <w:rPr>
          <w:b/>
          <w:bCs/>
          <w:sz w:val="20"/>
          <w:szCs w:val="20"/>
        </w:rPr>
        <w:t xml:space="preserve">Marker genes (5): </w:t>
      </w:r>
      <w:r>
        <w:rPr>
          <w:sz w:val="20"/>
          <w:szCs w:val="20"/>
        </w:rPr>
        <w:t xml:space="preserve">CD63, MS4A2, SYK, HDC, IL6</w:t>
      </w:r>
    </w:p>
    <w:p>
      <w:pPr>
        <w:spacing w:after="160"/>
      </w:pPr>
      <w:r>
        <w:rPr>
          <w:b/>
          <w:bCs/>
          <w:i/>
          <w:iCs/>
          <w:sz w:val="19"/>
          <w:szCs w:val="19"/>
        </w:rPr>
        <w:t xml:space="preserve">Notes: </w:t>
      </w:r>
      <w:r>
        <w:rPr>
          <w:i/>
          <w:iCs/>
          <w:sz w:val="19"/>
          <w:szCs w:val="19"/>
        </w:rPr>
        <w:t xml:space="preserve">No validated transcriptional signature for a distinct post-degranulation 'exhausted/refractory' mast-cell state currently exists in the literature; a 2026 bioRxiv preprint on IgE-desensitized mast cells describes ~168 upregulated genes enriched for immunoregulatory pathways but does not name a canonical marker panel, and is not yet peer-reviewed. Genes listed here reflect degranulation-history/refractoriness proxies used in functional assays (CD63 as a degranulation marker, SYK as the desensitized/uncoupled signaling node, HDC/IL6 reflecting ongoing but blunted mediator regeneration) rather than an established exhaustion signature. Intentionally left short of 10 genes rather than padded; flag this state as the weakest-supported in the whole set.</w:t>
      </w:r>
    </w:p>
    <w:p>
      <w:pPr>
        <w:pStyle w:val="Heading2"/>
        <w:spacing w:after="100" w:before="200"/>
      </w:pPr>
      <w:r>
        <w:t xml:space="preserve">Schwann cell</w:t>
      </w:r>
    </w:p>
    <w:p>
      <w:pPr>
        <w:pStyle w:val="Heading3"/>
        <w:spacing w:after="60" w:before="160"/>
      </w:pPr>
      <w:r>
        <w:t xml:space="preserve">Myelinating Schwann cell</w:t>
      </w:r>
    </w:p>
    <w:p>
      <w:pPr>
        <w:spacing w:after="60"/>
      </w:pPr>
      <w:r>
        <w:rPr>
          <w:b/>
          <w:bCs/>
          <w:sz w:val="20"/>
          <w:szCs w:val="20"/>
        </w:rPr>
        <w:t xml:space="preserve">Phenotype: </w:t>
      </w:r>
      <w:r>
        <w:rPr>
          <w:sz w:val="20"/>
          <w:szCs w:val="20"/>
        </w:rPr>
        <w:t xml:space="preserve">Ensheathes larger myelinated hepatic autonomic/sensory nerve fibers in the portal tract</w:t>
      </w:r>
    </w:p>
    <w:p>
      <w:pPr>
        <w:spacing w:after="60"/>
      </w:pPr>
      <w:r>
        <w:rPr>
          <w:b/>
          <w:bCs/>
          <w:sz w:val="20"/>
          <w:szCs w:val="20"/>
        </w:rPr>
        <w:t xml:space="preserve">Marker genes (12): </w:t>
      </w:r>
      <w:r>
        <w:rPr>
          <w:sz w:val="20"/>
          <w:szCs w:val="20"/>
        </w:rPr>
        <w:t xml:space="preserve">MPZ, PLP1, MBP, PMP22, MAG, PRX, CNP, EGR2, SOX10, S100B, GJB1, CLDN19</w:t>
      </w:r>
    </w:p>
    <w:p>
      <w:pPr>
        <w:spacing w:after="160"/>
      </w:pPr>
      <w:r>
        <w:rPr>
          <w:b/>
          <w:bCs/>
          <w:i/>
          <w:iCs/>
          <w:sz w:val="19"/>
          <w:szCs w:val="19"/>
        </w:rPr>
        <w:t xml:space="preserve">Notes: </w:t>
      </w:r>
      <w:r>
        <w:rPr>
          <w:i/>
          <w:iCs/>
          <w:sz w:val="19"/>
          <w:szCs w:val="19"/>
        </w:rPr>
        <w:t xml:space="preserve">Canonical peripheral myelin gene program: structural myelin proteins (MPZ, PLP1, MBP, PMP22, MAG, PRX, CNP), the master myelination transcription factor EGR2 (KROX20), the pan-Schwann-lineage transcription factor SOX10 and marker S100B, GJB1 (connexin-32, mutated in CMT1X, myelinating-Schwann-specific gap junction protein), and CLDN19, part of the paranodal/myelin tight-junction machinery specific to myelinating Schwann cells.</w:t>
      </w:r>
    </w:p>
    <w:p>
      <w:pPr>
        <w:pStyle w:val="Heading3"/>
        <w:spacing w:after="60" w:before="160"/>
      </w:pPr>
      <w:r>
        <w:t xml:space="preserve">Non-myelinating (Remak) Schwann cell</w:t>
      </w:r>
    </w:p>
    <w:p>
      <w:pPr>
        <w:spacing w:after="60"/>
      </w:pPr>
      <w:r>
        <w:rPr>
          <w:b/>
          <w:bCs/>
          <w:sz w:val="20"/>
          <w:szCs w:val="20"/>
        </w:rPr>
        <w:t xml:space="preserve">Phenotype: </w:t>
      </w:r>
      <w:r>
        <w:rPr>
          <w:sz w:val="20"/>
          <w:szCs w:val="20"/>
        </w:rPr>
        <w:t xml:space="preserve">Ensheathes bundles of small unmyelinated autonomic fibers, the predominant Schwann-cell type in hepatic portal-tract innervation</w:t>
      </w:r>
    </w:p>
    <w:p>
      <w:pPr>
        <w:spacing w:after="60"/>
      </w:pPr>
      <w:r>
        <w:rPr>
          <w:b/>
          <w:bCs/>
          <w:sz w:val="20"/>
          <w:szCs w:val="20"/>
        </w:rPr>
        <w:t xml:space="preserve">Marker genes (10): </w:t>
      </w:r>
      <w:r>
        <w:rPr>
          <w:sz w:val="20"/>
          <w:szCs w:val="20"/>
        </w:rPr>
        <w:t xml:space="preserve">NCAM1, NGFR, L1CAM, GFRA3, GAP43, EGR1, SOX10, S100B, ERBB3, CDH19</w:t>
      </w:r>
    </w:p>
    <w:p>
      <w:pPr>
        <w:spacing w:after="160"/>
      </w:pPr>
      <w:r>
        <w:rPr>
          <w:b/>
          <w:bCs/>
          <w:i/>
          <w:iCs/>
          <w:sz w:val="19"/>
          <w:szCs w:val="19"/>
        </w:rPr>
        <w:t xml:space="preserve">Notes: </w:t>
      </w:r>
      <w:r>
        <w:rPr>
          <w:i/>
          <w:iCs/>
          <w:sz w:val="19"/>
          <w:szCs w:val="19"/>
        </w:rPr>
        <w:t xml:space="preserve">Remak/non-myelinating program per Schwann-cell marker reviews (e.g., Harty &amp; Monk, 'Unwrapping the unappreciated: recent progress in Remak Schwann cell biology'): retained immature-state markers NGFR (p75NTR), L1CAM, NCAM1, GAP43 and EGR1, GFRA3 (GDNF-family co-receptor associated with non-myelinating fibers/nociceptive axon association), and pan-Schwann genes SOX10/S100B/ERBB3/CDH19 shared with the myelinating lineage but retained alongside the immature marker set.</w:t>
      </w:r>
    </w:p>
    <w:p>
      <w:pPr>
        <w:pStyle w:val="Heading3"/>
        <w:spacing w:after="60" w:before="160"/>
      </w:pPr>
      <w:r>
        <w:t xml:space="preserve">Repair (injury-activated) Schwann cell</w:t>
      </w:r>
    </w:p>
    <w:p>
      <w:pPr>
        <w:spacing w:after="60"/>
      </w:pPr>
      <w:r>
        <w:rPr>
          <w:b/>
          <w:bCs/>
          <w:sz w:val="20"/>
          <w:szCs w:val="20"/>
        </w:rPr>
        <w:t xml:space="preserve">Phenotype: </w:t>
      </w:r>
      <w:r>
        <w:rPr>
          <w:sz w:val="20"/>
          <w:szCs w:val="20"/>
        </w:rPr>
        <w:t xml:space="preserve">c-Jun-driven dedifferentiated, proliferative phenotype supporting nerve and tissue repair after hepatic injury</w:t>
      </w:r>
    </w:p>
    <w:p>
      <w:pPr>
        <w:spacing w:after="60"/>
      </w:pPr>
      <w:r>
        <w:rPr>
          <w:b/>
          <w:bCs/>
          <w:sz w:val="20"/>
          <w:szCs w:val="20"/>
        </w:rPr>
        <w:t xml:space="preserve">Marker genes (13): </w:t>
      </w:r>
      <w:r>
        <w:rPr>
          <w:sz w:val="20"/>
          <w:szCs w:val="20"/>
        </w:rPr>
        <w:t xml:space="preserve">NGFR, GFAP, JUN, SOX2, SHH, GDNF, NRG1, IGF1, TGFB1, POU3F1, RUNX2, L1CAM, NCAM1</w:t>
      </w:r>
    </w:p>
    <w:p>
      <w:pPr>
        <w:spacing w:after="160"/>
      </w:pPr>
      <w:r>
        <w:rPr>
          <w:b/>
          <w:bCs/>
          <w:i/>
          <w:iCs/>
          <w:sz w:val="19"/>
          <w:szCs w:val="19"/>
        </w:rPr>
        <w:t xml:space="preserve">Notes: </w:t>
      </w:r>
      <w:r>
        <w:rPr>
          <w:i/>
          <w:iCs/>
          <w:sz w:val="19"/>
          <w:szCs w:val="19"/>
        </w:rPr>
        <w:t xml:space="preserve">Directly reflects the Jessen &amp; Mirsky 'repair Schwann cell' model (J Physiol 2016): c-JUN as the master regulator of the repair phenotype, driving autocrine trophic factor expression (SHH, GDNF, NRG1, IGF1, TGFB1); re-expression of developmental/precursor transcription factors SOX2 and POU3F1 (Oct6); re-upregulation of premyelinating-state markers NGFR (p75NTR), GFAP, L1CAM and NCAM1 following loss of axonal contact; and RUNX2, recently reported to drive the repair-phenotype chromatin switch and SOX2 activation after nerve injury.</w:t>
      </w:r>
    </w:p>
    <w:p>
      <w:pPr>
        <w:pStyle w:val="Heading1"/>
        <w:pageBreakBefore/>
        <w:spacing w:after="200"/>
      </w:pPr>
      <w:r>
        <w:t xml:space="preserve">Liver Cell Types -- References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D9E1E4" w:val="clear"/>
          </w:tcPr>
          <w:p>
            <w:r>
              <w:rPr>
                <w:b/>
                <w:bCs/>
                <w:sz w:val="20"/>
                <w:szCs w:val="20"/>
              </w:rPr>
              <w:t xml:space="preserve">Citation</w:t>
            </w:r>
          </w:p>
        </w:tc>
        <w:tc>
          <w:tcPr>
            <w:tcW w:type="dxa" w:w="4000"/>
            <w:shd w:fill="D9E1E4" w:val="clear"/>
          </w:tcPr>
          <w:p>
            <w:r>
              <w:rPr>
                <w:b/>
                <w:bCs/>
                <w:sz w:val="20"/>
                <w:szCs w:val="20"/>
              </w:rPr>
              <w:t xml:space="preserve">Supports</w:t>
            </w:r>
          </w:p>
        </w:tc>
      </w:tr>
      <w:tr>
        <w:tc>
          <w:tcPr>
            <w:tcW w:type="dxa" w:w="6000"/>
          </w:tcPr>
          <w:p>
            <w:r>
              <w:rPr>
                <w:b w:val="false"/>
                <w:bCs w:val="false"/>
                <w:sz w:val="20"/>
                <w:szCs w:val="20"/>
              </w:rPr>
              <w:t xml:space="preserve">Halpern KB et al., Nature, 2017 (PMID 28166538) - 'Single-cell spatial reconstruction reveals global division of labour in the mammalian liver'</w:t>
            </w:r>
          </w:p>
        </w:tc>
        <w:tc>
          <w:tcPr>
            <w:tcW w:type="dxa" w:w="4000"/>
          </w:tcPr>
          <w:p>
            <w:r>
              <w:rPr>
                <w:b w:val="false"/>
                <w:bCs w:val="false"/>
                <w:sz w:val="20"/>
                <w:szCs w:val="20"/>
              </w:rPr>
              <w:t xml:space="preserve">Defines zone-1 (periportal) and zone-3 (pericentral) hepatocyte landmark genes (ASS1, CPS1, ASL, ARG1, PCK1, G6PC, HAL, SDS, GLUL, CYP2E1, CYP1A2, OAT, RHBG) used for periportal-hepatocyte and central-lobular-hepatocyte.</w:t>
            </w:r>
          </w:p>
        </w:tc>
      </w:tr>
      <w:tr>
        <w:tc>
          <w:tcPr>
            <w:tcW w:type="dxa" w:w="6000"/>
          </w:tcPr>
          <w:p>
            <w:r>
              <w:rPr>
                <w:b w:val="false"/>
                <w:bCs w:val="false"/>
                <w:sz w:val="20"/>
                <w:szCs w:val="20"/>
              </w:rPr>
              <w:t xml:space="preserve">Halpern KB et al., Nat Biotechnol, 2018 (PMID 30222169) - 'Paired-cell sequencing enables spatial gene expression mapping of liver endothelial cells'</w:t>
            </w:r>
          </w:p>
        </w:tc>
        <w:tc>
          <w:tcPr>
            <w:tcW w:type="dxa" w:w="4000"/>
          </w:tcPr>
          <w:p>
            <w:r>
              <w:rPr>
                <w:b w:val="false"/>
                <w:bCs w:val="false"/>
                <w:sz w:val="20"/>
                <w:szCs w:val="20"/>
              </w:rPr>
              <w:t xml:space="preserve">Zonation of LSEC genes; central-vein enrichment of Wnt2/Wnt9b/Rspo3/Kit; periportal LSEC enrichment of Efnb2/Ltbp4/Dll4. Used for central-vein-endothelial-cell and vascular-endothelial-cell.</w:t>
            </w:r>
          </w:p>
        </w:tc>
      </w:tr>
      <w:tr>
        <w:tc>
          <w:tcPr>
            <w:tcW w:type="dxa" w:w="6000"/>
          </w:tcPr>
          <w:p>
            <w:r>
              <w:rPr>
                <w:b w:val="false"/>
                <w:bCs w:val="false"/>
                <w:sz w:val="20"/>
                <w:szCs w:val="20"/>
              </w:rPr>
              <w:t xml:space="preserve">Wang B et al., Nature, 2015 (PMID 25419705) - 'Self-renewing diploid Axin2+ cells fuel homeostatic renewal in mouse liver'</w:t>
            </w:r>
          </w:p>
        </w:tc>
        <w:tc>
          <w:tcPr>
            <w:tcW w:type="dxa" w:w="4000"/>
          </w:tcPr>
          <w:p>
            <w:r>
              <w:rPr>
                <w:b w:val="false"/>
                <w:bCs w:val="false"/>
                <w:sz w:val="20"/>
                <w:szCs w:val="20"/>
              </w:rPr>
              <w:t xml:space="preserve">AXIN2/LGR5 mark pericentral, Wnt-responsive hepatocytes; used for central-lobular-hepatocyte.</w:t>
            </w:r>
          </w:p>
        </w:tc>
      </w:tr>
      <w:tr>
        <w:tc>
          <w:tcPr>
            <w:tcW w:type="dxa" w:w="6000"/>
          </w:tcPr>
          <w:p>
            <w:r>
              <w:rPr>
                <w:b w:val="false"/>
                <w:bCs w:val="false"/>
                <w:sz w:val="20"/>
                <w:szCs w:val="20"/>
              </w:rPr>
              <w:t xml:space="preserve">Planas-Paz L et al., Nat Cell Biol, 2016 (PMID 27428309) - 'The RSPO-LGR4/5-ZNRF3/RNF43 module controls liver zonation and size'</w:t>
            </w:r>
          </w:p>
        </w:tc>
        <w:tc>
          <w:tcPr>
            <w:tcW w:type="dxa" w:w="4000"/>
          </w:tcPr>
          <w:p>
            <w:r>
              <w:rPr>
                <w:b w:val="false"/>
                <w:bCs w:val="false"/>
                <w:sz w:val="20"/>
                <w:szCs w:val="20"/>
              </w:rPr>
              <w:t xml:space="preserve">RSPO3/TBX3/RNF43 pericentral zonation axis; used for central-lobular-hepatocyte and central-vein-endothelial-cell.</w:t>
            </w:r>
          </w:p>
        </w:tc>
      </w:tr>
      <w:tr>
        <w:tc>
          <w:tcPr>
            <w:tcW w:type="dxa" w:w="6000"/>
          </w:tcPr>
          <w:p>
            <w:r>
              <w:rPr>
                <w:b w:val="false"/>
                <w:bCs w:val="false"/>
                <w:sz w:val="20"/>
                <w:szCs w:val="20"/>
              </w:rPr>
              <w:t xml:space="preserve">Dobie R et al., Cell Reports, 2019 (PMID 31644916) - 'Single-Cell Transcriptomics Uncovers Zonation of Function in the Mesenchyme during Liver Fibrosis'</w:t>
            </w:r>
          </w:p>
        </w:tc>
        <w:tc>
          <w:tcPr>
            <w:tcW w:type="dxa" w:w="4000"/>
          </w:tcPr>
          <w:p>
            <w:r>
              <w:rPr>
                <w:b w:val="false"/>
                <w:bCs w:val="false"/>
                <w:sz w:val="20"/>
                <w:szCs w:val="20"/>
              </w:rPr>
              <w:t xml:space="preserve">Zonated HSC subpopulations and scar-associated ECM/matricellular genes (TNC, POSTN, THBS2); used for fibrotic-hsc.</w:t>
            </w:r>
          </w:p>
        </w:tc>
      </w:tr>
      <w:tr>
        <w:tc>
          <w:tcPr>
            <w:tcW w:type="dxa" w:w="6000"/>
          </w:tcPr>
          <w:p>
            <w:r>
              <w:rPr>
                <w:b w:val="false"/>
                <w:bCs w:val="false"/>
                <w:sz w:val="20"/>
                <w:szCs w:val="20"/>
              </w:rPr>
              <w:t xml:space="preserve">Ramachandran P et al., Nature, 2019 (PMID 31597160) - 'Resolving the fibrotic niche of human liver cirrhosis at single-cell level'</w:t>
            </w:r>
          </w:p>
        </w:tc>
        <w:tc>
          <w:tcPr>
            <w:tcW w:type="dxa" w:w="4000"/>
          </w:tcPr>
          <w:p>
            <w:r>
              <w:rPr>
                <w:b w:val="false"/>
                <w:bCs w:val="false"/>
                <w:sz w:val="20"/>
                <w:szCs w:val="20"/>
              </w:rPr>
              <w:t xml:space="preserve">Scar-associated myofibroblast markers (COL1A1/COL1A2/COL3A1/TIMP1/PDGFRA) and ACKR1+/PLVAP+ scar-restricted endothelial cells; used for fibrotic-hsc and capillarized-sinusoidal-endothelial-cell.</w:t>
            </w:r>
          </w:p>
        </w:tc>
      </w:tr>
      <w:tr>
        <w:tc>
          <w:tcPr>
            <w:tcW w:type="dxa" w:w="6000"/>
          </w:tcPr>
          <w:p>
            <w:r>
              <w:rPr>
                <w:b w:val="false"/>
                <w:bCs w:val="false"/>
                <w:sz w:val="20"/>
                <w:szCs w:val="20"/>
              </w:rPr>
              <w:t xml:space="preserve">Kisseleva T et al., PNAS, 2012 (PMID 22566629) - 'Myofibroblasts revert to an inactive phenotype during regression of liver fibrosis'</w:t>
            </w:r>
          </w:p>
        </w:tc>
        <w:tc>
          <w:tcPr>
            <w:tcW w:type="dxa" w:w="4000"/>
          </w:tcPr>
          <w:p>
            <w:r>
              <w:rPr>
                <w:b w:val="false"/>
                <w:bCs w:val="false"/>
                <w:sz w:val="20"/>
                <w:szCs w:val="20"/>
              </w:rPr>
              <w:t xml:space="preserve">Basis for reverting-hsc partial re-expression of quiescence genes (RGS5, HGF, NGFR) with retained activation memory.</w:t>
            </w:r>
          </w:p>
        </w:tc>
      </w:tr>
      <w:tr>
        <w:tc>
          <w:tcPr>
            <w:tcW w:type="dxa" w:w="6000"/>
          </w:tcPr>
          <w:p>
            <w:r>
              <w:rPr>
                <w:b w:val="false"/>
                <w:bCs w:val="false"/>
                <w:sz w:val="20"/>
                <w:szCs w:val="20"/>
              </w:rPr>
              <w:t xml:space="preserve">Troeger JS et al., Gastroenterology, 2012 (PMID 22537434) - 'Deactivation of hepatic stellate cells during liver fibrosis resolution in mice'</w:t>
            </w:r>
          </w:p>
        </w:tc>
        <w:tc>
          <w:tcPr>
            <w:tcW w:type="dxa" w:w="4000"/>
          </w:tcPr>
          <w:p>
            <w:r>
              <w:rPr>
                <w:b w:val="false"/>
                <w:bCs w:val="false"/>
                <w:sz w:val="20"/>
                <w:szCs w:val="20"/>
              </w:rPr>
              <w:t xml:space="preserve">Further support for HSC inactivation/reverting phenotype and PPARG re-expression; used for reverting-hsc.</w:t>
            </w:r>
          </w:p>
        </w:tc>
      </w:tr>
      <w:tr>
        <w:tc>
          <w:tcPr>
            <w:tcW w:type="dxa" w:w="6000"/>
          </w:tcPr>
          <w:p>
            <w:r>
              <w:rPr>
                <w:b w:val="false"/>
                <w:bCs w:val="false"/>
                <w:sz w:val="20"/>
                <w:szCs w:val="20"/>
              </w:rPr>
              <w:t xml:space="preserve">Tsuchida T &amp; Friedman SL, Nat Rev Gastroenterol Hepatol, 2017 (PMID 28053396) - 'Mechanisms of hepatic stellate cell activation'</w:t>
            </w:r>
          </w:p>
        </w:tc>
        <w:tc>
          <w:tcPr>
            <w:tcW w:type="dxa" w:w="4000"/>
          </w:tcPr>
          <w:p>
            <w:r>
              <w:rPr>
                <w:b w:val="false"/>
                <w:bCs w:val="false"/>
                <w:sz w:val="20"/>
                <w:szCs w:val="20"/>
              </w:rPr>
              <w:t xml:space="preserve">Review basis for quiescent-hsc and activated-hsc marker panels.</w:t>
            </w:r>
          </w:p>
        </w:tc>
      </w:tr>
      <w:tr>
        <w:tc>
          <w:tcPr>
            <w:tcW w:type="dxa" w:w="6000"/>
          </w:tcPr>
          <w:p>
            <w:r>
              <w:rPr>
                <w:b w:val="false"/>
                <w:bCs w:val="false"/>
                <w:sz w:val="20"/>
                <w:szCs w:val="20"/>
              </w:rPr>
              <w:t xml:space="preserve">Mederacke I et al., Nat Commun, 2013 (PMID 23978384) - 'Fate tracing reveals hepatic stellate cells as dominant contributors to liver fibrosis'</w:t>
            </w:r>
          </w:p>
        </w:tc>
        <w:tc>
          <w:tcPr>
            <w:tcW w:type="dxa" w:w="4000"/>
          </w:tcPr>
          <w:p>
            <w:r>
              <w:rPr>
                <w:b w:val="false"/>
                <w:bCs w:val="false"/>
                <w:sz w:val="20"/>
                <w:szCs w:val="20"/>
              </w:rPr>
              <w:t xml:space="preserve">Confirms HSC-to-myofibroblast lineage and activation markers used for activated-hsc.</w:t>
            </w:r>
          </w:p>
        </w:tc>
      </w:tr>
      <w:tr>
        <w:tc>
          <w:tcPr>
            <w:tcW w:type="dxa" w:w="6000"/>
          </w:tcPr>
          <w:p>
            <w:r>
              <w:rPr>
                <w:b w:val="false"/>
                <w:bCs w:val="false"/>
                <w:sz w:val="20"/>
                <w:szCs w:val="20"/>
              </w:rPr>
              <w:t xml:space="preserve">MacParland SA et al., Nat Commun, 2018 (PMID 30348985) - 'Single cell RNA sequencing of human liver reveals distinct intrahepatic macrophage populations'</w:t>
            </w:r>
          </w:p>
        </w:tc>
        <w:tc>
          <w:tcPr>
            <w:tcW w:type="dxa" w:w="4000"/>
          </w:tcPr>
          <w:p>
            <w:r>
              <w:rPr>
                <w:b w:val="false"/>
                <w:bCs w:val="false"/>
                <w:sz w:val="20"/>
                <w:szCs w:val="20"/>
              </w:rPr>
              <w:t xml:space="preserve">Human liver atlas cluster definitions supporting LSEC and cholangiocyte identity genes.</w:t>
            </w:r>
          </w:p>
        </w:tc>
      </w:tr>
      <w:tr>
        <w:tc>
          <w:tcPr>
            <w:tcW w:type="dxa" w:w="6000"/>
          </w:tcPr>
          <w:p>
            <w:r>
              <w:rPr>
                <w:b w:val="false"/>
                <w:bCs w:val="false"/>
                <w:sz w:val="20"/>
                <w:szCs w:val="20"/>
              </w:rPr>
              <w:t xml:space="preserve">Aizarani N et al., Nature, 2019 (PMID 31292543) - 'A human liver cell atlas reveals heterogeneity and epithelial progenitors'</w:t>
            </w:r>
          </w:p>
        </w:tc>
        <w:tc>
          <w:tcPr>
            <w:tcW w:type="dxa" w:w="4000"/>
          </w:tcPr>
          <w:p>
            <w:r>
              <w:rPr>
                <w:b w:val="false"/>
                <w:bCs w:val="false"/>
                <w:sz w:val="20"/>
                <w:szCs w:val="20"/>
              </w:rPr>
              <w:t xml:space="preserve">Cholangiocyte and LSEC subtype marker definitions (EPCAM, KRT19, TACSTD2, STAB2 etc.).</w:t>
            </w:r>
          </w:p>
        </w:tc>
      </w:tr>
      <w:tr>
        <w:tc>
          <w:tcPr>
            <w:tcW w:type="dxa" w:w="6000"/>
          </w:tcPr>
          <w:p>
            <w:r>
              <w:rPr>
                <w:b w:val="false"/>
                <w:bCs w:val="false"/>
                <w:sz w:val="20"/>
                <w:szCs w:val="20"/>
              </w:rPr>
              <w:t xml:space="preserve">Guicciardi ME et al., Hepatology, 2020 - 'The Spectrum of Reactive Cholangiocytes in Primary Sclerosing Cholangitis'</w:t>
            </w:r>
          </w:p>
        </w:tc>
        <w:tc>
          <w:tcPr>
            <w:tcW w:type="dxa" w:w="4000"/>
          </w:tcPr>
          <w:p>
            <w:r>
              <w:rPr>
                <w:b w:val="false"/>
                <w:bCs w:val="false"/>
                <w:sz w:val="20"/>
                <w:szCs w:val="20"/>
              </w:rPr>
              <w:t xml:space="preserve">NCAM1 as a reactive/ductular-reaction cholangiocyte marker in PSC; used for reactive-cholangiocyte.</w:t>
            </w:r>
          </w:p>
        </w:tc>
      </w:tr>
      <w:tr>
        <w:tc>
          <w:tcPr>
            <w:tcW w:type="dxa" w:w="6000"/>
          </w:tcPr>
          <w:p>
            <w:r>
              <w:rPr>
                <w:b w:val="false"/>
                <w:bCs w:val="false"/>
                <w:sz w:val="20"/>
                <w:szCs w:val="20"/>
              </w:rPr>
              <w:t xml:space="preserve">Farshidfar F et al., Cell Reports, 2017 (PMID 28214436) - 'Integrative Genomic Analysis of Cholangiocarcinoma Identifies Distinct IDH-Mutant Molecular Profiles'</w:t>
            </w:r>
          </w:p>
        </w:tc>
        <w:tc>
          <w:tcPr>
            <w:tcW w:type="dxa" w:w="4000"/>
          </w:tcPr>
          <w:p>
            <w:r>
              <w:rPr>
                <w:b w:val="false"/>
                <w:bCs w:val="false"/>
                <w:sz w:val="20"/>
                <w:szCs w:val="20"/>
              </w:rPr>
              <w:t xml:space="preserve">Genomic driver landscape (IDH1, FGFR2, KRAS, TP53, ARID1A, BAP1, SMAD4) used for cholangiocarcinoma-like-cholangiocyte.</w:t>
            </w:r>
          </w:p>
        </w:tc>
      </w:tr>
      <w:tr>
        <w:tc>
          <w:tcPr>
            <w:tcW w:type="dxa" w:w="6000"/>
          </w:tcPr>
          <w:p>
            <w:r>
              <w:rPr>
                <w:b w:val="false"/>
                <w:bCs w:val="false"/>
                <w:sz w:val="20"/>
                <w:szCs w:val="20"/>
              </w:rPr>
              <w:t xml:space="preserve">Nature Communications, 2022 (PMID 35361776) - 'Single-cell transcriptomic analysis suggests two molecularly distinct subtypes of intrahepatic cholangiocarcinoma'</w:t>
            </w:r>
          </w:p>
        </w:tc>
        <w:tc>
          <w:tcPr>
            <w:tcW w:type="dxa" w:w="4000"/>
          </w:tcPr>
          <w:p>
            <w:r>
              <w:rPr>
                <w:b w:val="false"/>
                <w:bCs w:val="false"/>
                <w:sz w:val="20"/>
                <w:szCs w:val="20"/>
              </w:rPr>
              <w:t xml:space="preserve">S100P and SPP1 as iCCA subtype markers; used for cholangiocarcinoma-like-cholangiocyte.</w:t>
            </w:r>
          </w:p>
        </w:tc>
      </w:tr>
      <w:tr>
        <w:tc>
          <w:tcPr>
            <w:tcW w:type="dxa" w:w="6000"/>
          </w:tcPr>
          <w:p>
            <w:r>
              <w:rPr>
                <w:b w:val="false"/>
                <w:bCs w:val="false"/>
                <w:sz w:val="20"/>
                <w:szCs w:val="20"/>
              </w:rPr>
              <w:t xml:space="preserve">Romeo S et al., Nat Genet, 2008 (PMID 18820647) - 'Genetic variation in PNPLA3 confers susceptibility to nonalcoholic fatty liver disease'</w:t>
            </w:r>
          </w:p>
        </w:tc>
        <w:tc>
          <w:tcPr>
            <w:tcW w:type="dxa" w:w="4000"/>
          </w:tcPr>
          <w:p>
            <w:r>
              <w:rPr>
                <w:b w:val="false"/>
                <w:bCs w:val="false"/>
                <w:sz w:val="20"/>
                <w:szCs w:val="20"/>
              </w:rPr>
              <w:t xml:space="preserve">PNPLA3 as steatosis marker/risk gene; used for steatotic-hepatocyte.</w:t>
            </w:r>
          </w:p>
        </w:tc>
      </w:tr>
      <w:tr>
        <w:tc>
          <w:tcPr>
            <w:tcW w:type="dxa" w:w="6000"/>
          </w:tcPr>
          <w:p>
            <w:r>
              <w:rPr>
                <w:b w:val="false"/>
                <w:bCs w:val="false"/>
                <w:sz w:val="20"/>
                <w:szCs w:val="20"/>
              </w:rPr>
              <w:t xml:space="preserve">Kozlitina J et al., Nat Genet, 2014 (PMID 24531328) - 'Exome-wide association study identifies a TM6SF2 variant that confers susceptibility to NAFLD'</w:t>
            </w:r>
          </w:p>
        </w:tc>
        <w:tc>
          <w:tcPr>
            <w:tcW w:type="dxa" w:w="4000"/>
          </w:tcPr>
          <w:p>
            <w:r>
              <w:rPr>
                <w:b w:val="false"/>
                <w:bCs w:val="false"/>
                <w:sz w:val="20"/>
                <w:szCs w:val="20"/>
              </w:rPr>
              <w:t xml:space="preserve">TM6SF2 as steatosis risk/marker gene; used for steatotic-hepatocyte.</w:t>
            </w:r>
          </w:p>
        </w:tc>
      </w:tr>
      <w:tr>
        <w:tc>
          <w:tcPr>
            <w:tcW w:type="dxa" w:w="6000"/>
          </w:tcPr>
          <w:p>
            <w:r>
              <w:rPr>
                <w:b w:val="false"/>
                <w:bCs w:val="false"/>
                <w:sz w:val="20"/>
                <w:szCs w:val="20"/>
              </w:rPr>
              <w:t xml:space="preserve">Jessen KR, Mirsky R. The repair Schwann cell and its function in regenerating nerves. J Physiol. 2016;594(13):3521-31. PMID: 27189767</w:t>
            </w:r>
          </w:p>
        </w:tc>
        <w:tc>
          <w:tcPr>
            <w:tcW w:type="dxa" w:w="4000"/>
          </w:tcPr>
          <w:p>
            <w:r>
              <w:rPr>
                <w:b w:val="false"/>
                <w:bCs w:val="false"/>
                <w:sz w:val="20"/>
                <w:szCs w:val="20"/>
              </w:rPr>
              <w:t xml:space="preserve">Defines the c-Jun-driven repair Schwann cell program (JUN, GFAP, NGFR, SOX2, SHH, GDNF, NRG1, IGF1, TGFB1) used for the repair-schwann-cell state.</w:t>
            </w:r>
          </w:p>
        </w:tc>
      </w:tr>
      <w:tr>
        <w:tc>
          <w:tcPr>
            <w:tcW w:type="dxa" w:w="6000"/>
          </w:tcPr>
          <w:p>
            <w:r>
              <w:rPr>
                <w:b w:val="false"/>
                <w:bCs w:val="false"/>
                <w:sz w:val="20"/>
                <w:szCs w:val="20"/>
              </w:rPr>
              <w:t xml:space="preserve">Harty BL, Monk KR. Unwrapping the unappreciated: recent progress in Remak Schwann cell biology. Curr Opin Neurobiol. 2017. PMID: 29096241</w:t>
            </w:r>
          </w:p>
        </w:tc>
        <w:tc>
          <w:tcPr>
            <w:tcW w:type="dxa" w:w="4000"/>
          </w:tcPr>
          <w:p>
            <w:r>
              <w:rPr>
                <w:b w:val="false"/>
                <w:bCs w:val="false"/>
                <w:sz w:val="20"/>
                <w:szCs w:val="20"/>
              </w:rPr>
              <w:t xml:space="preserve">Supports the non-myelinating (Remak) Schwann cell marker set (NGFR, L1CAM, NCAM1, GFRA3, GAP43).</w:t>
            </w:r>
          </w:p>
        </w:tc>
      </w:tr>
      <w:tr>
        <w:tc>
          <w:tcPr>
            <w:tcW w:type="dxa" w:w="6000"/>
          </w:tcPr>
          <w:p>
            <w:r>
              <w:rPr>
                <w:b w:val="false"/>
                <w:bCs w:val="false"/>
                <w:sz w:val="20"/>
                <w:szCs w:val="20"/>
              </w:rPr>
              <w:t xml:space="preserve">Runx2-driven repair Schwann cell phenotype switch via chromatin remodeling and Sox2 activation after nerve injury. PMC11929166</w:t>
            </w:r>
          </w:p>
        </w:tc>
        <w:tc>
          <w:tcPr>
            <w:tcW w:type="dxa" w:w="4000"/>
          </w:tcPr>
          <w:p>
            <w:r>
              <w:rPr>
                <w:b w:val="false"/>
                <w:bCs w:val="false"/>
                <w:sz w:val="20"/>
                <w:szCs w:val="20"/>
              </w:rPr>
              <w:t xml:space="preserve">Supports inclusion of RUNX2 in the repair-schwann-cell program.</w:t>
            </w:r>
          </w:p>
        </w:tc>
      </w:tr>
      <w:tr>
        <w:tc>
          <w:tcPr>
            <w:tcW w:type="dxa" w:w="6000"/>
          </w:tcPr>
          <w:p>
            <w:r>
              <w:rPr>
                <w:b w:val="false"/>
                <w:bCs w:val="false"/>
                <w:sz w:val="20"/>
                <w:szCs w:val="20"/>
              </w:rPr>
              <w:t xml:space="preserve">Fuchs A, Pallett LJ, et al. Human intrahepatic CD69+CD8+ T cells have a tissue resident memory T cell phenotype with reduced cytolytic capacity. Sci Rep. 2017;7:40116. PMC5522381</w:t>
            </w:r>
          </w:p>
        </w:tc>
        <w:tc>
          <w:tcPr>
            <w:tcW w:type="dxa" w:w="4000"/>
          </w:tcPr>
          <w:p>
            <w:r>
              <w:rPr>
                <w:b w:val="false"/>
                <w:bCs w:val="false"/>
                <w:sz w:val="20"/>
                <w:szCs w:val="20"/>
              </w:rPr>
              <w:t xml:space="preserve">Establishes CD69/CXCR6/ITGAE/CXCR3/reduced S1PR1-KLF2 as the human liver Trm phenotype.</w:t>
            </w:r>
          </w:p>
        </w:tc>
      </w:tr>
      <w:tr>
        <w:tc>
          <w:tcPr>
            <w:tcW w:type="dxa" w:w="6000"/>
          </w:tcPr>
          <w:p>
            <w:r>
              <w:rPr>
                <w:b w:val="false"/>
                <w:bCs w:val="false"/>
                <w:sz w:val="20"/>
                <w:szCs w:val="20"/>
              </w:rPr>
              <w:t xml:space="preserve">Kumar BV, Ma W, et al. Human Tissue-Resident Memory T Cells Are Defined by Core Transcriptional and Functional Signatures in Lymphoid and Mucosal Sites. Cell Rep. 2017;20(12):2921-2934.</w:t>
            </w:r>
          </w:p>
        </w:tc>
        <w:tc>
          <w:tcPr>
            <w:tcW w:type="dxa" w:w="4000"/>
          </w:tcPr>
          <w:p>
            <w:r>
              <w:rPr>
                <w:b w:val="false"/>
                <w:bCs w:val="false"/>
                <w:sz w:val="20"/>
                <w:szCs w:val="20"/>
              </w:rPr>
              <w:t xml:space="preserve">Defines the core human Trm signature (ITGAE, ITGA1, CXCR6, RGS1, ZNF683) applied to the liver-resident-memory-t-cell state.</w:t>
            </w:r>
          </w:p>
        </w:tc>
      </w:tr>
      <w:tr>
        <w:tc>
          <w:tcPr>
            <w:tcW w:type="dxa" w:w="6000"/>
          </w:tcPr>
          <w:p>
            <w:r>
              <w:rPr>
                <w:b w:val="false"/>
                <w:bCs w:val="false"/>
                <w:sz w:val="20"/>
                <w:szCs w:val="20"/>
              </w:rPr>
              <w:t xml:space="preserve">Pallett LJ, Davies J, et al. Longevity and replenishment of human liver-resident memory T cells and mononuclear phagocytes. J Exp Med / PMC7478732</w:t>
            </w:r>
          </w:p>
        </w:tc>
        <w:tc>
          <w:tcPr>
            <w:tcW w:type="dxa" w:w="4000"/>
          </w:tcPr>
          <w:p>
            <w:r>
              <w:rPr>
                <w:b w:val="false"/>
                <w:bCs w:val="false"/>
                <w:sz w:val="20"/>
                <w:szCs w:val="20"/>
              </w:rPr>
              <w:t xml:space="preserve">Additional support for liver Trm identity markers and residency biology.</w:t>
            </w:r>
          </w:p>
        </w:tc>
      </w:tr>
      <w:tr>
        <w:tc>
          <w:tcPr>
            <w:tcW w:type="dxa" w:w="6000"/>
          </w:tcPr>
          <w:p>
            <w:r>
              <w:rPr>
                <w:b w:val="false"/>
                <w:bCs w:val="false"/>
                <w:sz w:val="20"/>
                <w:szCs w:val="20"/>
              </w:rPr>
              <w:t xml:space="preserve">Prioritizing exhausted T cell marker genes highlights immune subtypes in pan-cancer. iScience. 2023. PMC/ScienceDirect S2589-0042(23)00561-8</w:t>
            </w:r>
          </w:p>
        </w:tc>
        <w:tc>
          <w:tcPr>
            <w:tcW w:type="dxa" w:w="4000"/>
          </w:tcPr>
          <w:p>
            <w:r>
              <w:rPr>
                <w:b w:val="false"/>
                <w:bCs w:val="false"/>
                <w:sz w:val="20"/>
                <w:szCs w:val="20"/>
              </w:rPr>
              <w:t xml:space="preserve">Supports the exhausted-t-cell panel (PDCD1, LAG3, HAVCR2, TIGIT, TOX, CXCL13, ENTPD1, LAYN, CD38).</w:t>
            </w:r>
          </w:p>
        </w:tc>
      </w:tr>
      <w:tr>
        <w:tc>
          <w:tcPr>
            <w:tcW w:type="dxa" w:w="6000"/>
          </w:tcPr>
          <w:p>
            <w:r>
              <w:rPr>
                <w:b w:val="false"/>
                <w:bCs w:val="false"/>
                <w:sz w:val="20"/>
                <w:szCs w:val="20"/>
              </w:rPr>
              <w:t xml:space="preserve">Dual role of TIGIT in regulatory and effector T cells in chronic liver disease. ScienceDirect 2025 (S2589555925000825)</w:t>
            </w:r>
          </w:p>
        </w:tc>
        <w:tc>
          <w:tcPr>
            <w:tcW w:type="dxa" w:w="4000"/>
          </w:tcPr>
          <w:p>
            <w:r>
              <w:rPr>
                <w:b w:val="false"/>
                <w:bCs w:val="false"/>
                <w:sz w:val="20"/>
                <w:szCs w:val="20"/>
              </w:rPr>
              <w:t xml:space="preserve">Supports TIGIT and ENTPD1/CD39 as enriched, functionally relevant markers on intrahepatic Tregs.</w:t>
            </w:r>
          </w:p>
        </w:tc>
      </w:tr>
      <w:tr>
        <w:tc>
          <w:tcPr>
            <w:tcW w:type="dxa" w:w="6000"/>
          </w:tcPr>
          <w:p>
            <w:r>
              <w:rPr>
                <w:b w:val="false"/>
                <w:bCs w:val="false"/>
                <w:sz w:val="20"/>
                <w:szCs w:val="20"/>
              </w:rPr>
              <w:t xml:space="preserve">IL-2 availability regulates the tissue specific phenotype of murine intra-hepatic Tregs. Front Immunol. 2022. PMC9661520</w:t>
            </w:r>
          </w:p>
        </w:tc>
        <w:tc>
          <w:tcPr>
            <w:tcW w:type="dxa" w:w="4000"/>
          </w:tcPr>
          <w:p>
            <w:r>
              <w:rPr>
                <w:b w:val="false"/>
                <w:bCs w:val="false"/>
                <w:sz w:val="20"/>
                <w:szCs w:val="20"/>
              </w:rPr>
              <w:t xml:space="preserve">Supports ENTPD1 (CD39) upregulation on intrahepatic Tregs.</w:t>
            </w:r>
          </w:p>
        </w:tc>
      </w:tr>
      <w:tr>
        <w:tc>
          <w:tcPr>
            <w:tcW w:type="dxa" w:w="6000"/>
          </w:tcPr>
          <w:p>
            <w:r>
              <w:rPr>
                <w:b w:val="false"/>
                <w:bCs w:val="false"/>
                <w:sz w:val="20"/>
                <w:szCs w:val="20"/>
              </w:rPr>
              <w:t xml:space="preserve">Nutt SL, Hodgkin PD, Tarlinton DM, Corcoran LM. The generation of antibody-secreting plasma cells. Nat Rev Immunol. 2015;15(3):160-71.</w:t>
            </w:r>
          </w:p>
        </w:tc>
        <w:tc>
          <w:tcPr>
            <w:tcW w:type="dxa" w:w="4000"/>
          </w:tcPr>
          <w:p>
            <w:r>
              <w:rPr>
                <w:b w:val="false"/>
                <w:bCs w:val="false"/>
                <w:sz w:val="20"/>
                <w:szCs w:val="20"/>
              </w:rPr>
              <w:t xml:space="preserve">Underlies the plasma-cell program (PRDM1, XBP1, IRF4, SDC1/CD138, secretory pathway genes).</w:t>
            </w:r>
          </w:p>
        </w:tc>
      </w:tr>
      <w:tr>
        <w:tc>
          <w:tcPr>
            <w:tcW w:type="dxa" w:w="6000"/>
          </w:tcPr>
          <w:p>
            <w:r>
              <w:rPr>
                <w:b w:val="false"/>
                <w:bCs w:val="false"/>
                <w:sz w:val="20"/>
                <w:szCs w:val="20"/>
              </w:rPr>
              <w:t xml:space="preserve">CD27 is not an ideal marker for human memory B cells and can be modulated by IL-21 upon stimulation by anti-CD40. Sci Rep. 2024. PMC11467254</w:t>
            </w:r>
          </w:p>
        </w:tc>
        <w:tc>
          <w:tcPr>
            <w:tcW w:type="dxa" w:w="4000"/>
          </w:tcPr>
          <w:p>
            <w:r>
              <w:rPr>
                <w:b w:val="false"/>
                <w:bCs w:val="false"/>
                <w:sz w:val="20"/>
                <w:szCs w:val="20"/>
              </w:rPr>
              <w:t xml:space="preserve">Basis for noting the limitations of CD27 as a universal memory-B-cell marker, reflected in the memory-b-cell notes.</w:t>
            </w:r>
          </w:p>
        </w:tc>
      </w:tr>
      <w:tr>
        <w:tc>
          <w:tcPr>
            <w:tcW w:type="dxa" w:w="6000"/>
          </w:tcPr>
          <w:p>
            <w:r>
              <w:rPr>
                <w:b w:val="false"/>
                <w:bCs w:val="false"/>
                <w:sz w:val="20"/>
                <w:szCs w:val="20"/>
              </w:rPr>
              <w:t xml:space="preserve">TCL1A in naive B cells as a therapeutic target for type 1 diabetes. eBioMedicine. 2025. PMID: 39946833</w:t>
            </w:r>
          </w:p>
        </w:tc>
        <w:tc>
          <w:tcPr>
            <w:tcW w:type="dxa" w:w="4000"/>
          </w:tcPr>
          <w:p>
            <w:r>
              <w:rPr>
                <w:b w:val="false"/>
                <w:bCs w:val="false"/>
                <w:sz w:val="20"/>
                <w:szCs w:val="20"/>
              </w:rPr>
              <w:t xml:space="preserve">Supports TCL1A as a naive/transitional B-cell-specific marker used in the naive-b-cell panel.</w:t>
            </w:r>
          </w:p>
        </w:tc>
      </w:tr>
      <w:tr>
        <w:tc>
          <w:tcPr>
            <w:tcW w:type="dxa" w:w="6000"/>
          </w:tcPr>
          <w:p>
            <w:r>
              <w:rPr>
                <w:b w:val="false"/>
                <w:bCs w:val="false"/>
                <w:sz w:val="20"/>
                <w:szCs w:val="20"/>
              </w:rPr>
              <w:t xml:space="preserve">Fang Y et al. Effect of Mast Cell Chymase on Activation, Proliferation and Transdifferentiation of Hepatic Stellate Cells. PMID: 26902046</w:t>
            </w:r>
          </w:p>
        </w:tc>
        <w:tc>
          <w:tcPr>
            <w:tcW w:type="dxa" w:w="4000"/>
          </w:tcPr>
          <w:p>
            <w:r>
              <w:rPr>
                <w:b w:val="false"/>
                <w:bCs w:val="false"/>
                <w:sz w:val="20"/>
                <w:szCs w:val="20"/>
              </w:rPr>
              <w:t xml:space="preserve">Mechanistic basis for the fibrogenic-mast-cell state (CMA1/chymase driving TGFB1-mediated hepatic stellate cell activation).</w:t>
            </w:r>
          </w:p>
        </w:tc>
      </w:tr>
      <w:tr>
        <w:tc>
          <w:tcPr>
            <w:tcW w:type="dxa" w:w="6000"/>
          </w:tcPr>
          <w:p>
            <w:r>
              <w:rPr>
                <w:b w:val="false"/>
                <w:bCs w:val="false"/>
                <w:sz w:val="20"/>
                <w:szCs w:val="20"/>
              </w:rPr>
              <w:t xml:space="preserve">Stromal mast cells and nerve fibers in various chronic liver diseases: relevance to hepatic fibrosis. PMID: 10406261</w:t>
            </w:r>
          </w:p>
        </w:tc>
        <w:tc>
          <w:tcPr>
            <w:tcW w:type="dxa" w:w="4000"/>
          </w:tcPr>
          <w:p>
            <w:r>
              <w:rPr>
                <w:b w:val="false"/>
                <w:bCs w:val="false"/>
                <w:sz w:val="20"/>
                <w:szCs w:val="20"/>
              </w:rPr>
              <w:t xml:space="preserve">Supports tryptase/chymase mast-cell density correlating with hepatic fibrosis stage.</w:t>
            </w:r>
          </w:p>
        </w:tc>
      </w:tr>
      <w:tr>
        <w:tc>
          <w:tcPr>
            <w:tcW w:type="dxa" w:w="6000"/>
          </w:tcPr>
          <w:p>
            <w:r>
              <w:rPr>
                <w:b w:val="false"/>
                <w:bCs w:val="false"/>
                <w:sz w:val="20"/>
                <w:szCs w:val="20"/>
              </w:rPr>
              <w:t xml:space="preserve">Mast Cell Desensitization in Allergen Immunotherapy. Front Allergy. 2022. PMC9278139; and IgE-dependent desensitization transcriptional program, bioRxiv 2026 preprint (2026.02.28.708745)</w:t>
            </w:r>
          </w:p>
        </w:tc>
        <w:tc>
          <w:tcPr>
            <w:tcW w:type="dxa" w:w="4000"/>
          </w:tcPr>
          <w:p>
            <w:r>
              <w:rPr>
                <w:b w:val="false"/>
                <w:bCs w:val="false"/>
                <w:sz w:val="20"/>
                <w:szCs w:val="20"/>
              </w:rPr>
              <w:t xml:space="preserve">Basis for flagging the mast-cell-exhausted state as having only thin, largely non-canonical/preprint-level evidence.</w:t>
            </w:r>
          </w:p>
        </w:tc>
      </w:tr>
      <w:tr>
        <w:tc>
          <w:tcPr>
            <w:tcW w:type="dxa" w:w="6000"/>
          </w:tcPr>
          <w:p>
            <w:r>
              <w:rPr>
                <w:b w:val="false"/>
                <w:bCs w:val="false"/>
                <w:sz w:val="20"/>
                <w:szCs w:val="20"/>
              </w:rPr>
              <w:t xml:space="preserve">Ramachandran P, Dobie R, Wilson-Kanamori JR, et al. Resolving the fibrotic niche of human liver cirrhosis at single-cell level. Nature, 2019 (PMID 31597160)</w:t>
            </w:r>
          </w:p>
        </w:tc>
        <w:tc>
          <w:tcPr>
            <w:tcW w:type="dxa" w:w="4000"/>
          </w:tcPr>
          <w:p>
            <w:r>
              <w:rPr>
                <w:b w:val="false"/>
                <w:bCs w:val="false"/>
                <w:sz w:val="20"/>
                <w:szCs w:val="20"/>
              </w:rPr>
              <w:t xml:space="preserve">Defines the TREM2+CD9+ scar-associated macrophage (SAM/LAM) population and its GPNMB/SPP1/FABP5/CD63 signature; used for lipid-associated-macrophage panel.</w:t>
            </w:r>
          </w:p>
        </w:tc>
      </w:tr>
      <w:tr>
        <w:tc>
          <w:tcPr>
            <w:tcW w:type="dxa" w:w="6000"/>
          </w:tcPr>
          <w:p>
            <w:r>
              <w:rPr>
                <w:b w:val="false"/>
                <w:bCs w:val="false"/>
                <w:sz w:val="20"/>
                <w:szCs w:val="20"/>
              </w:rPr>
              <w:t xml:space="preserve">Ramachandran P, Pellicoro A, Vernon MA, et al. Differential Ly-6C expression identifies the recruited macrophage phenotype, which orchestrates the regression of murine liver fibrosis. PNAS, 2012 (PMID 23100531)</w:t>
            </w:r>
          </w:p>
        </w:tc>
        <w:tc>
          <w:tcPr>
            <w:tcW w:type="dxa" w:w="4000"/>
          </w:tcPr>
          <w:p>
            <w:r>
              <w:rPr>
                <w:b w:val="false"/>
                <w:bCs w:val="false"/>
                <w:sz w:val="20"/>
                <w:szCs w:val="20"/>
              </w:rPr>
              <w:t xml:space="preserve">Defines Ly6C(lo) restorative macrophages and their MMP9/MMP12/MMP13/IGF1/GPNMB signature; used for restorative-macrophage panel.</w:t>
            </w:r>
          </w:p>
        </w:tc>
      </w:tr>
      <w:tr>
        <w:tc>
          <w:tcPr>
            <w:tcW w:type="dxa" w:w="6000"/>
          </w:tcPr>
          <w:p>
            <w:r>
              <w:rPr>
                <w:b w:val="false"/>
                <w:bCs w:val="false"/>
                <w:sz w:val="20"/>
                <w:szCs w:val="20"/>
              </w:rPr>
              <w:t xml:space="preserve">MacParland SA, Liu JC, Ma XZ, et al. Single cell RNA sequencing of human liver reveals distinct intrahepatic macrophage populations. Nat Commun, 2018 (PMID 30348985)</w:t>
            </w:r>
          </w:p>
        </w:tc>
        <w:tc>
          <w:tcPr>
            <w:tcW w:type="dxa" w:w="4000"/>
          </w:tcPr>
          <w:p>
            <w:r>
              <w:rPr>
                <w:b w:val="false"/>
                <w:bCs w:val="false"/>
                <w:sz w:val="20"/>
                <w:szCs w:val="20"/>
              </w:rPr>
              <w:t xml:space="preserve">Human liver scRNA-seq atlas distinguishing Kupffer cells (MARCO, CD5L, VSIG4, TIMD4) from monocyte-derived macrophages; used for kupffer-cell and inflammatory-monocyte-macrophage panels.</w:t>
            </w:r>
          </w:p>
        </w:tc>
      </w:tr>
      <w:tr>
        <w:tc>
          <w:tcPr>
            <w:tcW w:type="dxa" w:w="6000"/>
          </w:tcPr>
          <w:p>
            <w:r>
              <w:rPr>
                <w:b w:val="false"/>
                <w:bCs w:val="false"/>
                <w:sz w:val="20"/>
                <w:szCs w:val="20"/>
              </w:rPr>
              <w:t xml:space="preserve">Guilliams M, Bonnardel J, Haest B, et al. Spatial proteogenomics reveals distinct and evolutionarily conserved hepatic macrophage niches. Cell, 2022</w:t>
            </w:r>
          </w:p>
        </w:tc>
        <w:tc>
          <w:tcPr>
            <w:tcW w:type="dxa" w:w="4000"/>
          </w:tcPr>
          <w:p>
            <w:r>
              <w:rPr>
                <w:b w:val="false"/>
                <w:bCs w:val="false"/>
                <w:sz w:val="20"/>
                <w:szCs w:val="20"/>
              </w:rPr>
              <w:t xml:space="preserve">Cross-species Kupffer-cell identity/niche program including FOLR2, CLEC4F, SPIC, ID3; used for kupffer-cell panel.</w:t>
            </w:r>
          </w:p>
        </w:tc>
      </w:tr>
      <w:tr>
        <w:tc>
          <w:tcPr>
            <w:tcW w:type="dxa" w:w="6000"/>
          </w:tcPr>
          <w:p>
            <w:r>
              <w:rPr>
                <w:b w:val="false"/>
                <w:bCs w:val="false"/>
                <w:sz w:val="20"/>
                <w:szCs w:val="20"/>
              </w:rPr>
              <w:t xml:space="preserve">Virus-associated inflammation imprints an inflammatory profile on monocyte-derived macrophages in the human liver. J Clin Invest, 2024/2025</w:t>
            </w:r>
          </w:p>
        </w:tc>
        <w:tc>
          <w:tcPr>
            <w:tcW w:type="dxa" w:w="4000"/>
          </w:tcPr>
          <w:p>
            <w:r>
              <w:rPr>
                <w:b w:val="false"/>
                <w:bCs w:val="false"/>
                <w:sz w:val="20"/>
                <w:szCs w:val="20"/>
              </w:rPr>
              <w:t xml:space="preserve">Defines CD14/S100A8/S100A9/VCAN/FCN1 signature distinguishing infiltrating inflammatory macrophages from resident Kupffer cells; used for inflammatory-monocyte-macrophage panel.</w:t>
            </w:r>
          </w:p>
        </w:tc>
      </w:tr>
      <w:tr>
        <w:tc>
          <w:tcPr>
            <w:tcW w:type="dxa" w:w="6000"/>
          </w:tcPr>
          <w:p>
            <w:r>
              <w:rPr>
                <w:b w:val="false"/>
                <w:bCs w:val="false"/>
                <w:sz w:val="20"/>
                <w:szCs w:val="20"/>
              </w:rPr>
              <w:t xml:space="preserve">Björkström NK, Ljunggren HG, Sandberg JK. CD56 negative NK cells: origin, function, and role in chronic viral disease. Trends Immunol / related J Exp Med studies, 2010</w:t>
            </w:r>
          </w:p>
        </w:tc>
        <w:tc>
          <w:tcPr>
            <w:tcW w:type="dxa" w:w="4000"/>
          </w:tcPr>
          <w:p>
            <w:r>
              <w:rPr>
                <w:b w:val="false"/>
                <w:bCs w:val="false"/>
                <w:sz w:val="20"/>
                <w:szCs w:val="20"/>
              </w:rPr>
              <w:t xml:space="preserve">Establishes CD56dim/CD16+ (FCGR3A+) conventional NK phenotype and CX3CR1 expression as circulating NK hallmark; used for circulating-nk-cell panel.</w:t>
            </w:r>
          </w:p>
        </w:tc>
      </w:tr>
      <w:tr>
        <w:tc>
          <w:tcPr>
            <w:tcW w:type="dxa" w:w="6000"/>
          </w:tcPr>
          <w:p>
            <w:r>
              <w:rPr>
                <w:b w:val="false"/>
                <w:bCs w:val="false"/>
                <w:sz w:val="20"/>
                <w:szCs w:val="20"/>
              </w:rPr>
              <w:t xml:space="preserve">Marquardt N, Beziat V, Nystrom S, et al. Human liver-resident CD56bright/CD16neg NK cells are retained via CCR5 and CXCR6. J Hepatol / Hepatology, 2015 (PMC4718768)</w:t>
            </w:r>
          </w:p>
        </w:tc>
        <w:tc>
          <w:tcPr>
            <w:tcW w:type="dxa" w:w="4000"/>
          </w:tcPr>
          <w:p>
            <w:r>
              <w:rPr>
                <w:b w:val="false"/>
                <w:bCs w:val="false"/>
                <w:sz w:val="20"/>
                <w:szCs w:val="20"/>
              </w:rPr>
              <w:t xml:space="preserve">Defines liver-resident NK retention markers and contrasts with circulating CD56dim NK lacking CXCR6/CD69; used for both NK states.</w:t>
            </w:r>
          </w:p>
        </w:tc>
      </w:tr>
      <w:tr>
        <w:tc>
          <w:tcPr>
            <w:tcW w:type="dxa" w:w="6000"/>
          </w:tcPr>
          <w:p>
            <w:r>
              <w:rPr>
                <w:b w:val="false"/>
                <w:bCs w:val="false"/>
                <w:sz w:val="20"/>
                <w:szCs w:val="20"/>
              </w:rPr>
              <w:t xml:space="preserve">Stegmann KA, Robertson F, Hansi N, et al. CXCR6 marks a novel subset of T-bet(lo)Eomes(hi) natural killer cells residing in human liver. Sci Rep, 2016 (PMC4876507)</w:t>
            </w:r>
          </w:p>
        </w:tc>
        <w:tc>
          <w:tcPr>
            <w:tcW w:type="dxa" w:w="4000"/>
          </w:tcPr>
          <w:p>
            <w:r>
              <w:rPr>
                <w:b w:val="false"/>
                <w:bCs w:val="false"/>
                <w:sz w:val="20"/>
                <w:szCs w:val="20"/>
              </w:rPr>
              <w:t xml:space="preserve">Defines CXCR6+ liver-resident NK transcription factor and residency profile; used for liver-resident-nk-cell panel.</w:t>
            </w:r>
          </w:p>
        </w:tc>
      </w:tr>
      <w:tr>
        <w:tc>
          <w:tcPr>
            <w:tcW w:type="dxa" w:w="6000"/>
          </w:tcPr>
          <w:p>
            <w:r>
              <w:rPr>
                <w:b w:val="false"/>
                <w:bCs w:val="false"/>
                <w:sz w:val="20"/>
                <w:szCs w:val="20"/>
              </w:rPr>
              <w:t xml:space="preserve">Hudspeth K, Donadon M, Cimino M, et al. Human liver-resident CD56bright NK cells express Hobit (ZNF683). Sci Rep, 2017</w:t>
            </w:r>
          </w:p>
        </w:tc>
        <w:tc>
          <w:tcPr>
            <w:tcW w:type="dxa" w:w="4000"/>
          </w:tcPr>
          <w:p>
            <w:r>
              <w:rPr>
                <w:b w:val="false"/>
                <w:bCs w:val="false"/>
                <w:sz w:val="20"/>
                <w:szCs w:val="20"/>
              </w:rPr>
              <w:t xml:space="preserve">Confirms ZNF683/Hobit, CD69, CD49a (ITGA1) as liver-resident NK tissue-residency program; used for liver-resident-nk-cell panel.</w:t>
            </w:r>
          </w:p>
        </w:tc>
      </w:tr>
      <w:tr>
        <w:tc>
          <w:tcPr>
            <w:tcW w:type="dxa" w:w="6000"/>
          </w:tcPr>
          <w:p>
            <w:r>
              <w:rPr>
                <w:b w:val="false"/>
                <w:bCs w:val="false"/>
                <w:sz w:val="20"/>
                <w:szCs w:val="20"/>
              </w:rPr>
              <w:t xml:space="preserve">Single-cell RNA sequencing identifies a population of human liver-type ILC1s. Cell Reports, 2022</w:t>
            </w:r>
          </w:p>
        </w:tc>
        <w:tc>
          <w:tcPr>
            <w:tcW w:type="dxa" w:w="4000"/>
          </w:tcPr>
          <w:p>
            <w:r>
              <w:rPr>
                <w:b w:val="false"/>
                <w:bCs w:val="false"/>
                <w:sz w:val="20"/>
                <w:szCs w:val="20"/>
              </w:rPr>
              <w:t xml:space="preserve">scRNA-seq defined liver-type ILC1 markers CXCR6, ITGA1, IL7R, AHR, LTB, CD160, KLRB1; used for liver-resident-nk-cell panel.</w:t>
            </w:r>
          </w:p>
        </w:tc>
      </w:tr>
      <w:tr>
        <w:tc>
          <w:tcPr>
            <w:tcW w:type="dxa" w:w="6000"/>
          </w:tcPr>
          <w:p>
            <w:r>
              <w:rPr>
                <w:b w:val="false"/>
                <w:bCs w:val="false"/>
                <w:sz w:val="20"/>
                <w:szCs w:val="20"/>
              </w:rPr>
              <w:t xml:space="preserve">Zhang C, Wang XM, Li SR, et al. NKG2A is a NK cell exhaustion checkpoint for HCV persistence. Nat Commun, 2019 (PMID 30944315)</w:t>
            </w:r>
          </w:p>
        </w:tc>
        <w:tc>
          <w:tcPr>
            <w:tcW w:type="dxa" w:w="4000"/>
          </w:tcPr>
          <w:p>
            <w:r>
              <w:rPr>
                <w:b w:val="false"/>
                <w:bCs w:val="false"/>
                <w:sz w:val="20"/>
                <w:szCs w:val="20"/>
              </w:rPr>
              <w:t xml:space="preserve">Establishes KLRC1 (NKG2A) as an NK exhaustion checkpoint in chronic HCV; used for exhausted-nk-cell panel.</w:t>
            </w:r>
          </w:p>
        </w:tc>
      </w:tr>
      <w:tr>
        <w:tc>
          <w:tcPr>
            <w:tcW w:type="dxa" w:w="6000"/>
          </w:tcPr>
          <w:p>
            <w:r>
              <w:rPr>
                <w:b w:val="false"/>
                <w:bCs w:val="false"/>
                <w:sz w:val="20"/>
                <w:szCs w:val="20"/>
              </w:rPr>
              <w:t xml:space="preserve">Sun H, Huang Q, Huang M, et al. Human CD96 correlates to natural killer cell exhaustion and predicts the prognosis of human hepatocellular carcinoma. Hepatology, 2019</w:t>
            </w:r>
          </w:p>
        </w:tc>
        <w:tc>
          <w:tcPr>
            <w:tcW w:type="dxa" w:w="4000"/>
          </w:tcPr>
          <w:p>
            <w:r>
              <w:rPr>
                <w:b w:val="false"/>
                <w:bCs w:val="false"/>
                <w:sz w:val="20"/>
                <w:szCs w:val="20"/>
              </w:rPr>
              <w:t xml:space="preserve">Defines CD96 as an NK exhaustion marker with prognostic value in HCC; used for exhausted-nk-cell panel.</w:t>
            </w:r>
          </w:p>
        </w:tc>
      </w:tr>
      <w:tr>
        <w:tc>
          <w:tcPr>
            <w:tcW w:type="dxa" w:w="6000"/>
          </w:tcPr>
          <w:p>
            <w:r>
              <w:rPr>
                <w:b w:val="false"/>
                <w:bCs w:val="false"/>
                <w:sz w:val="20"/>
                <w:szCs w:val="20"/>
              </w:rPr>
              <w:t xml:space="preserve">TIGIT+TIM-3+ NK cells are correlated with NK cell exhaustion and disease progression in HBV-related hepatocellular carcinoma. Oncoimmunology, 2021</w:t>
            </w:r>
          </w:p>
        </w:tc>
        <w:tc>
          <w:tcPr>
            <w:tcW w:type="dxa" w:w="4000"/>
          </w:tcPr>
          <w:p>
            <w:r>
              <w:rPr>
                <w:b w:val="false"/>
                <w:bCs w:val="false"/>
                <w:sz w:val="20"/>
                <w:szCs w:val="20"/>
              </w:rPr>
              <w:t xml:space="preserve">Co-expression of TIGIT (TIGIT) and TIM-3 (HAVCR2) defines exhausted NK phenotype in HBV-HCC; used for exhausted-nk-cell panel.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2026-07-28T01:10:57.518Z</dcterms:created>
  <dcterms:modified xsi:type="dcterms:W3CDTF">2026-07-28T01:10:57.518Z</dcterms:modified>
</cp:coreProperties>
</file>

<file path=docProps/custom.xml><?xml version="1.0" encoding="utf-8"?>
<Properties xmlns="http://schemas.openxmlformats.org/officeDocument/2006/custom-properties" xmlns:vt="http://schemas.openxmlformats.org/officeDocument/2006/docPropsVTypes"/>
</file>