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0"/>
        <w:jc w:val="center"/>
      </w:pPr>
      <w:r>
        <w:rPr>
          <w:b/>
          <w:bCs/>
          <w:color w:val="1F3864"/>
          <w:sz w:val="38"/>
          <w:szCs w:val="38"/>
        </w:rPr>
        <w:t xml:space="preserve">ML 개발 시행착오 전 과정</w:t>
      </w:r>
    </w:p>
    <w:p>
      <w:pPr>
        <w:spacing w:after="80"/>
        <w:jc w:val="center"/>
      </w:pPr>
      <w:r>
        <w:rPr>
          <w:color w:val="2E74B5"/>
          <w:sz w:val="24"/>
          <w:szCs w:val="24"/>
        </w:rPr>
        <w:t xml:space="preserve">왜 "로짓 1차 선형"에 도달했는가</w:t>
      </w:r>
    </w:p>
    <w:p>
      <w:pPr>
        <w:spacing w:after="480"/>
        <w:jc w:val="center"/>
      </w:pPr>
      <w:r>
        <w:rPr>
          <w:i/>
          <w:iCs/>
          <w:color w:val="595959"/>
          <w:sz w:val="19"/>
          <w:szCs w:val="19"/>
        </w:rPr>
        <w:t xml:space="preserve">쿠멘 공정 반응기 ML 대리모델</w:t>
      </w:r>
    </w:p>
    <w:p>
      <w:pPr>
        <w:jc w:val="center"/>
      </w:pPr>
      <w:r>
        <w:rPr>
          <w:color w:val="595959"/>
          <w:sz w:val="19"/>
          <w:szCs w:val="19"/>
        </w:rPr>
        <w:t xml:space="preserve">작성: 김지훈  ·  2026-07-24</w:t>
      </w:r>
    </w:p>
    <w:p>
      <w:pPr>
        <w:spacing w:before="400"/>
        <w:jc w:val="center"/>
      </w:pPr>
      <w:r>
        <w:rPr>
          <w:i/>
          <w:iCs/>
          <w:color w:val="2E74B5"/>
          <w:sz w:val="20"/>
          <w:szCs w:val="20"/>
        </w:rPr>
        <w:t xml:space="preserve">이 문서의 목적은 성공의 기록이 아니라 실패의 기록이다.</w:t>
      </w:r>
    </w:p>
    <w:p>
      <w:pPr>
        <w:jc w:val="center"/>
      </w:pPr>
      <w:r>
        <w:rPr>
          <w:i/>
          <w:iCs/>
          <w:color w:val="595959"/>
          <w:sz w:val="19"/>
          <w:szCs w:val="19"/>
        </w:rPr>
        <w:t xml:space="preserve">최종 결과에 이르기까지 시도했다 폐기·정정한 모든 방향을 남긴다.</w:t>
      </w:r>
    </w:p>
    <w:p>
      <w:r>
        <w:br w:type="page"/>
      </w:r>
    </w:p>
    <w:p>
      <w:pPr>
        <w:pStyle w:val="Heading1"/>
        <w:spacing w:after="100" w:before="220"/>
      </w:pPr>
      <w:r>
        <w:rPr>
          <w:b/>
          <w:bCs/>
          <w:color w:val="1F3864"/>
        </w:rPr>
        <w:t xml:space="preserve">1. 개요</w:t>
      </w:r>
    </w:p>
    <w:p>
      <w:pPr>
        <w:spacing w:after="100" w:line="274"/>
        <w:jc w:val="both"/>
      </w:pPr>
      <w:r>
        <w:rPr>
          <w:color w:val="000000"/>
          <w:sz w:val="20"/>
          <w:szCs w:val="20"/>
        </w:rPr>
        <w:t xml:space="preserve">쿠멘 공정의 반응기 R-1100은 단열·촉매 충전 반응기이나 반응속도식이 미지(Unknown)이다(Appendix B Table 5). 정상 상태에서 출구 밀도(AT-1100)로 전환율을 알 수 있지만, 현재 플랜트에서 밀도계는 측정 불가하다(Appendix A). 따라서 측정 가능한 입력만으로 프로펜 전환율(0~1)을 예측하는 ML 대리모델을 만드는 것이 과제다.</w:t>
      </w:r>
    </w:p>
    <w:p>
      <w:pPr>
        <w:spacing w:after="100" w:line="274"/>
        <w:jc w:val="both"/>
      </w:pPr>
      <w:r>
        <w:rPr>
          <w:b/>
          <w:bCs/>
          <w:color w:val="000000"/>
          <w:sz w:val="20"/>
          <w:szCs w:val="20"/>
        </w:rPr>
        <w:t xml:space="preserve">최종 선택 조합: </w:t>
      </w:r>
      <w:r>
        <w:rPr>
          <w:color w:val="000000"/>
          <w:sz w:val="20"/>
          <w:szCs w:val="20"/>
        </w:rPr>
        <w:t xml:space="preserve">입력 3종(반응기 입구온도 TT-1006, 프로펜 유량 FT-1004, 벤젠/프로펜 질량비 FRC-1004) · 재순환 불순물(큐멘) 0 mol% 가정 · 표본 가중치 없음 · 로짓 변환 후 1차 선형 회귀. 검증셋 쿠멘 생산량 오차 3.19%.</w:t>
      </w:r>
    </w:p>
    <w:p>
      <w:pPr>
        <w:spacing w:after="100" w:line="274"/>
        <w:jc w:val="both"/>
      </w:pPr>
      <w:r>
        <w:rPr>
          <w:color w:val="000000"/>
          <w:sz w:val="20"/>
          <w:szCs w:val="20"/>
        </w:rPr>
        <w:t xml:space="preserve">성능이 전 대안 중 최고이면서, 역변환(시그모이드)이 출력을 구조적으로 [0,1]에 가둬 물리 상한 위반을 원천 차단한다.</w:t>
      </w:r>
    </w:p>
    <w:p>
      <w:pPr>
        <w:pStyle w:val="Heading1"/>
        <w:spacing w:after="100" w:before="220"/>
      </w:pPr>
      <w:r>
        <w:rPr>
          <w:b/>
          <w:bCs/>
          <w:color w:val="1F3864"/>
        </w:rPr>
        <w:t xml:space="preserve">2. 라벨 생성 — SRK 상태방정식</w:t>
      </w:r>
    </w:p>
    <w:p>
      <w:pPr>
        <w:spacing w:after="100" w:line="274"/>
        <w:jc w:val="both"/>
      </w:pPr>
      <w:r>
        <w:rPr>
          <w:color w:val="000000"/>
          <w:sz w:val="20"/>
          <w:szCs w:val="20"/>
        </w:rPr>
        <w:t xml:space="preserve">라벨(전환율)은 반응기 출구 밀도(AT-1100)를 </w:t>
      </w:r>
      <w:r>
        <w:rPr>
          <w:b/>
          <w:bCs/>
          <w:color w:val="000000"/>
          <w:sz w:val="20"/>
          <w:szCs w:val="20"/>
        </w:rPr>
        <w:t xml:space="preserve">SRK(Soave-Redlich-Kwong) 상태방정식</w:t>
      </w:r>
      <w:r>
        <w:rPr>
          <w:color w:val="000000"/>
          <w:sz w:val="20"/>
          <w:szCs w:val="20"/>
        </w:rPr>
        <w:t xml:space="preserve">으로 역산해 만들었다. 단일 반응이므로 출구 조성의 자유도는 전환율 X 하나이며, 'X를 가정 → 출구 조성 → SRK로 밀도 계산'을 수행하고 그 밀도가 실측 AT-1100과 일치하는 X를 이분법(Brent)으로 찾는다.</w:t>
      </w:r>
    </w:p>
    <w:p>
      <w:pPr>
        <w:spacing w:after="100" w:line="274"/>
        <w:jc w:val="both"/>
      </w:pPr>
      <w:r>
        <w:rPr>
          <w:color w:val="000000"/>
          <w:sz w:val="20"/>
          <w:szCs w:val="20"/>
        </w:rPr>
        <w:t xml:space="preserve">SRK를 쓴 이유는 두 가지다. (1) 대회가 지정한 열역학 모델이 SRK VLE이므로(Appendix B Table 1) 라벨이 AVEVA 시뮬레이터와 정합된다. (2) SRK는 실제 기체의 압축인자(Z)를 반영해 고압 기상 밀도를 정확히 재현한다. 결과적으로 </w:t>
      </w:r>
      <w:r>
        <w:rPr>
          <w:b/>
          <w:bCs/>
          <w:color w:val="000000"/>
          <w:sz w:val="20"/>
          <w:szCs w:val="20"/>
        </w:rPr>
        <w:t xml:space="preserve">bracket 실패(전환율을 0부터 1까지 아무리 바꿔도 계산 밀도가 실측 밀도에 도달하지 못해, 해를 감싸는 구간을 못 잡는 것)가 0건</w:t>
      </w:r>
      <w:r>
        <w:rPr>
          <w:color w:val="000000"/>
          <w:sz w:val="20"/>
          <w:szCs w:val="20"/>
        </w:rPr>
        <w:t xml:space="preserve">이었고, AVEVA X[PROPENE]와 오차 0.0004%로 일치했다.</w:t>
      </w:r>
    </w:p>
    <w:p>
      <w:pPr>
        <w:pStyle w:val="Heading2"/>
        <w:spacing w:after="100" w:before="220"/>
      </w:pPr>
      <w:r>
        <w:rPr>
          <w:b/>
          <w:bCs/>
          <w:color w:val="2E74B5"/>
        </w:rPr>
        <w:t xml:space="preserve">2.1 성분 구성·재순환 판단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b/>
          <w:bCs/>
          <w:color w:val="000000"/>
          <w:sz w:val="20"/>
          <w:szCs w:val="20"/>
        </w:rPr>
        <w:t xml:space="preserve">프로판 4성분 포함: </w:t>
      </w:r>
      <w:r>
        <w:rPr>
          <w:color w:val="000000"/>
          <w:sz w:val="20"/>
          <w:szCs w:val="20"/>
        </w:rPr>
        <w:t xml:space="preserve">프로판은 불활성이나 총몰수·밀도에 기여. 무시하면 약 −4.84% 편향 → 벤젠·프로펜·프로판·큐멘 4성분 유지.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b/>
          <w:bCs/>
          <w:color w:val="000000"/>
          <w:sz w:val="20"/>
          <w:szCs w:val="20"/>
        </w:rPr>
        <w:t xml:space="preserve">재순환 r0/r1 두 벌: </w:t>
      </w:r>
      <w:r>
        <w:rPr>
          <w:color w:val="000000"/>
          <w:sz w:val="20"/>
          <w:szCs w:val="20"/>
        </w:rPr>
        <w:t xml:space="preserve">재순환 큐멘 조성을 모르므로 0 mol%(r0)와 1 mol%(r1) 두 라벨을 생성해 비교. 평균 차이 0.0097(작음).</w:t>
      </w:r>
    </w:p>
    <w:p>
      <w:pPr>
        <w:pStyle w:val="Heading2"/>
        <w:spacing w:after="100" w:before="220"/>
      </w:pPr>
      <w:r>
        <w:rPr>
          <w:b/>
          <w:bCs/>
          <w:color w:val="2E74B5"/>
        </w:rPr>
        <w:t xml:space="preserve">2.2 독립 검증 3종 (순환논증 회피)</w:t>
      </w:r>
    </w:p>
    <w:p>
      <w:pPr>
        <w:spacing w:after="100" w:line="274"/>
        <w:jc w:val="both"/>
      </w:pPr>
      <w:r>
        <w:rPr>
          <w:color w:val="000000"/>
          <w:sz w:val="20"/>
          <w:szCs w:val="20"/>
        </w:rPr>
        <w:t xml:space="preserve">밀도로 만든 라벨을, 라벨 생성에 전혀 쓰지 않은 독립 센서로 교차 검증했다.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00"/>
        <w:gridCol w:w="1900"/>
      </w:tblGrid>
      <w:tr>
        <w:tc>
          <w:tcPr>
            <w:tcW w:type="dxa" w:w="24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1"/>
                <w:bCs w:val="1"/>
                <w:color w:val="FFFFFF"/>
                <w:sz w:val="16"/>
                <w:szCs w:val="16"/>
              </w:rPr>
              <w:t xml:space="preserve">검증</w:t>
            </w:r>
          </w:p>
        </w:tc>
        <w:tc>
          <w:tcPr>
            <w:tcW w:type="dxa" w:w="29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1"/>
                <w:bCs w:val="1"/>
                <w:color w:val="FFFFFF"/>
                <w:sz w:val="16"/>
                <w:szCs w:val="16"/>
              </w:rPr>
              <w:t xml:space="preserve">독립 센서 / 방법</w:t>
            </w:r>
          </w:p>
        </w:tc>
        <w:tc>
          <w:tcPr>
            <w:tcW w:type="dxa" w:w="19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1"/>
                <w:bCs w:val="1"/>
                <w:color w:val="FFFFFF"/>
                <w:sz w:val="16"/>
                <w:szCs w:val="16"/>
              </w:rPr>
              <w:t xml:space="preserve">결과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단열 에너지수지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TT-1006, TT-1100 (온도차)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color w:val="000000"/>
                <w:sz w:val="16"/>
                <w:szCs w:val="16"/>
              </w:rPr>
              <w:t xml:space="preserve">+0.9956</w:t>
            </w:r>
          </w:p>
        </w:tc>
      </w:tr>
      <w:tr>
        <w:tc>
          <w:tcPr>
            <w:tcW w:type="dxa" w:w="24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쿠멘 물질수지</w:t>
            </w:r>
          </w:p>
        </w:tc>
        <w:tc>
          <w:tcPr>
            <w:tcW w:type="dxa" w:w="29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FT-1201 (제품 유량)</w:t>
            </w:r>
          </w:p>
        </w:tc>
        <w:tc>
          <w:tcPr>
            <w:tcW w:type="dxa" w:w="19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color w:val="000000"/>
                <w:sz w:val="16"/>
                <w:szCs w:val="16"/>
              </w:rPr>
              <w:t xml:space="preserve">전체 −0.001%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노이즈 바닥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입력 고정 구간(10/14)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color w:val="000000"/>
                <w:sz w:val="16"/>
                <w:szCs w:val="16"/>
              </w:rPr>
              <w:t xml:space="preserve">σ 0.003068</w:t>
            </w:r>
          </w:p>
        </w:tc>
      </w:tr>
    </w:tbl>
    <w:p>
      <w:pPr>
        <w:pStyle w:val="Heading1"/>
        <w:spacing w:after="100" w:before="220"/>
      </w:pPr>
      <w:r>
        <w:rPr>
          <w:b/>
          <w:bCs/>
          <w:color w:val="1F3864"/>
        </w:rPr>
        <w:t xml:space="preserve">3. 변수 선택의 시행착오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b/>
          <w:bCs/>
          <w:color w:val="000000"/>
          <w:sz w:val="20"/>
          <w:szCs w:val="20"/>
        </w:rPr>
        <w:t xml:space="preserve">단순 상관 기각: </w:t>
      </w:r>
      <w:r>
        <w:rPr>
          <w:color w:val="000000"/>
          <w:sz w:val="20"/>
          <w:szCs w:val="20"/>
        </w:rPr>
        <w:t xml:space="preserve">라벨 X는 밀도를 SRK로 역산한 값이라, 밀도 정의에 들어가는 변수(출구 T·P)와 정의상 높은 상관을 갖는다. 이는 인과가 아닌 허위 상관이며 상관 순 선택은 누수를 자초한다.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b/>
          <w:bCs/>
          <w:color w:val="000000"/>
          <w:sz w:val="20"/>
          <w:szCs w:val="20"/>
        </w:rPr>
        <w:t xml:space="preserve">인과 기반 선택: </w:t>
      </w:r>
      <w:r>
        <w:rPr>
          <w:color w:val="000000"/>
          <w:sz w:val="20"/>
          <w:szCs w:val="20"/>
        </w:rPr>
        <w:t xml:space="preserve">전환율을 결정하는 원인만 사용 — 입구온도·프로펜유량·질량비. 모두 반응기 입구에서 출력보다 앞서 정해진다.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b/>
          <w:bCs/>
          <w:color w:val="000000"/>
          <w:sz w:val="20"/>
          <w:szCs w:val="20"/>
        </w:rPr>
        <w:t xml:space="preserve">압력의 딜레마: </w:t>
      </w:r>
      <w:r>
        <w:rPr>
          <w:color w:val="000000"/>
          <w:sz w:val="20"/>
          <w:szCs w:val="20"/>
        </w:rPr>
        <w:t xml:space="preserve">물리적으로 필요하나 유량과 공선(상관 0.9988)이라 정보 중복. 넣어도 개선이 미미(RMSE 약 0.0008).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b/>
          <w:bCs/>
          <w:color w:val="000000"/>
          <w:sz w:val="20"/>
          <w:szCs w:val="20"/>
        </w:rPr>
        <w:t xml:space="preserve">누수 점검: </w:t>
      </w:r>
      <w:r>
        <w:rPr>
          <w:color w:val="000000"/>
          <w:sz w:val="20"/>
          <w:szCs w:val="20"/>
        </w:rPr>
        <w:t xml:space="preserve">라벨에 쓰인 PT-1100과 안 쓰인 PT-1004의 성능이 사실상 동일 → 누수가 아니라 압력 정보 일반의 기여로 확인.</w:t>
      </w:r>
    </w:p>
    <w:p>
      <w:pPr>
        <w:spacing w:after="100" w:line="274"/>
        <w:jc w:val="both"/>
      </w:pPr>
      <w:r>
        <w:rPr>
          <w:b/>
          <w:bCs/>
          <w:color w:val="000000"/>
          <w:sz w:val="20"/>
          <w:szCs w:val="20"/>
        </w:rPr>
        <w:t xml:space="preserve">최종: </w:t>
      </w:r>
      <w:r>
        <w:rPr>
          <w:color w:val="000000"/>
          <w:sz w:val="20"/>
          <w:szCs w:val="20"/>
        </w:rPr>
        <w:t xml:space="preserve">압력의 기여가 공선성으로 무효화되고 누수 소지를 원천 회피하므로, 압력 없는 입력 3종을 확정했다.</w:t>
      </w:r>
    </w:p>
    <w:p>
      <w:pPr>
        <w:pStyle w:val="Heading1"/>
        <w:spacing w:after="100" w:before="220"/>
      </w:pPr>
      <w:r>
        <w:rPr>
          <w:b/>
          <w:bCs/>
          <w:color w:val="1F3864"/>
        </w:rPr>
        <w:t xml:space="preserve">4. 모델 탐색의 시행착오 (핵심)</w:t>
      </w:r>
    </w:p>
    <w:p>
      <w:pPr>
        <w:spacing w:after="100" w:line="274"/>
        <w:jc w:val="both"/>
      </w:pPr>
      <w:r>
        <w:rPr>
          <w:color w:val="000000"/>
          <w:sz w:val="20"/>
          <w:szCs w:val="20"/>
        </w:rPr>
        <w:t xml:space="preserve">선형 × GBR × 입력조합 × 라벨 × 가중치 = 24조합을 기본 </w:t>
      </w:r>
      <w:r>
        <w:rPr>
          <w:i/>
          <w:iCs/>
          <w:color w:val="000000"/>
          <w:sz w:val="20"/>
          <w:szCs w:val="20"/>
        </w:rPr>
        <w:t xml:space="preserve">하이퍼파라미터(학습으로 정해지지 않아 사람이 미리 정해야 하는 설정값)</w:t>
      </w:r>
      <w:r>
        <w:rPr>
          <w:color w:val="000000"/>
          <w:sz w:val="20"/>
          <w:szCs w:val="20"/>
        </w:rPr>
        <w:t xml:space="preserve">로 비교했다. 기본 설정에서 선형이 GBR을 약 2.6배 앞섰다.</w:t>
      </w:r>
    </w:p>
    <w:p>
      <w:pPr>
        <w:pStyle w:val="Heading2"/>
        <w:spacing w:after="100" w:before="220"/>
      </w:pPr>
      <w:r>
        <w:rPr>
          <w:b/>
          <w:bCs/>
          <w:color w:val="2E74B5"/>
        </w:rPr>
        <w:t xml:space="preserve">4.1 결정적 발견 — 외삽 문제</w:t>
      </w:r>
    </w:p>
    <w:p>
      <w:pPr>
        <w:spacing w:after="100" w:line="274"/>
        <w:jc w:val="both"/>
      </w:pPr>
      <w:r>
        <w:rPr>
          <w:color w:val="000000"/>
          <w:sz w:val="20"/>
          <w:szCs w:val="20"/>
        </w:rPr>
        <w:t xml:space="preserve">학습셋 입구온도 최댓값은 349.977°C, 350°C 이상 데이터는 0행이다. 그런데 케이스 스터디는 365°C까지 요구한다 — </w:t>
      </w:r>
      <w:r>
        <w:rPr>
          <w:b/>
          <w:bCs/>
          <w:color w:val="000000"/>
          <w:sz w:val="20"/>
          <w:szCs w:val="20"/>
        </w:rPr>
        <w:t xml:space="preserve">15°C 폭이 학습범위 밖 외삽 구간이다.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2500"/>
      </w:tblGrid>
      <w:tr>
        <w:tc>
          <w:tcPr>
            <w:tcW w:type="dxa" w:w="21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1"/>
                <w:bCs w:val="1"/>
                <w:color w:val="FFFFFF"/>
                <w:sz w:val="16"/>
                <w:szCs w:val="16"/>
              </w:rPr>
              <w:t xml:space="preserve">입구온도</w:t>
            </w:r>
          </w:p>
        </w:tc>
        <w:tc>
          <w:tcPr>
            <w:tcW w:type="dxa" w:w="24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1"/>
                <w:bCs w:val="1"/>
                <w:color w:val="FFFFFF"/>
                <w:sz w:val="16"/>
                <w:szCs w:val="16"/>
              </w:rPr>
              <w:t xml:space="preserve">1차 선형</w:t>
            </w:r>
          </w:p>
        </w:tc>
        <w:tc>
          <w:tcPr>
            <w:tcW w:type="dxa" w:w="25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1"/>
                <w:bCs w:val="1"/>
                <w:color w:val="FFFFFF"/>
                <w:sz w:val="16"/>
                <w:szCs w:val="16"/>
              </w:rPr>
              <w:t xml:space="preserve">GBR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color w:val="000000"/>
                <w:sz w:val="16"/>
                <w:szCs w:val="16"/>
              </w:rPr>
              <w:t xml:space="preserve">356°C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color w:val="C00000"/>
                <w:sz w:val="16"/>
                <w:szCs w:val="16"/>
              </w:rPr>
              <w:t xml:space="preserve">1.021 (X&gt;1 위반)</w:t>
            </w:r>
          </w:p>
        </w:tc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color w:val="000000"/>
                <w:sz w:val="16"/>
                <w:szCs w:val="16"/>
              </w:rPr>
              <w:t xml:space="preserve">0.846</w:t>
            </w:r>
          </w:p>
        </w:tc>
      </w:tr>
      <w:tr>
        <w:tc>
          <w:tcPr>
            <w:tcW w:type="dxa" w:w="21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color w:val="000000"/>
                <w:sz w:val="16"/>
                <w:szCs w:val="16"/>
              </w:rPr>
              <w:t xml:space="preserve">365°C</w:t>
            </w:r>
          </w:p>
        </w:tc>
        <w:tc>
          <w:tcPr>
            <w:tcW w:type="dxa" w:w="24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color w:val="C00000"/>
                <w:sz w:val="16"/>
                <w:szCs w:val="16"/>
              </w:rPr>
              <w:t xml:space="preserve">1.274 (불가능)</w:t>
            </w:r>
          </w:p>
        </w:tc>
        <w:tc>
          <w:tcPr>
            <w:tcW w:type="dxa" w:w="25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color w:val="C00000"/>
                <w:sz w:val="16"/>
                <w:szCs w:val="16"/>
              </w:rPr>
              <w:t xml:space="preserve">0.846 (평탄화)</w:t>
            </w:r>
          </w:p>
        </w:tc>
      </w:tr>
    </w:tbl>
    <w:p>
      <w:pPr>
        <w:pStyle w:val="ListParagraph"/>
        <w:numPr>
          <w:ilvl w:val="0"/>
          <w:numId w:val="1"/>
        </w:numPr>
        <w:spacing w:after="50" w:line="268"/>
      </w:pPr>
      <w:r>
        <w:rPr>
          <w:b/>
          <w:bCs/>
          <w:color w:val="000000"/>
          <w:sz w:val="20"/>
          <w:szCs w:val="20"/>
        </w:rPr>
        <w:t xml:space="preserve">트리 계열(GBR·RandomForest 등 6종): </w:t>
      </w:r>
      <w:r>
        <w:rPr>
          <w:color w:val="000000"/>
          <w:sz w:val="20"/>
          <w:szCs w:val="20"/>
        </w:rPr>
        <w:t xml:space="preserve">350°C부터 상수로 평탄화. </w:t>
      </w:r>
      <w:r>
        <w:rPr>
          <w:i/>
          <w:iCs/>
          <w:color w:val="000000"/>
          <w:sz w:val="20"/>
          <w:szCs w:val="20"/>
        </w:rPr>
        <w:t xml:space="preserve">max_depth(결정나무 한 그루의 최대 깊이 — 클수록 복잡한 관계를 잡지만 과적합)</w:t>
      </w:r>
      <w:r>
        <w:rPr>
          <w:color w:val="000000"/>
          <w:sz w:val="20"/>
          <w:szCs w:val="20"/>
        </w:rPr>
        <w:t xml:space="preserve"> 조정으로도 해결 불가한 구조적 한계.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b/>
          <w:bCs/>
          <w:color w:val="000000"/>
          <w:sz w:val="20"/>
          <w:szCs w:val="20"/>
        </w:rPr>
        <w:t xml:space="preserve">1차 무처리 선형: </w:t>
      </w:r>
      <w:r>
        <w:rPr>
          <w:color w:val="000000"/>
          <w:sz w:val="20"/>
          <w:szCs w:val="20"/>
        </w:rPr>
        <w:t xml:space="preserve">356°C부터 X&gt;1 물리 위반.</w:t>
      </w:r>
    </w:p>
    <w:p>
      <w:pPr>
        <w:pBdr>
          <w:left w:val="single" w:color="2E74B5" w:sz="18" w:space="12"/>
        </w:pBdr>
        <w:spacing w:after="60" w:before="60"/>
        <w:ind w:left="220"/>
      </w:pPr>
      <w:r>
        <w:rPr>
          <w:i/>
          <w:iCs/>
          <w:color w:val="404040"/>
          <w:sz w:val="19"/>
          <w:szCs w:val="19"/>
        </w:rPr>
        <w:t xml:space="preserve">핵심 통찰: 케이스 스터디가 학습범위 밖 예측을 요구하는 이상, 외삽 거동은 정확도만큼 중요한 선택 기준이다.</w:t>
      </w:r>
    </w:p>
    <w:p>
      <w:pPr>
        <w:pStyle w:val="Heading2"/>
        <w:spacing w:after="100" w:before="220"/>
      </w:pPr>
      <w:r>
        <w:rPr>
          <w:b/>
          <w:bCs/>
          <w:color w:val="2E74B5"/>
        </w:rPr>
        <w:t xml:space="preserve">4.2 총 17개 기법 비교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2000"/>
        <w:gridCol w:w="1600"/>
      </w:tblGrid>
      <w:tr>
        <w:tc>
          <w:tcPr>
            <w:tcW w:type="dxa" w:w="25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1"/>
                <w:bCs w:val="1"/>
                <w:color w:val="FFFFFF"/>
                <w:sz w:val="16"/>
                <w:szCs w:val="16"/>
              </w:rPr>
              <w:t xml:space="preserve">기법</w:t>
            </w:r>
          </w:p>
        </w:tc>
        <w:tc>
          <w:tcPr>
            <w:tcW w:type="dxa" w:w="14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1"/>
                <w:bCs w:val="1"/>
                <w:color w:val="FFFFFF"/>
                <w:sz w:val="16"/>
                <w:szCs w:val="16"/>
              </w:rPr>
              <w:t xml:space="preserve">쿠멘%</w:t>
            </w:r>
          </w:p>
        </w:tc>
        <w:tc>
          <w:tcPr>
            <w:tcW w:type="dxa" w:w="20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1"/>
                <w:bCs w:val="1"/>
                <w:color w:val="FFFFFF"/>
                <w:sz w:val="16"/>
                <w:szCs w:val="16"/>
              </w:rPr>
              <w:t xml:space="preserve">외삽 거동</w:t>
            </w:r>
          </w:p>
        </w:tc>
        <w:tc>
          <w:tcPr>
            <w:tcW w:type="dxa" w:w="16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1"/>
                <w:bCs w:val="1"/>
                <w:color w:val="FFFFFF"/>
                <w:sz w:val="16"/>
                <w:szCs w:val="16"/>
              </w:rPr>
              <w:t xml:space="preserve">탈락 사유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1"/>
                <w:bCs w:val="1"/>
                <w:color w:val="2E7D32"/>
                <w:sz w:val="16"/>
                <w:szCs w:val="16"/>
              </w:rPr>
              <w:t xml:space="preserve">로짓 1차 (채택)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1"/>
                <w:bCs w:val="1"/>
                <w:color w:val="000000"/>
                <w:sz w:val="16"/>
                <w:szCs w:val="16"/>
              </w:rPr>
              <w:t xml:space="preserve">3.03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선형·유계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1"/>
                <w:bCs w:val="1"/>
                <w:color w:val="000000"/>
                <w:sz w:val="16"/>
                <w:szCs w:val="16"/>
              </w:rPr>
              <w:t xml:space="preserve">성능 최고</w:t>
            </w:r>
          </w:p>
        </w:tc>
      </w:tr>
      <w:tr>
        <w:tc>
          <w:tcPr>
            <w:tcW w:type="dxa" w:w="25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1차+하드클립</w:t>
            </w:r>
          </w:p>
        </w:tc>
        <w:tc>
          <w:tcPr>
            <w:tcW w:type="dxa" w:w="14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color w:val="000000"/>
                <w:sz w:val="16"/>
                <w:szCs w:val="16"/>
              </w:rPr>
              <w:t xml:space="preserve">4.30</w:t>
            </w:r>
          </w:p>
        </w:tc>
        <w:tc>
          <w:tcPr>
            <w:tcW w:type="dxa" w:w="20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클립(원시 1.27)</w:t>
            </w:r>
          </w:p>
        </w:tc>
        <w:tc>
          <w:tcPr>
            <w:tcW w:type="dxa" w:w="16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위반 은폐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Ridge / Lasso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color w:val="000000"/>
                <w:sz w:val="16"/>
                <w:szCs w:val="16"/>
              </w:rPr>
              <w:t xml:space="preserve">4.2~4.3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클립 의존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정규화 무익</w:t>
            </w:r>
          </w:p>
        </w:tc>
      </w:tr>
      <w:tr>
        <w:tc>
          <w:tcPr>
            <w:tcW w:type="dxa" w:w="25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2차 다항 / 로짓 2차</w:t>
            </w:r>
          </w:p>
        </w:tc>
        <w:tc>
          <w:tcPr>
            <w:tcW w:type="dxa" w:w="14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color w:val="000000"/>
                <w:sz w:val="16"/>
                <w:szCs w:val="16"/>
              </w:rPr>
              <w:t xml:space="preserve">&gt;17</w:t>
            </w:r>
          </w:p>
        </w:tc>
        <w:tc>
          <w:tcPr>
            <w:tcW w:type="dxa" w:w="20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곡률 발산</w:t>
            </w:r>
          </w:p>
        </w:tc>
        <w:tc>
          <w:tcPr>
            <w:tcW w:type="dxa" w:w="16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좁은 구간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GBR/RF/ExtraTrees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color w:val="000000"/>
                <w:sz w:val="16"/>
                <w:szCs w:val="16"/>
              </w:rPr>
              <w:t xml:space="preserve">11~14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평탄화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트리 외삽</w:t>
            </w:r>
          </w:p>
        </w:tc>
      </w:tr>
      <w:tr>
        <w:tc>
          <w:tcPr>
            <w:tcW w:type="dxa" w:w="25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HistGBM / KNN</w:t>
            </w:r>
          </w:p>
        </w:tc>
        <w:tc>
          <w:tcPr>
            <w:tcW w:type="dxa" w:w="14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color w:val="000000"/>
                <w:sz w:val="16"/>
                <w:szCs w:val="16"/>
              </w:rPr>
              <w:t xml:space="preserve">13~21</w:t>
            </w:r>
          </w:p>
        </w:tc>
        <w:tc>
          <w:tcPr>
            <w:tcW w:type="dxa" w:w="20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평탄화</w:t>
            </w:r>
          </w:p>
        </w:tc>
        <w:tc>
          <w:tcPr>
            <w:tcW w:type="dxa" w:w="16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외삽 한계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SVR / GPR / MLP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color w:val="000000"/>
                <w:sz w:val="16"/>
                <w:szCs w:val="16"/>
              </w:rPr>
              <w:t xml:space="preserve">27~93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평균회귀/발산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커널 열세</w:t>
            </w:r>
          </w:p>
        </w:tc>
      </w:tr>
      <w:tr>
        <w:tc>
          <w:tcPr>
            <w:tcW w:type="dxa" w:w="25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입력변환 1/T</w:t>
            </w:r>
          </w:p>
        </w:tc>
        <w:tc>
          <w:tcPr>
            <w:tcW w:type="dxa" w:w="14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color w:val="000000"/>
                <w:sz w:val="16"/>
                <w:szCs w:val="16"/>
              </w:rPr>
              <w:t xml:space="preserve">3.44</w:t>
            </w:r>
          </w:p>
        </w:tc>
        <w:tc>
          <w:tcPr>
            <w:tcW w:type="dxa" w:w="20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유계</w:t>
            </w:r>
          </w:p>
        </w:tc>
        <w:tc>
          <w:tcPr>
            <w:tcW w:type="dxa" w:w="16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공선 무효</w:t>
            </w:r>
          </w:p>
        </w:tc>
      </w:tr>
    </w:tbl>
    <w:p>
      <w:pPr>
        <w:pStyle w:val="Heading1"/>
        <w:spacing w:after="100" w:before="220"/>
      </w:pPr>
      <w:r>
        <w:rPr>
          <w:b/>
          <w:bCs/>
          <w:color w:val="1F3864"/>
        </w:rPr>
        <w:t xml:space="preserve">5. 개선 시도와 그 실패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b/>
          <w:bCs/>
          <w:color w:val="000000"/>
          <w:sz w:val="20"/>
          <w:szCs w:val="20"/>
        </w:rPr>
        <w:t xml:space="preserve">2차 다항: </w:t>
      </w:r>
      <w:r>
        <w:rPr>
          <w:color w:val="000000"/>
          <w:sz w:val="20"/>
          <w:szCs w:val="20"/>
        </w:rPr>
        <w:t xml:space="preserve">발산. 학습 온도구간(약 30°C)이 좁아 2차항이 잡음을 학습하고 외삽에서 증폭.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b/>
          <w:bCs/>
          <w:color w:val="000000"/>
          <w:sz w:val="20"/>
          <w:szCs w:val="20"/>
        </w:rPr>
        <w:t xml:space="preserve">물리 입력변환(1/T, 1/유량): </w:t>
      </w:r>
      <w:r>
        <w:rPr>
          <w:color w:val="000000"/>
          <w:sz w:val="20"/>
          <w:szCs w:val="20"/>
        </w:rPr>
        <w:t xml:space="preserve">전부 악화(3.19→3.44%). 좁은 온도범위 탓 T와 1/T 상관 −0.9999로 공선 → Arrhenius 곡률이 안 드러남.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b/>
          <w:bCs/>
          <w:color w:val="000000"/>
          <w:sz w:val="20"/>
          <w:szCs w:val="20"/>
        </w:rPr>
        <w:t xml:space="preserve">SVR/GPR 공정 재평가: </w:t>
      </w:r>
      <w:r>
        <w:rPr>
          <w:color w:val="000000"/>
          <w:sz w:val="20"/>
          <w:szCs w:val="20"/>
        </w:rPr>
        <w:t xml:space="preserve">스케일링·설정 조정 후에도 26~93%. 커널 모델이 학습 밖에서 평균으로 회귀하는 구조적 성질.</w:t>
      </w:r>
    </w:p>
    <w:p>
      <w:pPr>
        <w:spacing w:after="100" w:line="274"/>
        <w:jc w:val="both"/>
      </w:pPr>
      <w:r>
        <w:rPr>
          <w:b/>
          <w:bCs/>
          <w:color w:val="000000"/>
          <w:sz w:val="20"/>
          <w:szCs w:val="20"/>
        </w:rPr>
        <w:t xml:space="preserve">결론: </w:t>
      </w:r>
      <w:r>
        <w:rPr>
          <w:color w:val="000000"/>
          <w:sz w:val="20"/>
          <w:szCs w:val="20"/>
        </w:rPr>
        <w:t xml:space="preserve">모델 구조로는 로짓 1차가 실질 최선이며, 남은 개선은 전체 재학습(데이터 범위 확대)뿐이다.</w:t>
      </w:r>
    </w:p>
    <w:p>
      <w:pPr>
        <w:pStyle w:val="Heading1"/>
        <w:spacing w:after="100" w:before="220"/>
      </w:pPr>
      <w:r>
        <w:rPr>
          <w:b/>
          <w:bCs/>
          <w:color w:val="1F3864"/>
        </w:rPr>
        <w:t xml:space="preserve">6. 채택 모델(로짓 1차)의 한계</w:t>
      </w:r>
    </w:p>
    <w:p>
      <w:pPr>
        <w:spacing w:after="100" w:line="274"/>
        <w:jc w:val="both"/>
      </w:pPr>
      <w:r>
        <w:rPr>
          <w:color w:val="000000"/>
          <w:sz w:val="20"/>
          <w:szCs w:val="20"/>
        </w:rPr>
        <w:t xml:space="preserve">로짓 1차가 전 대안 중 최고 성능이지만, 완벽하지 않다. 정직하게 세 가지 한계를 기록한다.</w:t>
      </w:r>
    </w:p>
    <w:p>
      <w:pPr>
        <w:spacing w:after="100" w:line="274"/>
        <w:jc w:val="both"/>
      </w:pPr>
      <w:r>
        <w:rPr>
          <w:b/>
          <w:bCs/>
          <w:color w:val="000000"/>
          <w:sz w:val="20"/>
          <w:szCs w:val="20"/>
        </w:rPr>
        <w:t xml:space="preserve">(1) 잔여 비선형 — 양 끝을 완벽히 못 따라감. </w:t>
      </w:r>
      <w:r>
        <w:rPr>
          <w:color w:val="000000"/>
          <w:sz w:val="20"/>
          <w:szCs w:val="20"/>
        </w:rPr>
        <w:t xml:space="preserve">실제 전환율-온도 관계는 S자 곡선인데, 로짓 변환이 그 곡선을 상당히 폈어도 양 끝의 급한 휘어짐까지 완벽히는 못 따라간다. 아래 그림처럼 저전환에서는 과대예측(+2.1%), 고전환에서는 과소예측(−3.0%)하며, 오차의 부호가 뒤집힌다. 최대 오차는 355~360°C 고온·고전환 구간에서 발생한다.</w:t>
      </w:r>
    </w:p>
    <w:p>
      <w:pPr>
        <w:spacing w:after="60" w:before="100"/>
        <w:jc w:val="center"/>
      </w:pPr>
      <w:r>
        <w:drawing>
          <wp:inline distT="0" distB="0" distL="0" distR="0">
            <wp:extent cx="571500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74"/>
        <w:jc w:val="center"/>
      </w:pPr>
      <w:r>
        <w:rPr>
          <w:i/>
          <w:iCs/>
          <w:color w:val="595959"/>
          <w:sz w:val="17"/>
          <w:szCs w:val="17"/>
        </w:rPr>
        <w:t xml:space="preserve">그림. (좌) 예측 vs 실제 — 대각선이 완벽. 저전환은 위로(과대), 고전환은 아래로(과소) 벗어난다. (우) 오차가 저전환 +에서 고전환 −로 부호 반전(빨간 선). 로짓이 S자 양 끝을 다 못 잡는다는 증거.</w:t>
      </w:r>
    </w:p>
    <w:p>
      <w:pPr>
        <w:spacing w:after="100" w:line="274"/>
        <w:jc w:val="both"/>
      </w:pPr>
      <w:r>
        <w:rPr>
          <w:b/>
          <w:bCs/>
          <w:color w:val="000000"/>
          <w:sz w:val="20"/>
          <w:szCs w:val="20"/>
        </w:rPr>
        <w:t xml:space="preserve">(2) 고전환 구간 데이터 희소. </w:t>
      </w:r>
      <w:r>
        <w:rPr>
          <w:color w:val="000000"/>
          <w:sz w:val="20"/>
          <w:szCs w:val="20"/>
        </w:rPr>
        <w:t xml:space="preserve">검증셋에서 전환율 0.95 이상인 데이터가 9개뿐이라, 케이스 스터디 고온(365°C) 구간의 예측 신뢰도가 특히 낮다.</w:t>
      </w:r>
    </w:p>
    <w:p>
      <w:pPr>
        <w:spacing w:after="100" w:line="274"/>
        <w:jc w:val="both"/>
      </w:pPr>
      <w:r>
        <w:rPr>
          <w:b/>
          <w:bCs/>
          <w:color w:val="000000"/>
          <w:sz w:val="20"/>
          <w:szCs w:val="20"/>
        </w:rPr>
        <w:t xml:space="preserve">(3) 외삽의 정량 정확도는 검증 불가. </w:t>
      </w:r>
      <w:r>
        <w:rPr>
          <w:color w:val="000000"/>
          <w:sz w:val="20"/>
          <w:szCs w:val="20"/>
        </w:rPr>
        <w:t xml:space="preserve">365°C는 학습범위 밖이다. 로짓은 물리 상한(365°C에서 0.968 &lt; 1)은 지키지만, 그 0.968이라는 값이 정량적으로 정확한지는 확인할 데이터가 없다. '물리적으로 타당함'과 '정량적으로 정확함'은 다르며, 이 구간은 후자를 보장하지 못한다.</w:t>
      </w:r>
    </w:p>
    <w:p>
      <w:pPr>
        <w:spacing w:after="100" w:line="274"/>
        <w:jc w:val="both"/>
      </w:pPr>
      <w:r>
        <w:rPr>
          <w:b/>
          <w:bCs/>
          <w:color w:val="000000"/>
          <w:sz w:val="20"/>
          <w:szCs w:val="20"/>
        </w:rPr>
        <w:t xml:space="preserve">한계의 근원은 공통이다: </w:t>
      </w:r>
      <w:r>
        <w:rPr>
          <w:color w:val="000000"/>
          <w:sz w:val="20"/>
          <w:szCs w:val="20"/>
        </w:rPr>
        <w:t xml:space="preserve">반응속도는 본래 Arrhenius형(온도 지수의존) 비선형인데, 운전범위가 좁아(330~360°C) 국소 선형근사가 잘 맞은 것이다. 이 세 한계는 모델 구조가 아니라 데이터 범위와 밀도의 문제이며, 근본 해결에는 고온·고전환 운전 데이터의 추가 확보가 필요하다.</w:t>
      </w:r>
    </w:p>
    <w:p>
      <w:pPr>
        <w:pStyle w:val="Heading1"/>
        <w:spacing w:after="100" w:before="220"/>
      </w:pPr>
      <w:r>
        <w:rPr>
          <w:b/>
          <w:bCs/>
          <w:color w:val="1F3864"/>
        </w:rPr>
        <w:t xml:space="preserve">7. 시뮬레이션 통합의 시행착오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b/>
          <w:bCs/>
          <w:color w:val="000000"/>
          <w:sz w:val="20"/>
          <w:szCs w:val="20"/>
        </w:rPr>
        <w:t xml:space="preserve">시도 1 — X[PROPENE]에 방정식 직접: </w:t>
      </w:r>
      <w:r>
        <w:rPr>
          <w:color w:val="000000"/>
          <w:sz w:val="20"/>
          <w:szCs w:val="20"/>
        </w:rPr>
        <w:t xml:space="preserve">"equation has error". X[PROPENE]는 솔버의 결과 변수라 방정식 좌변에 못 놓는다.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b/>
          <w:bCs/>
          <w:color w:val="000000"/>
          <w:sz w:val="20"/>
          <w:szCs w:val="20"/>
        </w:rPr>
        <w:t xml:space="preserve">시도 2 — Xrxn[1] 상수식: </w:t>
      </w:r>
      <w:r>
        <w:rPr>
          <w:color w:val="000000"/>
          <w:sz w:val="20"/>
          <w:szCs w:val="20"/>
        </w:rPr>
        <w:t xml:space="preserve">역시 실패.</w:t>
      </w:r>
    </w:p>
    <w:p>
      <w:pPr>
        <w:spacing w:after="100" w:line="274"/>
        <w:jc w:val="both"/>
      </w:pPr>
      <w:r>
        <w:rPr>
          <w:b/>
          <w:bCs/>
          <w:color w:val="000000"/>
          <w:sz w:val="20"/>
          <w:szCs w:val="20"/>
        </w:rPr>
        <w:t xml:space="preserve">해결 — 스트림 몰유량으로 반응량 지정: </w:t>
      </w:r>
      <w:r>
        <w:rPr>
          <w:color w:val="000000"/>
          <w:sz w:val="20"/>
          <w:szCs w:val="20"/>
        </w:rPr>
        <w:t xml:space="preserve">전환율을 직접 대입하는 대신 '반응한 프로펜 몰유량'을 정합한다. X[PROPENE] spec을 해제한 뒤:</w:t>
      </w:r>
    </w:p>
    <w:p>
      <w:pPr>
        <w:shd w:fill="F4F4F4" w:val="clear"/>
        <w:spacing w:after="50" w:before="5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"R-1100_in".Fc[PROPENE] − "R-1100_out".Fc[PROPENE]</w:t>
      </w:r>
    </w:p>
    <w:p>
      <w:pPr>
        <w:shd w:fill="F4F4F4" w:val="clear"/>
        <w:spacing w:after="50" w:before="5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= ONNX.y[1] * "FCV-1004_out".Fc[PROPENE]</w:t>
      </w:r>
    </w:p>
    <w:p>
      <w:pPr>
        <w:spacing w:after="100" w:line="274"/>
        <w:jc w:val="both"/>
      </w:pPr>
      <w:r>
        <w:rPr>
          <w:color w:val="000000"/>
          <w:sz w:val="20"/>
          <w:szCs w:val="20"/>
        </w:rPr>
        <w:t xml:space="preserve">좌·우변 모두 '반응한 프로펜 몰유량'으로, ONNX 전환율(신선 프로펜 기준)과 AVEVA 전환율(입구=신선+재순환 기준)의 기준 차이를 반응량 수준에서 일치시킨다. </w:t>
      </w:r>
      <w:r>
        <w:rPr>
          <w:b/>
          <w:bCs/>
          <w:color w:val="2E7D32"/>
          <w:sz w:val="20"/>
          <w:szCs w:val="20"/>
        </w:rPr>
        <w:t xml:space="preserve">성분 몰유량(Fc)을 직접 쓰므로 단위 변환 상수가 불필요하며, 이것이 결과 변수 X[PROPENE]에 쓰려던 실패를 해결한 핵심이다.</w:t>
      </w:r>
    </w:p>
    <w:p>
      <w:pPr>
        <w:pBdr>
          <w:left w:val="single" w:color="2E74B5" w:sz="18" w:space="12"/>
        </w:pBdr>
        <w:spacing w:after="60" w:before="60"/>
        <w:ind w:left="220"/>
      </w:pPr>
      <w:r>
        <w:rPr>
          <w:i/>
          <w:iCs/>
          <w:color w:val="404040"/>
          <w:sz w:val="19"/>
          <w:szCs w:val="19"/>
        </w:rPr>
        <w:t xml:space="preserve">정정한 판단: 초기에 'ONNX 출력을 X[PROPENE]에 대입하면 순환참조가 생긴다'고 우려했으나, AVEVA가 방정식 기반 동시 솔버라 진척도 방정식 하나로 처리 가능함을 확인해 해소했다.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b/>
          <w:bCs/>
          <w:color w:val="000000"/>
          <w:sz w:val="20"/>
          <w:szCs w:val="20"/>
        </w:rPr>
        <w:t xml:space="preserve">ONNX export(방법 A): </w:t>
      </w:r>
      <w:r>
        <w:rPr>
          <w:color w:val="000000"/>
          <w:sz w:val="20"/>
          <w:szCs w:val="20"/>
        </w:rPr>
        <w:t xml:space="preserve">시그모이드를 ONNX 그래프에 내장해 곧바로 전환율(0~1) 출력. Python 예측과 ONNX 출력이 최대 3.5e-07 차이로 일치. r0/r1 두 파일 export 완료.</w:t>
      </w:r>
    </w:p>
    <w:p>
      <w:pPr>
        <w:pStyle w:val="Heading1"/>
        <w:spacing w:after="100" w:before="220"/>
      </w:pPr>
      <w:r>
        <w:rPr>
          <w:b/>
          <w:bCs/>
          <w:color w:val="1F3864"/>
        </w:rPr>
        <w:t xml:space="preserve">8. 정정한 판단 목록 (정직성 기록)</w:t>
      </w:r>
    </w:p>
    <w:p>
      <w:pPr>
        <w:spacing w:after="100" w:line="274"/>
        <w:jc w:val="both"/>
      </w:pPr>
      <w:r>
        <w:rPr>
          <w:color w:val="000000"/>
          <w:sz w:val="20"/>
          <w:szCs w:val="20"/>
        </w:rPr>
        <w:t xml:space="preserve">처음 판단을 세운 뒤 데이터로 확인해 뒤집은 것들이다. 이 목록 자체가 '결론을 데이터에 종속시켰다'는 증거다.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700"/>
      </w:tblGrid>
      <w:tr>
        <w:tc>
          <w:tcPr>
            <w:tcW w:type="dxa" w:w="33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1"/>
                <w:bCs w:val="1"/>
                <w:color w:val="FFFFFF"/>
                <w:sz w:val="16"/>
                <w:szCs w:val="16"/>
              </w:rPr>
              <w:t xml:space="preserve">처음 판단 (가설)</w:t>
            </w:r>
          </w:p>
        </w:tc>
        <w:tc>
          <w:tcPr>
            <w:tcW w:type="dxa" w:w="37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1"/>
                <w:bCs w:val="1"/>
                <w:color w:val="FFFFFF"/>
                <w:sz w:val="16"/>
                <w:szCs w:val="16"/>
              </w:rPr>
              <w:t xml:space="preserve">데이터 확인 후 정정</w:t>
            </w:r>
          </w:p>
        </w:tc>
      </w:tr>
      <w:tr>
        <w:tc>
          <w:tcPr>
            <w:tcW w:type="dxa" w:w="3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1/T Arrhenius 변환이 유망할 것</w:t>
            </w:r>
          </w:p>
        </w:tc>
        <w:tc>
          <w:tcPr>
            <w:tcW w:type="dxa" w:w="3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악화(3.19→3.44%). T·1/T 공선으로 무효</w:t>
            </w:r>
          </w:p>
        </w:tc>
      </w:tr>
      <w:tr>
        <w:tc>
          <w:tcPr>
            <w:tcW w:type="dxa" w:w="33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2차 다항이 곡률을 잡아 나을 것</w:t>
            </w:r>
          </w:p>
        </w:tc>
        <w:tc>
          <w:tcPr>
            <w:tcW w:type="dxa" w:w="37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발산(17.5%). 좁은 학습구간 탓</w:t>
            </w:r>
          </w:p>
        </w:tc>
      </w:tr>
      <w:tr>
        <w:tc>
          <w:tcPr>
            <w:tcW w:type="dxa" w:w="3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노이즈 바닥이 성능 하한 근거</w:t>
            </w:r>
          </w:p>
        </w:tc>
        <w:tc>
          <w:tcPr>
            <w:tcW w:type="dxa" w:w="3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진단용 지표로 격하. 성능은 쿠멘 오차로</w:t>
            </w:r>
          </w:p>
        </w:tc>
      </w:tr>
      <w:tr>
        <w:tc>
          <w:tcPr>
            <w:tcW w:type="dxa" w:w="33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ONNX→X[PROPENE] 대입은 순환참조</w:t>
            </w:r>
          </w:p>
        </w:tc>
        <w:tc>
          <w:tcPr>
            <w:tcW w:type="dxa" w:w="37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처리 가능. 동시 솔버+진척도 방정식</w:t>
            </w:r>
          </w:p>
        </w:tc>
      </w:tr>
      <w:tr>
        <w:tc>
          <w:tcPr>
            <w:tcW w:type="dxa" w:w="3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상관 높은 변수를 입력으로</w:t>
            </w:r>
          </w:p>
        </w:tc>
        <w:tc>
          <w:tcPr>
            <w:tcW w:type="dxa" w:w="3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기각. 허위 상관 → 인과 기반 선택</w:t>
            </w:r>
          </w:p>
        </w:tc>
      </w:tr>
      <w:tr>
        <w:tc>
          <w:tcPr>
            <w:tcW w:type="dxa" w:w="33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GBR은 튜닝하면 나아질 것</w:t>
            </w:r>
          </w:p>
        </w:tc>
        <w:tc>
          <w:tcPr>
            <w:tcW w:type="dxa" w:w="37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격자탐색 제외. 외삽 평탄화는 구조적</w:t>
            </w:r>
          </w:p>
        </w:tc>
      </w:tr>
      <w:tr>
        <w:tc>
          <w:tcPr>
            <w:tcW w:type="dxa" w:w="3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압력을 넣으면 성능이 오를 것</w:t>
            </w:r>
          </w:p>
        </w:tc>
        <w:tc>
          <w:tcPr>
            <w:tcW w:type="dxa" w:w="3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color w:val="000000"/>
                <w:sz w:val="16"/>
                <w:szCs w:val="16"/>
              </w:rPr>
              <w:t xml:space="preserve">소폭에 그침. 유량과 공선(0.9988)</w:t>
            </w:r>
          </w:p>
        </w:tc>
      </w:tr>
    </w:tbl>
    <w:p>
      <w:pPr>
        <w:spacing w:before="200"/>
        <w:jc w:val="center"/>
      </w:pPr>
      <w:r>
        <w:rPr>
          <w:b/>
          <w:bCs/>
          <w:i/>
          <w:iCs/>
          <w:color w:val="1F3864"/>
          <w:sz w:val="19"/>
          <w:szCs w:val="19"/>
        </w:rPr>
        <w:t xml:space="preserve">최종 채택 근거: 성능 최고 + 물리 [0,1] 구조적 보장 + 17기법이 열세임을 데이터로 실증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6affc02fa92155da760b39f034ed4242b2f8b2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2026-07-24T06:58:27.919Z</dcterms:created>
  <dcterms:modified xsi:type="dcterms:W3CDTF">2026-07-24T06:58:27.919Z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