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Gray-Box Modeling 논문 가이드 대조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진행상황 점검표 + 미완료 갭 목록</w:t>
      </w:r>
    </w:p>
    <w:p>
      <w:pPr>
        <w:spacing w:after="22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2026-07-31 · 대상: 논문_대회_비교_가이드.md §0-1 · 근거: 2026-07-21_ML개발 저장소 실제 파일</w:t>
      </w:r>
    </w:p>
    <w:p>
      <w:pPr>
        <w:pBdr>
          <w:bottom w:val="single" w:color="BFBFBF" w:sz="6"/>
        </w:pBdr>
        <w:spacing w:after="180" w:before="6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요약.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가이드가 요구하는 항목 중 </w:t>
      </w:r>
      <w:r>
        <w:rPr>
          <w:rFonts w:ascii="맑은 고딕" w:cs="맑은 고딕" w:eastAsia="맑은 고딕" w:hAnsi="맑은 고딕"/>
          <w:b/>
          <w:bCs/>
          <w:color w:val="1E7B34"/>
          <w:sz w:val="20"/>
          <w:szCs w:val="20"/>
        </w:rPr>
        <w:t xml:space="preserve">5개는 이미 완료</w:t>
      </w:r>
      <w:r>
        <w:rPr>
          <w:rFonts w:ascii="맑은 고딕" w:cs="맑은 고딕" w:eastAsia="맑은 고딕" w:hAnsi="맑은 고딕"/>
          <w:sz w:val="20"/>
          <w:szCs w:val="20"/>
        </w:rPr>
        <w:t xml:space="preserve">되어 있고 일부는 논문보다 깊다. </w:t>
      </w:r>
      <w:r>
        <w:rPr>
          <w:rFonts w:ascii="맑은 고딕" w:cs="맑은 고딕" w:eastAsia="맑은 고딕" w:hAnsi="맑은 고딕"/>
          <w:b/>
          <w:bCs/>
          <w:color w:val="B45F06"/>
          <w:sz w:val="20"/>
          <w:szCs w:val="20"/>
        </w:rPr>
        <w:t xml:space="preserve">3개는 부분 완료</w:t>
      </w:r>
      <w:r>
        <w:rPr>
          <w:rFonts w:ascii="맑은 고딕" w:cs="맑은 고딕" w:eastAsia="맑은 고딕" w:hAnsi="맑은 고딕"/>
          <w:sz w:val="20"/>
          <w:szCs w:val="20"/>
        </w:rPr>
        <w:t xml:space="preserve">, </w:t>
      </w:r>
      <w:r>
        <w:rPr>
          <w:rFonts w:ascii="맑은 고딕" w:cs="맑은 고딕" w:eastAsia="맑은 고딕" w:hAnsi="맑은 고딕"/>
          <w:b/>
          <w:bCs/>
          <w:color w:val="B00020"/>
          <w:sz w:val="20"/>
          <w:szCs w:val="20"/>
        </w:rPr>
        <w:t xml:space="preserve">2개는 미시행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이다. 처음부터 다시 해야 할 항목은 없다.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1. 진행상황 점검표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80"/>
        <w:gridCol w:w="2750"/>
        <w:gridCol w:w="407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가이드 섹션</w:t>
            </w:r>
          </w:p>
        </w:tc>
        <w:tc>
          <w:tcPr>
            <w:tcW w:type="dxa" w:w="78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시행</w:t>
            </w:r>
          </w:p>
        </w:tc>
        <w:tc>
          <w:tcPr>
            <w:tcW w:type="dxa" w:w="275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수행 위치</w:t>
            </w:r>
          </w:p>
        </w:tc>
        <w:tc>
          <w:tcPr>
            <w:tcW w:type="dxa" w:w="407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결과 요약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§2 변수 선택 (상관분석)</w:t>
            </w:r>
          </w:p>
        </w:tc>
        <w:tc>
          <w:tcPr>
            <w:tcW w:type="dxa" w:w="7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45F06"/>
                <w:sz w:val="17"/>
                <w:szCs w:val="17"/>
              </w:rPr>
              <w:t xml:space="preserve">부분</w:t>
            </w:r>
          </w:p>
        </w:tc>
        <w:tc>
          <w:tcPr>
            <w:tcW w:type="dxa" w:w="2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docs/질의응답_준비.md §2 · CLAUDE.md · 압력공선성_그림.py · 그림4_압력공선성.png</w:t>
            </w:r>
          </w:p>
        </w:tc>
        <w:tc>
          <w:tcPr>
            <w:tcW w:type="dxa" w:w="40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입력 I1 = TT-1006 / FT-1004 / FRC-1004 확정. 압력 제외 근거 3종 정립(압력 독립 조작 캠페인 부재, 케이스 스터디에서 압력 지정 불가, PT-1100의 역방향 인과). 10/13 corr(PT-1100, FT-1004) = +0.9997. 입력 3종으로 압력 회귀 시 R² = 0.9492(PT-1004) / 0.9487(PT-1100), VIF 19.7 / 19.5. 편상관 +0.1435 / +0.1391. ※ 전체 태그 상관 히트맵은 없음</w:t>
            </w:r>
          </w:p>
        </w:tc>
      </w:tr>
      <w:tr>
        <w:trPr>
          <w:tblHeader w:val="false"/>
        </w:trPr>
        <w:tc>
          <w:tcPr>
            <w:tcW w:type="dxa" w:w="17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§3 Soft-sensing (밀도→조성 역산)</w:t>
            </w:r>
          </w:p>
        </w:tc>
        <w:tc>
          <w:tcPr>
            <w:tcW w:type="dxa" w:w="78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  <w:sz w:val="17"/>
                <w:szCs w:val="17"/>
              </w:rPr>
              <w:t xml:space="preserve">완료</w:t>
            </w:r>
          </w:p>
        </w:tc>
        <w:tc>
          <w:tcPr>
            <w:tcW w:type="dxa" w:w="275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src/srk.py · src/labels.py · data/processed/labels_recycle1.csv</w:t>
            </w:r>
          </w:p>
        </w:tc>
        <w:tc>
          <w:tcPr>
            <w:tcW w:type="dxa" w:w="407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SRK EOS + brentq 이분법으로 AT-1100 출구밀도에서 프로펜 전환율을 역산. 라벨 2종(r0 = 원본, r1 = 재순환 1 mol% 가정), bracket 실패 0건. 논문의 soft-sensing과 동일 절차이며 더 직접적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§4 여러 모델 비교</w:t>
            </w:r>
          </w:p>
        </w:tc>
        <w:tc>
          <w:tcPr>
            <w:tcW w:type="dxa" w:w="7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  <w:sz w:val="17"/>
                <w:szCs w:val="17"/>
              </w:rPr>
              <w:t xml:space="preserve">완료</w:t>
            </w:r>
          </w:p>
        </w:tc>
        <w:tc>
          <w:tcPr>
            <w:tcW w:type="dxa" w:w="2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results/ (JSON 157개) · docs/실험결과_정리.md Phase 6 · 10 · 10-C</w:t>
            </w:r>
          </w:p>
        </w:tc>
        <w:tc>
          <w:tcPr>
            <w:tcW w:type="dxa" w:w="40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17개 기법 × 입력세트 3 × 라벨 2 × 가중 2. 최종 채택 = 로짓변환 1차 선형 · I1 · r0 · 가중없음 → 검증 RMSE 0.022220, R² 0.98077, MAPE 2.4001, 쿠멘 3.1908%. 논문의 핵심 논지(학습 우수 ≠ 검증 우수)가 GBR·트리 계열에서 그대로 재현됨</w:t>
            </w:r>
          </w:p>
        </w:tc>
      </w:tr>
      <w:tr>
        <w:trPr>
          <w:tblHeader w:val="false"/>
        </w:trPr>
        <w:tc>
          <w:tcPr>
            <w:tcW w:type="dxa" w:w="17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§5-1 R² 등 정확도 지표</w:t>
            </w:r>
          </w:p>
        </w:tc>
        <w:tc>
          <w:tcPr>
            <w:tcW w:type="dxa" w:w="78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  <w:sz w:val="17"/>
                <w:szCs w:val="17"/>
              </w:rPr>
              <w:t xml:space="preserve">완료</w:t>
            </w:r>
          </w:p>
        </w:tc>
        <w:tc>
          <w:tcPr>
            <w:tcW w:type="dxa" w:w="275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results/ 각 JSON의 metrics</w:t>
            </w:r>
          </w:p>
        </w:tc>
        <w:tc>
          <w:tcPr>
            <w:tcW w:type="dxa" w:w="407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157개 조합 전부에 RMSE·MAE·MAPE·R² + 쿠멘 생산량 환산오차까지 산출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§5-2 Cross-validation</w:t>
            </w:r>
          </w:p>
        </w:tc>
        <w:tc>
          <w:tcPr>
            <w:tcW w:type="dxa" w:w="7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00020"/>
                <w:sz w:val="17"/>
                <w:szCs w:val="17"/>
              </w:rPr>
              <w:t xml:space="preserve">미시행</w:t>
            </w:r>
          </w:p>
        </w:tc>
        <w:tc>
          <w:tcPr>
            <w:tcW w:type="dxa" w:w="2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40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날짜 기준 단일 홀드아웃(학습 10/13–16 = 1,924행, 검증 10/17–18 = 661행)만 수행. 코드베이스에 cross_val / TimeSeriesSplit 호출 0건</w:t>
            </w:r>
          </w:p>
        </w:tc>
      </w:tr>
      <w:tr>
        <w:trPr>
          <w:tblHeader w:val="false"/>
        </w:trPr>
        <w:tc>
          <w:tcPr>
            <w:tcW w:type="dxa" w:w="17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§5-3 Fisher Information Matrix</w:t>
            </w:r>
          </w:p>
        </w:tc>
        <w:tc>
          <w:tcPr>
            <w:tcW w:type="dxa" w:w="78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00020"/>
                <w:sz w:val="17"/>
                <w:szCs w:val="17"/>
              </w:rPr>
              <w:t xml:space="preserve">미시행</w:t>
            </w:r>
          </w:p>
        </w:tc>
        <w:tc>
          <w:tcPr>
            <w:tcW w:type="dxa" w:w="275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407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저장소 전체 검색 결과 'fisher' 언급 0건. 파라미터 표준오차·신뢰구간·고유값 분석 모두 없음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§5-4 Fisher 대안</w:t>
            </w:r>
          </w:p>
        </w:tc>
        <w:tc>
          <w:tcPr>
            <w:tcW w:type="dxa" w:w="7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45F06"/>
                <w:sz w:val="17"/>
                <w:szCs w:val="17"/>
              </w:rPr>
              <w:t xml:space="preserve">부분</w:t>
            </w:r>
          </w:p>
        </w:tc>
        <w:tc>
          <w:tcPr>
            <w:tcW w:type="dxa" w:w="2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docs/질의응답_준비.md §2-4 · results/ ridge·lasso 계열 · docs/img/residual_diagnostics.png</w:t>
            </w:r>
          </w:p>
        </w:tc>
        <w:tc>
          <w:tcPr>
            <w:tcW w:type="dxa" w:w="40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시행: 정규화(Ridge/Lasso 각 4수준), 60분 블록 부트스트랩 4,000회, 잔차 분석. 미시행: 학습곡선, 특징 중요도</w:t>
            </w:r>
          </w:p>
        </w:tc>
      </w:tr>
      <w:tr>
        <w:trPr>
          <w:tblHeader w:val="false"/>
        </w:trPr>
        <w:tc>
          <w:tcPr>
            <w:tcW w:type="dxa" w:w="17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§6 Convex Hull / 유효범위</w:t>
            </w:r>
          </w:p>
        </w:tc>
        <w:tc>
          <w:tcPr>
            <w:tcW w:type="dxa" w:w="78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45F06"/>
                <w:sz w:val="17"/>
                <w:szCs w:val="17"/>
              </w:rPr>
              <w:t xml:space="preserve">부분</w:t>
            </w:r>
          </w:p>
        </w:tc>
        <w:tc>
          <w:tcPr>
            <w:tcW w:type="dxa" w:w="275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docs/실험결과_정리.md Phase 7-1 · docs/데이터_이해.md §5 · 점구름_3D_회전가능.html</w:t>
            </w:r>
          </w:p>
        </w:tc>
        <w:tc>
          <w:tcPr>
            <w:tcW w:type="dxa" w:w="407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가이드가 말한 '가장 단순한 버전'(변수별 min/max 비교)은 완료. 학습셋 TT-1006 상한 349.977 °C, 350 °C 이상 0행 → 외삽 필요 구간 350–365 °C(15 °C) 확정. 유량·비율은 학습범위 내부 확인. I1 표준화 3변수 점구름(1,924행) 3D 시각화 있음. ConvexHull / Delaunay 판정 함수는 미구현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§7 Case study 실행</w:t>
            </w:r>
          </w:p>
        </w:tc>
        <w:tc>
          <w:tcPr>
            <w:tcW w:type="dxa" w:w="7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45F06"/>
                <w:sz w:val="17"/>
                <w:szCs w:val="17"/>
              </w:rPr>
              <w:t xml:space="preserve">1/3</w:t>
            </w:r>
          </w:p>
        </w:tc>
        <w:tc>
          <w:tcPr>
            <w:tcW w:type="dxa" w:w="2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docs/실험결과_정리.md Phase 7-2</w:t>
            </w:r>
          </w:p>
        </w:tc>
        <w:tc>
          <w:tcPr>
            <w:tcW w:type="dxa" w:w="40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온도 스윕만 완료(330→370 °C, 1 °C 간격 41점). GBR은 350 °C부터 0.84626으로 평탄화, LinReg는 356 °C에서 X &gt; 1 위반, 365 °C 예측차 0.42767. 유량(15,000–18,000 kg/h)·B/P비(4–6) 스윕은 미시행</w:t>
            </w:r>
          </w:p>
        </w:tc>
      </w:tr>
      <w:tr>
        <w:trPr>
          <w:tblHeader w:val="false"/>
        </w:trPr>
        <w:tc>
          <w:tcPr>
            <w:tcW w:type="dxa" w:w="17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시뮬레이션 통합 (ONNX)</w:t>
            </w:r>
          </w:p>
        </w:tc>
        <w:tc>
          <w:tcPr>
            <w:tcW w:type="dxa" w:w="78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7B34"/>
                <w:sz w:val="17"/>
                <w:szCs w:val="17"/>
              </w:rPr>
              <w:t xml:space="preserve">완료</w:t>
            </w:r>
          </w:p>
        </w:tc>
        <w:tc>
          <w:tcPr>
            <w:tcW w:type="dxa" w:w="275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src/export_onnx.py · onnx/reactor_conversion_r0.onnx, _r1.onnx · docs/시뮬레이션_인수인계.md</w:t>
            </w:r>
          </w:p>
        </w:tc>
        <w:tc>
          <w:tcPr>
            <w:tcW w:type="dxa" w:w="407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방법 A 채택(Sigmoid 노드를 ONNX 그래프에 내장). 입력 X[N,3] float32 = [TT-1006 °C, FT-1004 kg/h, FRC-1004], 출력 conversion[N,1]. 실행 확인: 341.57 °C → 0.6202, 350 °C → 0.8394, 365 °C → 0.9764. AVEVA 매핑·검증 시나리오 문서화 완료</w:t>
            </w:r>
          </w:p>
        </w:tc>
      </w:tr>
    </w:tbl>
    <w:p>
      <w:pPr>
        <w:spacing w:after="120" w:before="140"/>
      </w:pPr>
      <w:r>
        <w:rPr>
          <w:rFonts w:ascii="맑은 고딕" w:cs="맑은 고딕" w:eastAsia="맑은 고딕" w:hAnsi="맑은 고딕"/>
          <w:b/>
          <w:bCs/>
          <w:color w:val="B00020"/>
          <w:sz w:val="18"/>
          <w:szCs w:val="18"/>
        </w:rPr>
        <w:t xml:space="preserve">주의 — ONNX 예측값과 위 §4의 성능 지표는 서로 다른 모델이다. </w:t>
      </w:r>
      <w:r>
        <w:rPr>
          <w:rFonts w:ascii="맑은 고딕" w:cs="맑은 고딕" w:eastAsia="맑은 고딕" w:hAnsi="맑은 고딕"/>
          <w:sz w:val="18"/>
          <w:szCs w:val="18"/>
        </w:rPr>
        <w:t xml:space="preserve">ONNX는 Phase 11 규정대로 전체(10/13–18)로 재학습한 배포본이라 365 °C에서 0.9764를 낸다. 반면 held-out 평가본(10/13–16 학습)의 365 °C 예측은 0.9684다. 보고서에 성능을 인용할 때는 반드시 후자를 써야 한다.</w:t>
      </w:r>
    </w:p>
    <w:p>
      <w:pPr>
        <w:pBdr>
          <w:bottom w:val="single" w:color="BFBFBF" w:sz="6"/>
        </w:pBdr>
        <w:spacing w:after="180" w:before="60"/>
      </w:pP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2. 갭 목록 — 우선순위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300"/>
        <w:gridCol w:w="850"/>
        <w:gridCol w:w="950"/>
        <w:gridCol w:w="4650"/>
      </w:tblGrid>
      <w:tr>
        <w:trPr>
          <w:tblHeader/>
        </w:trPr>
        <w:tc>
          <w:tcPr>
            <w:tcW w:type="dxa" w:w="55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3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해야 할 일</w:t>
            </w:r>
          </w:p>
        </w:tc>
        <w:tc>
          <w:tcPr>
            <w:tcW w:type="dxa" w:w="85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난이도</w:t>
            </w:r>
          </w:p>
        </w:tc>
        <w:tc>
          <w:tcPr>
            <w:tcW w:type="dxa" w:w="95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가점</w:t>
            </w:r>
          </w:p>
        </w:tc>
        <w:tc>
          <w:tcPr>
            <w:tcW w:type="dxa" w:w="465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이유 / 착수 방법</w:t>
            </w:r>
          </w:p>
        </w:tc>
      </w:tr>
      <w:tr>
        <w:trPr>
          <w:tblHeader w:val="false"/>
        </w:trPr>
        <w:tc>
          <w:tcPr>
            <w:tcW w:type="dxa" w:w="55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3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케이스 스터디 유량 스윕 · B/P비 스윕</w:t>
            </w:r>
          </w:p>
        </w:tc>
        <w:tc>
          <w:tcPr>
            <w:tcW w:type="dxa" w:w="85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낮음</w:t>
            </w:r>
          </w:p>
        </w:tc>
        <w:tc>
          <w:tcPr>
            <w:tcW w:type="dxa" w:w="95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465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대회 §3.3-6은 세 변수를 모두 요구하는데 현재 온도 하나뿐이라 항목 미달이다. Phase 7-2 온도 스윕 코드를 FT-1004(2,500–3,000 kg/h) 및 FRC-1004(4–6)로 축만 바꿔 재사용하면 된다. 두 변수 모두 학습범위 내부이므로 외삽 논쟁도 없고 결과가 깨끗하게 나온다.</w:t>
            </w:r>
          </w:p>
        </w:tc>
      </w:tr>
      <w:tr>
        <w:trPr>
          <w:tblHeader w:val="false"/>
        </w:trPr>
        <w:tc>
          <w:tcPr>
            <w:tcW w:type="dxa" w:w="55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3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Fisher Information Matrix</w:t>
            </w:r>
          </w:p>
        </w:tc>
        <w:tc>
          <w:tcPr>
            <w:tcW w:type="dxa" w:w="85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낮음</w:t>
            </w:r>
          </w:p>
        </w:tc>
        <w:tc>
          <w:tcPr>
            <w:tcW w:type="dxa" w:w="95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큼</w:t>
            </w:r>
          </w:p>
        </w:tc>
        <w:tc>
          <w:tcPr>
            <w:tcW w:type="dxa" w:w="465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채택 모델이 로짓 공간의 파라미터 4개짜리 선형회귀라, 가이드 Case A가 그대로 적용된다 — 자코비안 J가 곧 설계행렬 X다. FIM = JᵀJ / σ², numpy.linalg.eigh로 고유값, 역행렬 대각의 제곱근으로 각 계수의 표준오차. 논문 수준 신뢰성 분석을 몇 줄로 재현하는, 가장 저렴한 차별화 포인트다.</w:t>
            </w:r>
          </w:p>
        </w:tc>
      </w:tr>
      <w:tr>
        <w:trPr>
          <w:tblHeader w:val="false"/>
        </w:trPr>
        <w:tc>
          <w:tcPr>
            <w:tcW w:type="dxa" w:w="5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시간순 교차검증 (rolling-origin)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중간</w:t>
            </w:r>
          </w:p>
        </w:tc>
        <w:tc>
          <w:tcPr>
            <w:tcW w:type="dxa" w:w="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중간</w:t>
            </w:r>
          </w:p>
        </w:tc>
        <w:tc>
          <w:tcPr>
            <w:tcW w:type="dxa" w:w="46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가이드 §5-2 본문은 K-fold를 권하지만 프로젝트 규칙(ML개발/CLAUDE.md §1-3)은 무작위 분할을 금지한다. 충돌은 아니다 — 가이드도 같은 절 끝에서 시계열이면 TimeSeriesSplit을 쓰라고 적고 있다. 날짜 경계를 옮겨가며 학습/검증을 재구성하는 방식(13–14 → 15 검증, 13–15 → 16 검증 …)이면 규칙을 지키면서 CV 항목을 채울 수 있다.</w:t>
            </w:r>
          </w:p>
        </w:tc>
      </w:tr>
      <w:tr>
        <w:trPr>
          <w:tblHeader w:val="false"/>
        </w:trPr>
        <w:tc>
          <w:tcPr>
            <w:tcW w:type="dxa" w:w="55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3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전체 태그 상관 히트맵</w:t>
            </w:r>
          </w:p>
        </w:tc>
        <w:tc>
          <w:tcPr>
            <w:tcW w:type="dxa" w:w="85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낮음</w:t>
            </w:r>
          </w:p>
        </w:tc>
        <w:tc>
          <w:tcPr>
            <w:tcW w:type="dxa" w:w="95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중간</w:t>
            </w:r>
          </w:p>
        </w:tc>
        <w:tc>
          <w:tcPr>
            <w:tcW w:type="dxa" w:w="465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대회 §3.1 힌트('적절한 부분집합 선택에 가점')에 대응하는 시각 자료가 지금은 압력 관련 그림뿐이다. 벤젠 유량계 4종·프로펜/비율 3종·온도 3종의 중복을 한 장으로 보이면 변수 선정 논리를 방어하기 훨씬 쉬워진다.</w:t>
            </w:r>
          </w:p>
        </w:tc>
      </w:tr>
      <w:tr>
        <w:trPr>
          <w:tblHeader w:val="false"/>
        </w:trPr>
        <w:tc>
          <w:tcPr>
            <w:tcW w:type="dxa" w:w="5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다차원 Convex Hull 판정 함수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중간</w:t>
            </w:r>
          </w:p>
        </w:tc>
        <w:tc>
          <w:tcPr>
            <w:tcW w:type="dxa" w:w="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작음</w:t>
            </w:r>
          </w:p>
        </w:tc>
        <w:tc>
          <w:tcPr>
            <w:tcW w:type="dxa" w:w="46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케이스 스터디가 OFAT(한 번에 한 변수)라면 변수 조합이 hull 밖으로 나갈 일이 거의 없어 이미 있는 min/max 표로 충분하다. 가이드 §6 말미의 판단과도 일치한다. 여유가 있을 때만.</w:t>
            </w:r>
          </w:p>
        </w:tc>
      </w:tr>
      <w:tr>
        <w:trPr>
          <w:tblHeader w:val="false"/>
        </w:trPr>
        <w:tc>
          <w:tcPr>
            <w:tcW w:type="dxa" w:w="55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3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학습곡선 · 특징 중요도</w:t>
            </w:r>
          </w:p>
        </w:tc>
        <w:tc>
          <w:tcPr>
            <w:tcW w:type="dxa" w:w="85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낮음</w:t>
            </w:r>
          </w:p>
        </w:tc>
        <w:tc>
          <w:tcPr>
            <w:tcW w:type="dxa" w:w="95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작음</w:t>
            </w:r>
          </w:p>
        </w:tc>
        <w:tc>
          <w:tcPr>
            <w:tcW w:type="dxa" w:w="465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§5-4 대안 중 남은 두 개. 부트스트랩·정규화·잔차분석을 이미 했으므로 항목 충족에는 불필요하고, 넣어도 새 정보가 거의 없다.</w:t>
            </w:r>
          </w:p>
        </w:tc>
      </w:tr>
    </w:tbl>
    <w:p>
      <w:pPr>
        <w:pBdr>
          <w:bottom w:val="single" w:color="BFBFBF" w:sz="6"/>
        </w:pBdr>
        <w:spacing w:after="180" w:before="60"/>
      </w:pP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3. 가이드를 그대로 따르면 안 되는 지점</w:t>
      </w:r>
    </w:p>
    <w:p>
      <w:pPr>
        <w:spacing w:after="140"/>
      </w:pPr>
      <w:r>
        <w:rPr>
          <w:rFonts w:ascii="맑은 고딕" w:cs="맑은 고딕" w:eastAsia="맑은 고딕" w:hAnsi="맑은 고딕"/>
          <w:sz w:val="19"/>
          <w:szCs w:val="19"/>
        </w:rPr>
        <w:t xml:space="preserve">가이드 서두가 밝히듯 이 문서는 참고 사례이지 정답지가 아니다. 이 프로젝트 데이터에는 다음 세 곳이 맞지 않는다.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§5-2의 무작위 K-fold. </w:t>
      </w:r>
      <w:r>
        <w:rPr>
          <w:rFonts w:ascii="맑은 고딕" w:cs="맑은 고딕" w:eastAsia="맑은 고딕" w:hAnsi="맑은 고딕"/>
          <w:sz w:val="19"/>
          <w:szCs w:val="19"/>
        </w:rPr>
        <w:t xml:space="preserve">데이터가 1분 간격 시계열이고 잔차 자기상관이 1분 지연 0.997이다. 무작위 분할은 사실상 같은 정보를 학습·검증 양쪽에 넣는 누수다. 시간순 분할만 쓴다.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§0 표의 “대회 = 실제 공정 실측”. </w:t>
      </w:r>
      <w:r>
        <w:rPr>
          <w:rFonts w:ascii="맑은 고딕" w:cs="맑은 고딕" w:eastAsia="맑은 고딕" w:hAnsi="맑은 고딕"/>
          <w:sz w:val="19"/>
          <w:szCs w:val="19"/>
        </w:rPr>
        <w:t xml:space="preserve">10/12 캠페인 481행에서 AT-1100·TT-1100·PT-1100의 고유값이 각각 1개, 표준편차 정확히 0이다. 이 데이터셋은 시뮬레이터 출력이며 10/12는 정상상태 해 하나를 반복 기록한 것이다. 보고서에 '실측'이라고 쓰면 과장이다.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§4 표의 랜덤포레스트·MLP 권유. </w:t>
      </w:r>
      <w:r>
        <w:rPr>
          <w:rFonts w:ascii="맑은 고딕" w:cs="맑은 고딕" w:eastAsia="맑은 고딕" w:hAnsi="맑은 고딕"/>
          <w:sz w:val="19"/>
          <w:szCs w:val="19"/>
        </w:rPr>
        <w:t xml:space="preserve">이미 시험했고 전부 탈락했다 — 트리 계열은 350 °C부터 평탄화, MLP는 쿠멘 오차 45.3%, GPR 93.0%. 다시 넣을 이유가 없고, 오히려 '왜 탈락했는지'가 보고서의 논거가 된다.</w:t>
      </w:r>
    </w:p>
    <w:p>
      <w:pPr>
        <w:spacing w:after="120" w:before="16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행 수(3,066행)를 통계적 신뢰도의 근거로 제시하지 말 것 — 독립 표본이 아니다.</w:t>
      </w:r>
    </w:p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2026-07-31T04:03:42.610Z</dcterms:created>
  <dcterms:modified xsi:type="dcterms:W3CDTF">2026-07-31T04:03:42.610Z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