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성장전략 (Scale-up, 규모 확대)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4-1. 제품·서비스의 목표시장 분석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객관적인 시장 데이터(Data)를 바탕으로 도달 가능한 목표 시장을 설정함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시장 규모 및 성장성 (TAM-SAM-SOM):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전체 시장 (TAM):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글로벌 컴퓨터 이용 신약 설계(CADD) 시장은 2026년 약 40억 달러(약 5.2조 원) 규모로 예상되며, 매년 11.2%씩 고성장 중임.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거점 시장 (SAM):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국내 신약 R&amp;D 소프트웨어 시장 및 아시아·태평양 지역 바이오 벤처 시장 약 5,000억 원 규모.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수익 시장 (SOM):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국내 바이오 벤처 1,500개사 및 대학 연구소 중 초기 진입 가능한 100개 고객사를 목표로 하여 연 매출 20억 원 확보를 1차 목표로 함.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고객 페르소나 (Persona, 가상 고객):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(1단계) 연구 중심 고객: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예산이 제한적이나 기술 도입 속도가 빠른 대학 연구실 및 시리즈 A 이하 바이오 벤처. (가격 민감도 높음, 성능 중시)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(2단계) 기업형 고객: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데이터 보안과 대규모 병렬 연산이 필요한 중견·대형 제약사 및 신약 개발 플랫폼 기업. (보안성 및 기술 지원 중시)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4-2. 창업아이템의 개발 사업화 전략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근거 있는 수익 모델(Revenue Model) 설계를 통해 지속 가능한 성장을 도모함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다각화된 수익 구조 (Multi-tier Revenue Stream):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구독형 라이선스 (SaaS):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Basic(연구용): 월 50만 원 (기능 제한)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Pro(기업용): 월 300만 원 (병렬 연산 지원)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전문 컨설팅 서비스: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프로젝트당 평균 2,000만 원 내외의 데이터 분석 및 최적화 리포트 제공 (연간 10건 이상 목표).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성공 보수 (Milestone):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공동 연구를 통한 후보물질 발굴 성공 시, 기술 이전료의 일정 비율(3~5%)을 로열티로 수취.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사업화 추진 체계: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자체 개발 엔진을 활용한 'SW 판매'와 데이터 분석 '서비스'를 결합한 하이브리드 비즈니스 모델(BM) 구축.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4-3. 창업아이템 경쟁력 확보 방안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글로벌 선도 제품과의 비교 우위를 숫자로 증명함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압도적인 가성비 및 효율성: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외국산 A사 대비 라이선스 비용 80% 절감 (연 1.4억 → 연 3,000만 원 수준).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 물리 계산 대비 AI 가속화를 통해 연산 시간 30% 단축 (7일 → 5일 이내).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국내 특화 및 보안 경쟁력: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국내 서버를 활용한 온프레미스(On-premise) 설치로 데이터 국외 유출 우려 원천 차단.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한국인 호발 질병 및 국내 제약사 선호 타겟(Target)에 최적화된 학습 데이터 적용으로 국내 시장 맞춤형 성능 발휘.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4-4. 자금 조달 계획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사업 단계별 필요 자금과 조달 방안을 구체화함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단기 (1년차):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지원사업금(2,000만 원) 및 자기자본을 활용하여 MVP 제작 및 특허 출원 완료.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중기 (2~3년차):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기술보증기금 및 중소벤처기업부 'TIPS' 프로그램 연계를 통해 R&amp;D 자금 5억 원 이상 확보.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투지 유치 계획: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2026년 하반기 시드(Seed) 투자 2억 유치, 2027년 시리즈 A(Series A) 20억 유치 목표 (누적 고객사 20개 돌파 시점).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4-5. 시장진입 및 성과 창출 전략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실패 없는 시장 안착을 위한 단계별 이행안(Roadmap) 실행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1단계: 부산 거점 성공사례(Reference) 확보 (~'26.11):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부산대학교 병원 및 지역 바이오 센터 연구진 대상 무상 베타 테스트 실시 및 실사용자 피드백(Review) 30건 이상 수집.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2단계: 국내 시장 점유율 확대 ('27):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수도권 소재 바이오 벤처 밀집 지역(판교, 마곡 등) 대상 영업 강화 및 국내 바이오 컨퍼런스 메인 세션 발표를 통한 인지도 확산.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3단계: 글로벌 시장 진출 ('28~):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글로벌 제약 전시회(BIO USA 등) 참가 및 해외 클라우드 서비스(AWS, Azure) 마켓플레이스 등록을 통한 글로벌 구독자 확보.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