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2-2. 고객 요구사항 대응 방안</w:t>
      </w:r>
    </w:p>
    <w:p>
      <w:r>
        <w:t>■ 압도적 가성비와 무결점 보안성으로 시장(중소 제약사) 수요 정조준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21"/>
        <w:gridCol w:w="6350"/>
      </w:tblGrid>
      <w:tr>
        <w:trPr>
          <w:trHeight w:val="680"/>
        </w:trPr>
        <w:tc>
          <w:tcPr>
            <w:tcW w:type="dxa" w:w="4536"/>
            <w:shd w:val="clear" w:color="auto" w:fill="333333"/>
            <w:tcBorders>
              <w:top w:val="single" w:sz="6" w:color="333333"/>
              <w:bottom w:val="single" w:sz="6" w:color="333333"/>
              <w:left w:val="single" w:sz="6" w:color="333333"/>
              <w:right w:val="single" w:sz="6" w:color="33333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요구사항 (Pain)</w:t>
            </w:r>
          </w:p>
        </w:tc>
        <w:tc>
          <w:tcPr>
            <w:tcW w:type="dxa" w:w="4536"/>
            <w:shd w:val="clear" w:color="auto" w:fill="333333"/>
            <w:tcBorders>
              <w:top w:val="single" w:sz="6" w:color="333333"/>
              <w:bottom w:val="single" w:sz="6" w:color="333333"/>
              <w:left w:val="single" w:sz="6" w:color="333333"/>
              <w:right w:val="single" w:sz="6" w:color="333333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자사 솔루션 해결 방안</w:t>
            </w:r>
          </w:p>
        </w:tc>
      </w:tr>
      <w:tr>
        <w:trPr>
          <w:trHeight w:val="1134"/>
        </w:trPr>
        <w:tc>
          <w:tcPr>
            <w:tcW w:type="dxa" w:w="4536"/>
            <w:shd w:val="clear" w:color="auto" w:fill="F7F7F7"/>
            <w:tcBorders>
              <w:top w:val="single" w:sz="6" w:color="333333"/>
              <w:bottom w:val="single" w:sz="6" w:color="333333"/>
              <w:left w:val="single" w:sz="6" w:color="333333"/>
              <w:right w:val="single" w:sz="6" w:color="333333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1. 비용 장벽</w:t>
              <w:br/>
              <w:t>(가성비)</w:t>
            </w:r>
          </w:p>
        </w:tc>
        <w:tc>
          <w:tcPr>
            <w:tcW w:type="dxa" w:w="4536"/>
            <w:shd w:val="clear" w:color="auto" w:fill="F7F7F7"/>
            <w:tcBorders>
              <w:top w:val="single" w:sz="6" w:color="333333"/>
              <w:bottom w:val="single" w:sz="6" w:color="333333"/>
              <w:left w:val="single" w:sz="6" w:color="333333"/>
              <w:right w:val="single" w:sz="6" w:color="333333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솔루션 초기 구축비용을 기존 해외 엔진 대비 1/10 수준으로 획기적 절감. 고도화된 연산은 사내 PC 분산 그리딩으로 전기세 수준으로 타격 흡수. 추가로 글로벌 검증 모델 업데이트 보증을 통해 글로벌 최전선 유지.</w:t>
            </w:r>
          </w:p>
        </w:tc>
      </w:tr>
      <w:tr>
        <w:trPr>
          <w:trHeight w:val="1134"/>
        </w:trPr>
        <w:tc>
          <w:tcPr>
            <w:tcW w:type="dxa" w:w="4536"/>
            <w:shd w:val="clear" w:color="auto" w:fill="FFFFFF"/>
            <w:tcBorders>
              <w:top w:val="single" w:sz="6" w:color="333333"/>
              <w:bottom w:val="single" w:sz="6" w:color="333333"/>
              <w:left w:val="single" w:sz="6" w:color="333333"/>
              <w:right w:val="single" w:sz="6" w:color="333333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2. 태생적 불안감</w:t>
              <w:br/>
              <w:t>(보안성)</w:t>
            </w:r>
          </w:p>
        </w:tc>
        <w:tc>
          <w:tcPr>
            <w:tcW w:type="dxa" w:w="4536"/>
            <w:shd w:val="clear" w:color="auto" w:fill="FFFFFF"/>
            <w:tcBorders>
              <w:top w:val="single" w:sz="6" w:color="333333"/>
              <w:bottom w:val="single" w:sz="6" w:color="333333"/>
              <w:left w:val="single" w:sz="6" w:color="333333"/>
              <w:right w:val="single" w:sz="6" w:color="333333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AWS, GCP 등 외부 퍼블릭 클라우드로 1바이트의 정보도 나가지 않으며, 회사 내부 IP 주소로만 접근되는 100% 닫힌 폐쇄 생태계를 지원합니다.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