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142" w:rsidRDefault="00624C38">
      <w:r>
        <w:rPr>
          <w:noProof/>
        </w:rPr>
        <w:drawing>
          <wp:inline distT="0" distB="0" distL="0" distR="0" wp14:anchorId="79ED29E8" wp14:editId="64EBD353">
            <wp:extent cx="5274310" cy="3704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38" w:rsidRDefault="00624C38"/>
    <w:p w:rsidR="00624C38" w:rsidRDefault="00624C38">
      <w:r>
        <w:rPr>
          <w:noProof/>
        </w:rPr>
        <w:lastRenderedPageBreak/>
        <w:drawing>
          <wp:inline distT="0" distB="0" distL="0" distR="0" wp14:anchorId="38D9B31C" wp14:editId="151C3366">
            <wp:extent cx="5274310" cy="5886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4C38" w:rsidRDefault="00624C38">
      <w:pPr>
        <w:rPr>
          <w:rFonts w:hint="eastAsia"/>
        </w:rPr>
      </w:pPr>
      <w:r>
        <w:rPr>
          <w:noProof/>
        </w:rPr>
        <w:drawing>
          <wp:inline distT="0" distB="0" distL="0" distR="0" wp14:anchorId="07A7DEFD" wp14:editId="4A1E7C09">
            <wp:extent cx="5274310" cy="981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38" w:rsidRDefault="00624C38">
      <w:pPr>
        <w:rPr>
          <w:rFonts w:hint="eastAsia"/>
        </w:rPr>
      </w:pPr>
    </w:p>
    <w:p w:rsidR="00624C38" w:rsidRDefault="00624C38">
      <w:pPr>
        <w:rPr>
          <w:rFonts w:ascii="Arial" w:hAnsi="Arial" w:cs="Arial"/>
          <w:color w:val="333333"/>
          <w:shd w:val="clear" w:color="auto" w:fill="FCFAF2"/>
        </w:rPr>
      </w:pPr>
      <w:r w:rsidRPr="00624C38">
        <w:rPr>
          <w:rFonts w:ascii="Arial" w:hAnsi="Arial" w:cs="Arial"/>
          <w:color w:val="FF0000"/>
          <w:sz w:val="44"/>
          <w:szCs w:val="44"/>
          <w:shd w:val="clear" w:color="auto" w:fill="FCFAF2"/>
        </w:rPr>
        <w:t>用途</w:t>
      </w:r>
      <w:r>
        <w:rPr>
          <w:rFonts w:ascii="Arial" w:hAnsi="Arial" w:cs="Arial"/>
          <w:color w:val="333333"/>
          <w:shd w:val="clear" w:color="auto" w:fill="FCFAF2"/>
        </w:rPr>
        <w:t>:EEPROM,Flash,</w:t>
      </w:r>
      <w:r>
        <w:rPr>
          <w:rFonts w:ascii="Arial" w:hAnsi="Arial" w:cs="Arial"/>
          <w:color w:val="333333"/>
          <w:shd w:val="clear" w:color="auto" w:fill="FCFAF2"/>
        </w:rPr>
        <w:t>实时时钟</w:t>
      </w:r>
      <w:r>
        <w:rPr>
          <w:rFonts w:ascii="Arial" w:hAnsi="Arial" w:cs="Arial"/>
          <w:color w:val="333333"/>
          <w:shd w:val="clear" w:color="auto" w:fill="FCFAF2"/>
        </w:rPr>
        <w:t>,AD</w:t>
      </w:r>
      <w:r>
        <w:rPr>
          <w:rFonts w:ascii="Arial" w:hAnsi="Arial" w:cs="Arial"/>
          <w:color w:val="333333"/>
          <w:shd w:val="clear" w:color="auto" w:fill="FCFAF2"/>
        </w:rPr>
        <w:t>转换器</w:t>
      </w:r>
      <w:r>
        <w:rPr>
          <w:rFonts w:ascii="Arial" w:hAnsi="Arial" w:cs="Arial"/>
          <w:color w:val="333333"/>
          <w:shd w:val="clear" w:color="auto" w:fill="FCFAF2"/>
        </w:rPr>
        <w:t>,</w:t>
      </w:r>
      <w:r>
        <w:rPr>
          <w:rFonts w:ascii="Arial" w:hAnsi="Arial" w:cs="Arial"/>
          <w:color w:val="333333"/>
          <w:shd w:val="clear" w:color="auto" w:fill="FCFAF2"/>
        </w:rPr>
        <w:t>数字信号处理器和数字信号解码器之间</w:t>
      </w:r>
      <w:r>
        <w:rPr>
          <w:rFonts w:ascii="Arial" w:hAnsi="Arial" w:cs="Arial"/>
          <w:color w:val="333333"/>
          <w:shd w:val="clear" w:color="auto" w:fill="FCFAF2"/>
        </w:rPr>
        <w:t>,</w:t>
      </w:r>
      <w:r>
        <w:rPr>
          <w:rFonts w:ascii="Arial" w:hAnsi="Arial" w:cs="Arial"/>
          <w:color w:val="333333"/>
          <w:shd w:val="clear" w:color="auto" w:fill="FCFAF2"/>
        </w:rPr>
        <w:t>集成的芯片有</w:t>
      </w:r>
      <w:r>
        <w:rPr>
          <w:rFonts w:ascii="Arial" w:hAnsi="Arial" w:cs="Arial"/>
          <w:color w:val="333333"/>
          <w:shd w:val="clear" w:color="auto" w:fill="FCFAF2"/>
        </w:rPr>
        <w:t>:STM32 AT91RM9200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CFAF2"/>
        </w:rPr>
        <w:t>通信原理</w:t>
      </w:r>
      <w:r>
        <w:rPr>
          <w:rFonts w:ascii="Arial" w:hAnsi="Arial" w:cs="Arial"/>
          <w:color w:val="333333"/>
          <w:shd w:val="clear" w:color="auto" w:fill="FCFAF2"/>
        </w:rPr>
        <w:t>:SCLK</w:t>
      </w:r>
      <w:r>
        <w:rPr>
          <w:rFonts w:ascii="Arial" w:hAnsi="Arial" w:cs="Arial"/>
          <w:color w:val="333333"/>
          <w:shd w:val="clear" w:color="auto" w:fill="FCFAF2"/>
        </w:rPr>
        <w:t>信号线只由主设备控制，从设备不能控制信号线。同样，在一个基于</w:t>
      </w:r>
      <w:r>
        <w:rPr>
          <w:rFonts w:ascii="Arial" w:hAnsi="Arial" w:cs="Arial"/>
          <w:color w:val="333333"/>
          <w:shd w:val="clear" w:color="auto" w:fill="FCFAF2"/>
        </w:rPr>
        <w:t>SPI</w:t>
      </w:r>
      <w:r>
        <w:rPr>
          <w:rFonts w:ascii="Arial" w:hAnsi="Arial" w:cs="Arial"/>
          <w:color w:val="333333"/>
          <w:shd w:val="clear" w:color="auto" w:fill="FCFAF2"/>
        </w:rPr>
        <w:t>的设备中，至少有一个主控设备。这样传输的特点：这样的传输方式有一个优点，与普通的串行通讯不同，普通的串行通讯一次连续传送至少</w:t>
      </w:r>
      <w:r>
        <w:rPr>
          <w:rFonts w:ascii="Arial" w:hAnsi="Arial" w:cs="Arial"/>
          <w:color w:val="333333"/>
          <w:shd w:val="clear" w:color="auto" w:fill="FCFAF2"/>
        </w:rPr>
        <w:t>8</w:t>
      </w:r>
      <w:r>
        <w:rPr>
          <w:rFonts w:ascii="Arial" w:hAnsi="Arial" w:cs="Arial"/>
          <w:color w:val="333333"/>
          <w:shd w:val="clear" w:color="auto" w:fill="FCFAF2"/>
        </w:rPr>
        <w:t>位数据，而</w:t>
      </w:r>
      <w:r>
        <w:rPr>
          <w:rFonts w:ascii="Arial" w:hAnsi="Arial" w:cs="Arial"/>
          <w:color w:val="333333"/>
          <w:shd w:val="clear" w:color="auto" w:fill="FCFAF2"/>
        </w:rPr>
        <w:t>SPI</w:t>
      </w:r>
      <w:r>
        <w:rPr>
          <w:rFonts w:ascii="Arial" w:hAnsi="Arial" w:cs="Arial"/>
          <w:color w:val="333333"/>
          <w:shd w:val="clear" w:color="auto" w:fill="FCFAF2"/>
        </w:rPr>
        <w:t>允许数据一位一位的传送，甚至允许暂停，因为</w:t>
      </w:r>
      <w:r>
        <w:rPr>
          <w:rFonts w:ascii="Arial" w:hAnsi="Arial" w:cs="Arial"/>
          <w:color w:val="333333"/>
          <w:shd w:val="clear" w:color="auto" w:fill="FCFAF2"/>
        </w:rPr>
        <w:t>SCLK</w:t>
      </w:r>
      <w:r>
        <w:rPr>
          <w:rFonts w:ascii="Arial" w:hAnsi="Arial" w:cs="Arial"/>
          <w:color w:val="333333"/>
          <w:shd w:val="clear" w:color="auto" w:fill="FCFAF2"/>
        </w:rPr>
        <w:t>时钟线由主控设备控制，当没有时钟跳变时，从设备不采集</w:t>
      </w:r>
      <w:r>
        <w:rPr>
          <w:rFonts w:ascii="Arial" w:hAnsi="Arial" w:cs="Arial"/>
          <w:color w:val="333333"/>
          <w:shd w:val="clear" w:color="auto" w:fill="FCFAF2"/>
        </w:rPr>
        <w:lastRenderedPageBreak/>
        <w:t>或传送数据。也就是说，主设备通过对</w:t>
      </w:r>
      <w:r>
        <w:rPr>
          <w:rFonts w:ascii="Arial" w:hAnsi="Arial" w:cs="Arial"/>
          <w:color w:val="333333"/>
          <w:shd w:val="clear" w:color="auto" w:fill="FCFAF2"/>
        </w:rPr>
        <w:t>SCLK</w:t>
      </w:r>
      <w:r>
        <w:rPr>
          <w:rFonts w:ascii="Arial" w:hAnsi="Arial" w:cs="Arial"/>
          <w:color w:val="333333"/>
          <w:shd w:val="clear" w:color="auto" w:fill="FCFAF2"/>
        </w:rPr>
        <w:t>时钟线的控制可以完成对通讯的控制。</w:t>
      </w:r>
      <w:r>
        <w:rPr>
          <w:rFonts w:ascii="Arial" w:hAnsi="Arial" w:cs="Arial"/>
          <w:color w:val="333333"/>
          <w:shd w:val="clear" w:color="auto" w:fill="FCFAF2"/>
        </w:rPr>
        <w:t>SPI</w:t>
      </w:r>
      <w:r>
        <w:rPr>
          <w:rFonts w:ascii="Arial" w:hAnsi="Arial" w:cs="Arial"/>
          <w:color w:val="333333"/>
          <w:shd w:val="clear" w:color="auto" w:fill="FCFAF2"/>
        </w:rPr>
        <w:t>还是一个数据交换协议：因为</w:t>
      </w:r>
      <w:r>
        <w:rPr>
          <w:rFonts w:ascii="Arial" w:hAnsi="Arial" w:cs="Arial"/>
          <w:color w:val="333333"/>
          <w:shd w:val="clear" w:color="auto" w:fill="FCFAF2"/>
        </w:rPr>
        <w:t>SPI</w:t>
      </w:r>
      <w:r>
        <w:rPr>
          <w:rFonts w:ascii="Arial" w:hAnsi="Arial" w:cs="Arial"/>
          <w:color w:val="333333"/>
          <w:shd w:val="clear" w:color="auto" w:fill="FCFAF2"/>
        </w:rPr>
        <w:t>的数据输入和输出线独立，所以允许同时完成数据的输入和输出。不同的</w:t>
      </w:r>
      <w:r>
        <w:rPr>
          <w:rFonts w:ascii="Arial" w:hAnsi="Arial" w:cs="Arial"/>
          <w:color w:val="333333"/>
          <w:shd w:val="clear" w:color="auto" w:fill="FCFAF2"/>
        </w:rPr>
        <w:t>SPI</w:t>
      </w:r>
      <w:r>
        <w:rPr>
          <w:rFonts w:ascii="Arial" w:hAnsi="Arial" w:cs="Arial"/>
          <w:color w:val="333333"/>
          <w:shd w:val="clear" w:color="auto" w:fill="FCFAF2"/>
        </w:rPr>
        <w:t>设备的实现方式不尽相同，主要是数据改变和采集的时间不同，在时钟信号上沿或下沿采集有不同定义，具体请参考相关器件的文档。传输过程由主机初始化</w:t>
      </w:r>
      <w:r>
        <w:rPr>
          <w:rFonts w:ascii="Arial" w:hAnsi="Arial" w:cs="Arial"/>
          <w:color w:val="333333"/>
          <w:shd w:val="clear" w:color="auto" w:fill="FCFAF2"/>
        </w:rPr>
        <w:t>,</w:t>
      </w:r>
      <w:r>
        <w:rPr>
          <w:rFonts w:ascii="Arial" w:hAnsi="Arial" w:cs="Arial"/>
          <w:color w:val="333333"/>
          <w:shd w:val="clear" w:color="auto" w:fill="FCFAF2"/>
        </w:rPr>
        <w:t>内部硬件实际上是两个简单的移位寄存器，传输的数据为</w:t>
      </w:r>
      <w:r>
        <w:rPr>
          <w:rFonts w:ascii="Arial" w:hAnsi="Arial" w:cs="Arial"/>
          <w:color w:val="333333"/>
          <w:shd w:val="clear" w:color="auto" w:fill="FCFAF2"/>
        </w:rPr>
        <w:t>8</w:t>
      </w:r>
      <w:r>
        <w:rPr>
          <w:rFonts w:ascii="Arial" w:hAnsi="Arial" w:cs="Arial"/>
          <w:color w:val="333333"/>
          <w:shd w:val="clear" w:color="auto" w:fill="FCFAF2"/>
        </w:rPr>
        <w:t>位，在主器件产生的从器件使能信号和移位脉冲下，按位传输，高位在前，低位在后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CFAF2"/>
        </w:rPr>
        <w:t>SCLK</w:t>
      </w:r>
      <w:r>
        <w:rPr>
          <w:rFonts w:ascii="Arial" w:hAnsi="Arial" w:cs="Arial"/>
          <w:color w:val="333333"/>
          <w:shd w:val="clear" w:color="auto" w:fill="FCFAF2"/>
        </w:rPr>
        <w:t>的上升沿上数据改变，同时一位数据被存入移位寄存器</w:t>
      </w:r>
      <w:r>
        <w:rPr>
          <w:rFonts w:ascii="Arial" w:hAnsi="Arial" w:cs="Arial"/>
          <w:color w:val="333333"/>
          <w:shd w:val="clear" w:color="auto" w:fill="FCFAF2"/>
        </w:rPr>
        <w:t>;</w:t>
      </w:r>
    </w:p>
    <w:p w:rsidR="00624C38" w:rsidRDefault="00624C38">
      <w:r>
        <w:rPr>
          <w:noProof/>
        </w:rPr>
        <w:drawing>
          <wp:inline distT="0" distB="0" distL="0" distR="0" wp14:anchorId="100D02D2" wp14:editId="64DF5BA2">
            <wp:extent cx="5274310" cy="57372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38" w:rsidRDefault="00624C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3D977B" wp14:editId="10649100">
            <wp:extent cx="5274310" cy="5537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C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43A2" w:rsidRDefault="008943A2" w:rsidP="00624C38">
      <w:r>
        <w:separator/>
      </w:r>
    </w:p>
  </w:endnote>
  <w:endnote w:type="continuationSeparator" w:id="0">
    <w:p w:rsidR="008943A2" w:rsidRDefault="008943A2" w:rsidP="00624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43A2" w:rsidRDefault="008943A2" w:rsidP="00624C38">
      <w:r>
        <w:separator/>
      </w:r>
    </w:p>
  </w:footnote>
  <w:footnote w:type="continuationSeparator" w:id="0">
    <w:p w:rsidR="008943A2" w:rsidRDefault="008943A2" w:rsidP="00624C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58"/>
    <w:rsid w:val="00410142"/>
    <w:rsid w:val="00624C38"/>
    <w:rsid w:val="008943A2"/>
    <w:rsid w:val="00A9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0B3904-2FBF-47F8-9E81-8EA643D5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4C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4C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4C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4C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邝 嘉伟</dc:creator>
  <cp:keywords/>
  <dc:description/>
  <cp:lastModifiedBy>邝 嘉伟</cp:lastModifiedBy>
  <cp:revision>2</cp:revision>
  <dcterms:created xsi:type="dcterms:W3CDTF">2019-02-20T08:23:00Z</dcterms:created>
  <dcterms:modified xsi:type="dcterms:W3CDTF">2019-02-20T08:26:00Z</dcterms:modified>
</cp:coreProperties>
</file>