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color w:val="1F4E78"/>
          <w:sz w:val="36"/>
          <w:szCs w:val="36"/>
        </w:rPr>
        <w:t xml:space="preserve">Email Draft — Chris</w:t>
      </w:r>
    </w:p>
    <w:p>
      <w:pPr>
        <w:spacing w:after="360"/>
        <w:jc w:val="center"/>
      </w:pPr>
      <w:r>
        <w:rPr>
          <w:i/>
          <w:iCs/>
          <w:color w:val="595959"/>
          <w:sz w:val="22"/>
          <w:szCs w:val="22"/>
        </w:rPr>
        <w:t xml:space="preserve">Updates to OA, Distribution Policy, and Client Agreement</w:t>
      </w:r>
    </w:p>
    <w:p>
      <w:r>
        <w:t xml:space="preserve">Below is a draft email you can copy directly into your email client to send to Chris. The three attached documents are referenced in the email.</w:t>
      </w:r>
    </w:p>
    <w:p>
      <w:pPr>
        <w:pBdr>
          <w:top w:val="single" w:color="808080" w:sz="8"/>
          <w:bottom w:val="single" w:color="808080" w:sz="8"/>
          <w:left w:val="single" w:color="808080" w:sz="8"/>
          <w:right w:val="single" w:color="808080" w:sz="8"/>
        </w:pBdr>
        <w:spacing w:after="120" w:before="120"/>
      </w:pPr>
      <w:r>
        <w:t xml:space="preserve"/>
      </w:r>
    </w:p>
    <w:p>
      <w:r>
        <w:t xml:space="preserve"/>
      </w:r>
    </w:p>
    <w:p>
      <w:r>
        <w:rPr>
          <w:b/>
          <w:bCs/>
        </w:rPr>
        <w:t xml:space="preserve">Subject: </w:t>
      </w:r>
      <w:r>
        <w:t xml:space="preserve">Fractional Standard — Updates for your review (OA Amendment, Distribution Policy, MSA v1.1)</w:t>
      </w:r>
    </w:p>
    <w:p>
      <w:r>
        <w:t xml:space="preserve"/>
      </w:r>
    </w:p>
    <w:p>
      <w:r>
        <w:t xml:space="preserve">Hey Chris,</w:t>
      </w:r>
    </w:p>
    <w:p>
      <w:r>
        <w:t xml:space="preserve"/>
      </w:r>
    </w:p>
    <w:p>
      <w:r>
        <w:t xml:space="preserve">Quick update on a few things I’ve been working through on the financial model and structure side. Three documents attached for your review — details below.</w:t>
      </w:r>
    </w:p>
    <w:p>
      <w:r>
        <w:t xml:space="preserve"/>
      </w:r>
    </w:p>
    <w:p>
      <w:r>
        <w:rPr>
          <w:b/>
          <w:bCs/>
          <w:sz w:val="24"/>
          <w:szCs w:val="24"/>
        </w:rPr>
        <w:t xml:space="preserve">What’s changing and why</w:t>
      </w:r>
    </w:p>
    <w:p>
      <w:r>
        <w:t xml:space="preserve"/>
      </w:r>
    </w:p>
    <w:p>
      <w:r>
        <w:rPr>
          <w:b/>
          <w:bCs/>
        </w:rPr>
        <w:t xml:space="preserve">1. OA Amendment No. 1 — Sliding Scale Guaranteed Payment</w:t>
      </w:r>
    </w:p>
    <w:p>
      <w:r>
        <w:t xml:space="preserve">The signed OA has my Guaranteed Payment as a flat $5,000/month once the company hits the $75K annualized revenue trigger. As we ran the financial model out 5 years, that flat rate didn’t scale with the business — it disconnects my comp from company performance.</w:t>
      </w:r>
    </w:p>
    <w:p>
      <w:r>
        <w:t xml:space="preserve"/>
      </w:r>
    </w:p>
    <w:p>
      <w:r>
        <w:t xml:space="preserve">This amendment converts the GP to a sliding scale: $5,000/month floor plus 5% of monthly revenue above $6,250 (the monthly equivalent of the $75K threshold), capped at $300,000 annually. Mechanics:</w:t>
      </w:r>
    </w:p>
    <w:p>
      <w:pPr>
        <w:pStyle w:val="ListParagraph"/>
        <w:numPr>
          <w:ilvl w:val="0"/>
          <w:numId w:val="2"/>
        </w:numPr>
      </w:pPr>
      <w:r>
        <w:t xml:space="preserve">Trigger and floor are unchanged from the OA — same $75K annualized trigger, same $5,000 floor.</w:t>
      </w:r>
    </w:p>
    <w:p>
      <w:pPr>
        <w:pStyle w:val="ListParagraph"/>
        <w:numPr>
          <w:ilvl w:val="0"/>
          <w:numId w:val="2"/>
        </w:numPr>
      </w:pPr>
      <w:r>
        <w:t xml:space="preserve">Variable component (5% of revenue above the threshold) keeps my comp tied to company performance.</w:t>
      </w:r>
    </w:p>
    <w:p>
      <w:pPr>
        <w:pStyle w:val="ListParagraph"/>
        <w:numPr>
          <w:ilvl w:val="0"/>
          <w:numId w:val="2"/>
        </w:numPr>
      </w:pPr>
      <w:r>
        <w:t xml:space="preserve">Annual cap of $300K binds in Y5 of the projections — prevents runaway GP eating into distributable cash.</w:t>
      </w:r>
    </w:p>
    <w:p>
      <w:pPr>
        <w:pStyle w:val="ListParagraph"/>
        <w:numPr>
          <w:ilvl w:val="0"/>
          <w:numId w:val="2"/>
        </w:numPr>
      </w:pPr>
      <w:r>
        <w:t xml:space="preserve">Trigger is sticky — once it fires, it doesn’t un-fire if revenue dips.</w:t>
      </w:r>
    </w:p>
    <w:p>
      <w:r>
        <w:t xml:space="preserve"/>
      </w:r>
    </w:p>
    <w:p>
      <w:r>
        <w:t xml:space="preserve">This is a formal amendment to OA Section 5.5(a). You and I both sign. Original OA remains otherwise intact.</w:t>
      </w:r>
    </w:p>
    <w:p>
      <w:r>
        <w:t xml:space="preserve"/>
      </w:r>
    </w:p>
    <w:p>
      <w:r>
        <w:rPr>
          <w:b/>
          <w:bCs/>
        </w:rPr>
        <w:t xml:space="preserve">2. Distribution Policy Resolution</w:t>
      </w:r>
    </w:p>
    <w:p>
      <w:r>
        <w:t xml:space="preserve">OA Section 5.2 says discretionary distributions happen “as determined by Unanimous Vote” — i.e., we have to agree. This Resolution is that vote, formalized.</w:t>
      </w:r>
    </w:p>
    <w:p>
      <w:r>
        <w:t xml:space="preserve"/>
      </w:r>
    </w:p>
    <w:p>
      <w:r>
        <w:t xml:space="preserve">Two phases:</w:t>
      </w:r>
    </w:p>
    <w:p>
      <w:pPr>
        <w:pStyle w:val="ListParagraph"/>
        <w:numPr>
          <w:ilvl w:val="0"/>
          <w:numId w:val="2"/>
        </w:numPr>
      </w:pPr>
      <w:r>
        <w:t xml:space="preserve">Phase 1 (early years): 70% of available cash distributed to us, 30% retained in the LLC as working capital.</w:t>
      </w:r>
    </w:p>
    <w:p>
      <w:pPr>
        <w:pStyle w:val="ListParagraph"/>
        <w:numPr>
          <w:ilvl w:val="0"/>
          <w:numId w:val="2"/>
        </w:numPr>
      </w:pPr>
      <w:r>
        <w:t xml:space="preserve">Phase 2 (after retained cash hits $164K, which is roughly 2 months of mature operating costs): 90% distributed, 10% retained.</w:t>
      </w:r>
    </w:p>
    <w:p>
      <w:r>
        <w:t xml:space="preserve"/>
      </w:r>
    </w:p>
    <w:p>
      <w:r>
        <w:t xml:space="preserve">In the current 5-year projections, Phase 2 triggers in Y5. The Working Capital Threshold is the safety buffer — once we have 2 months of operating runway in the bank, we don’t need to keep building reserves as aggressively.</w:t>
      </w:r>
    </w:p>
    <w:p>
      <w:r>
        <w:t xml:space="preserve"/>
      </w:r>
    </w:p>
    <w:p>
      <w:r>
        <w:t xml:space="preserve">This is a Member Resolution rather than an OA amendment because the OA already grants us discretion on rate — we’re just exercising it. Either of us can request a new vote if we want to adjust the threshold or rates later.</w:t>
      </w:r>
    </w:p>
    <w:p>
      <w:r>
        <w:t xml:space="preserve"/>
      </w:r>
    </w:p>
    <w:p>
      <w:r>
        <w:rPr>
          <w:b/>
          <w:bCs/>
        </w:rPr>
        <w:t xml:space="preserve">3. Master Services Agreement v1.1</w:t>
      </w:r>
    </w:p>
    <w:p>
      <w:r>
        <w:t xml:space="preserve">I made structural cleanups to the MSA. Eight changes, all highlighted in yellow in the document:</w:t>
      </w:r>
    </w:p>
    <w:p>
      <w:r>
        <w:t xml:space="preserve"/>
      </w:r>
    </w:p>
    <w:p>
      <w:r>
        <w:rPr>
          <w:i/>
          <w:iCs/>
        </w:rPr>
        <w:t xml:space="preserve">Activation Fee removed entirely:</w:t>
      </w:r>
    </w:p>
    <w:p>
      <w:pPr>
        <w:pStyle w:val="ListParagraph"/>
        <w:numPr>
          <w:ilvl w:val="0"/>
          <w:numId w:val="2"/>
        </w:numPr>
      </w:pPr>
      <w:r>
        <w:t xml:space="preserve">Section 4 deleted; Exhibit C deleted; all references throughout removed. We’re not charging an activation fee at this time.</w:t>
      </w:r>
    </w:p>
    <w:p>
      <w:r>
        <w:t xml:space="preserve"/>
      </w:r>
    </w:p>
    <w:p>
      <w:r>
        <w:rPr>
          <w:i/>
          <w:iCs/>
        </w:rPr>
        <w:t xml:space="preserve">Conversion fee structure formalized:</w:t>
      </w:r>
    </w:p>
    <w:p>
      <w:pPr>
        <w:pStyle w:val="ListParagraph"/>
        <w:numPr>
          <w:ilvl w:val="0"/>
          <w:numId w:val="2"/>
        </w:numPr>
      </w:pPr>
      <w:r>
        <w:t xml:space="preserve">Section 9.3 — conversion fee replaced with the 4-tier tenure-based structure (20% / 17% / 13% / 10% of FY1 base salary based on operator tenure at conversion).</w:t>
      </w:r>
    </w:p>
    <w:p>
      <w:pPr>
        <w:pStyle w:val="ListParagraph"/>
        <w:numPr>
          <w:ilvl w:val="0"/>
          <w:numId w:val="2"/>
        </w:numPr>
      </w:pPr>
      <w:r>
        <w:t xml:space="preserve">Exhibit D — reorganized to hold all conversion fee detail: D.2 (tier table), D.2.1 (3-Month Minimum Buyout for early conversions), D.2.2 (12-month Tail Period to prevent timing-the-fee), D.2.3 (worked examples).</w:t>
      </w:r>
    </w:p>
    <w:p>
      <w:r>
        <w:t xml:space="preserve"/>
      </w:r>
    </w:p>
    <w:p>
      <w:r>
        <w:rPr>
          <w:i/>
          <w:iCs/>
        </w:rPr>
        <w:t xml:space="preserve">Replacement guarantees clarified:</w:t>
      </w:r>
    </w:p>
    <w:p>
      <w:pPr>
        <w:pStyle w:val="ListParagraph"/>
        <w:numPr>
          <w:ilvl w:val="0"/>
          <w:numId w:val="2"/>
        </w:numPr>
      </w:pPr>
      <w:r>
        <w:t xml:space="preserve">Section 9.4 (post-Conversion guarantee) deleted. Operator was observed during the fractional engagement so conversion is caveat emptor. We’ll work with clients in good faith if there’s an unexpected separation, but we’re not contractually obligated. (This is consistent with how Toptal, Catalant, and most fractional firms handle it.)</w:t>
      </w:r>
    </w:p>
    <w:p>
      <w:pPr>
        <w:pStyle w:val="ListParagraph"/>
        <w:numPr>
          <w:ilvl w:val="0"/>
          <w:numId w:val="2"/>
        </w:numPr>
      </w:pPr>
      <w:r>
        <w:t xml:space="preserve">Section 13.1 — 30-day Engagement-phase replacement right preserved (no change). This is where the meaningful customer protection lives.</w:t>
      </w:r>
    </w:p>
    <w:p>
      <w:pPr>
        <w:pStyle w:val="ListParagraph"/>
        <w:numPr>
          <w:ilvl w:val="0"/>
          <w:numId w:val="2"/>
        </w:numPr>
      </w:pPr>
      <w:r>
        <w:t xml:space="preserve">Section 13.3 — dropped the 10-business-day operational SLA on replacement shortlist; replaced with commercially-reasonable-efforts language.</w:t>
      </w:r>
    </w:p>
    <w:p>
      <w:r>
        <w:t xml:space="preserve"/>
      </w:r>
    </w:p>
    <w:p>
      <w:r>
        <w:rPr>
          <w:i/>
          <w:iCs/>
        </w:rPr>
        <w:t xml:space="preserve">Initial-shortlist SLA removed:</w:t>
      </w:r>
    </w:p>
    <w:p>
      <w:pPr>
        <w:pStyle w:val="ListParagraph"/>
        <w:numPr>
          <w:ilvl w:val="0"/>
          <w:numId w:val="2"/>
        </w:numPr>
      </w:pPr>
      <w:r>
        <w:t xml:space="preserve">Exhibit A.1.2 / A.2 — dropped the “within 10 business days” commitment for first shortlist. Less legal exposure for niche roles, and the client can walk away anytime since they have no money at risk before placement.</w:t>
      </w:r>
    </w:p>
    <w:p>
      <w:r>
        <w:t xml:space="preserve"/>
      </w:r>
    </w:p>
    <w:p>
      <w:r>
        <w:rPr>
          <w:i/>
          <w:iCs/>
        </w:rPr>
        <w:t xml:space="preserve">Direct-Hire Accommodation folded in:</w:t>
      </w:r>
    </w:p>
    <w:p>
      <w:pPr>
        <w:pStyle w:val="ListParagraph"/>
        <w:numPr>
          <w:ilvl w:val="0"/>
          <w:numId w:val="2"/>
        </w:numPr>
      </w:pPr>
      <w:r>
        <w:t xml:space="preserve">New Exhibit E covers contingent-search direct-hire placements (separate from FTE Conversion). Contingency model: 20-25% of FY1 base salary, paid only on successful start. 30-day replacement guarantee on the candidate — this IS where a real guarantee belongs because the client is making a blind hire (no prior fractional engagement to evaluate fit). Negotiable per-engagement.</w:t>
      </w:r>
    </w:p>
    <w:p>
      <w:r>
        <w:t xml:space="preserve"/>
      </w:r>
    </w:p>
    <w:p>
      <w:r>
        <w:t xml:space="preserve">Everything not highlighted is unchanged from v1.0. The yellow highlighting makes the changes easy to spot.</w:t>
      </w:r>
    </w:p>
    <w:p>
      <w:r>
        <w:t xml:space="preserve"/>
      </w:r>
    </w:p>
    <w:p>
      <w:r>
        <w:rPr>
          <w:b/>
          <w:bCs/>
          <w:sz w:val="24"/>
          <w:szCs w:val="24"/>
        </w:rPr>
        <w:t xml:space="preserve">What I need from you</w:t>
      </w:r>
    </w:p>
    <w:p>
      <w:r>
        <w:t xml:space="preserve"/>
      </w:r>
    </w:p>
    <w:p>
      <w:pPr>
        <w:pStyle w:val="ListParagraph"/>
        <w:numPr>
          <w:ilvl w:val="0"/>
          <w:numId w:val="2"/>
        </w:numPr>
      </w:pPr>
      <w:r>
        <w:t xml:space="preserve">Review the OA Amendment and the Distribution Policy Resolution — these are the two that affect us directly as Members.</w:t>
      </w:r>
    </w:p>
    <w:p>
      <w:pPr>
        <w:pStyle w:val="ListParagraph"/>
        <w:numPr>
          <w:ilvl w:val="0"/>
          <w:numId w:val="2"/>
        </w:numPr>
      </w:pPr>
      <w:r>
        <w:t xml:space="preserve">Skim the MSA v1.1 (focus on the highlighted sections). This is client-facing and affects deal economics.</w:t>
      </w:r>
    </w:p>
    <w:p>
      <w:pPr>
        <w:pStyle w:val="ListParagraph"/>
        <w:numPr>
          <w:ilvl w:val="0"/>
          <w:numId w:val="2"/>
        </w:numPr>
      </w:pPr>
      <w:r>
        <w:t xml:space="preserve">Flag anything that feels off or that you want to discuss before we send any of this to counsel.</w:t>
      </w:r>
    </w:p>
    <w:p>
      <w:pPr>
        <w:pStyle w:val="ListParagraph"/>
        <w:numPr>
          <w:ilvl w:val="0"/>
          <w:numId w:val="2"/>
        </w:numPr>
      </w:pPr>
      <w:r>
        <w:t xml:space="preserve">Once we’re aligned, the OA Amendment and Distribution Resolution get signed by both of us. The MSA goes to attorney review with the rest of the client agreement package.</w:t>
      </w:r>
    </w:p>
    <w:p>
      <w:r>
        <w:t xml:space="preserve"/>
      </w:r>
    </w:p>
    <w:p>
      <w:r>
        <w:rPr>
          <w:b/>
          <w:bCs/>
          <w:i/>
          <w:iCs/>
        </w:rPr>
        <w:t xml:space="preserve">Important caveat:</w:t>
      </w:r>
    </w:p>
    <w:p>
      <w:r>
        <w:t xml:space="preserve">All three documents are drafts and clearly marked as such. None of these are legally binding until both Members sign (for OA Amendment / Resolution) or until we run them through actual legal counsel (for the MSA). I’m not a lawyer; I’ve drafted these to reflect business decisions we’ve already discussed, but the language and enforceability should be reviewed by counsel before anything goes to a client or gets executed.</w:t>
      </w:r>
    </w:p>
    <w:p>
      <w:r>
        <w:t xml:space="preserve"/>
      </w:r>
    </w:p>
    <w:p>
      <w:r>
        <w:t xml:space="preserve">Happy to walk through any of this on a call. Otherwise, let me know your thoughts when you’ve had a chance to review.</w:t>
      </w:r>
    </w:p>
    <w:p>
      <w:r>
        <w:t xml:space="preserve"/>
      </w:r>
    </w:p>
    <w:p>
      <w:r>
        <w:t xml:space="preserve">Thanks,</w:t>
      </w:r>
    </w:p>
    <w:p>
      <w:r>
        <w:t xml:space="preserve">Kevin</w:t>
      </w:r>
    </w:p>
    <w:p>
      <w:r>
        <w:t xml:space="preserve"/>
      </w:r>
    </w:p>
    <w:p>
      <w:pPr>
        <w:pBdr>
          <w:top w:val="single" w:color="808080" w:sz="8"/>
          <w:bottom w:val="single" w:color="808080" w:sz="8"/>
          <w:left w:val="single" w:color="808080" w:sz="8"/>
          <w:right w:val="single" w:color="808080" w:sz="8"/>
        </w:pBdr>
        <w:spacing w:after="120" w:before="120"/>
      </w:pPr>
      <w:r>
        <w:t xml:space="preserve"/>
      </w:r>
    </w:p>
    <w:p>
      <w:r>
        <w:t xml:space="preserve"/>
      </w:r>
    </w:p>
    <w:p>
      <w:r>
        <w:rPr>
          <w:i/>
          <w:iCs/>
          <w:color w:val="595959"/>
        </w:rPr>
        <w:t xml:space="preserve">Attachments to send with email:</w:t>
      </w:r>
    </w:p>
    <w:p>
      <w:pPr>
        <w:pStyle w:val="ListParagraph"/>
        <w:numPr>
          <w:ilvl w:val="0"/>
          <w:numId w:val="2"/>
        </w:numPr>
      </w:pPr>
      <w:r>
        <w:t xml:space="preserve">01_Amendment_No_1_to_Operating_Agreement.docx</w:t>
      </w:r>
    </w:p>
    <w:p>
      <w:pPr>
        <w:pStyle w:val="ListParagraph"/>
        <w:numPr>
          <w:ilvl w:val="0"/>
          <w:numId w:val="2"/>
        </w:numPr>
      </w:pPr>
      <w:r>
        <w:t xml:space="preserve">02_Distribution_Policy_Member_Resolution.docx</w:t>
      </w:r>
    </w:p>
    <w:p>
      <w:pPr>
        <w:pStyle w:val="ListParagraph"/>
        <w:numPr>
          <w:ilvl w:val="0"/>
          <w:numId w:val="2"/>
        </w:numPr>
      </w:pPr>
      <w:r>
        <w:t xml:space="preserve">03_Master_Services_Agreement_v1_1.docx</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240"/>
      <w:jc w:val="center"/>
    </w:pPr>
    <w:rPr>
      <w:rFonts w:ascii="Arial" w:cs="Arial" w:eastAsia="Arial" w:hAnsi="Arial"/>
      <w:b/>
      <w:bCs/>
      <w:color w:val="1F4E78"/>
      <w:sz w:val="36"/>
      <w:szCs w:val="36"/>
    </w:rPr>
  </w:style>
  <w:style w:type="paragraph" w:styleId="Heading1">
    <w:name w:val="Heading 1"/>
    <w:basedOn w:val="Normal"/>
    <w:next w:val="Normal"/>
    <w:qFormat/>
    <w:pPr>
      <w:spacing w:after="180" w:before="360"/>
      <w:outlineLvl w:val="0"/>
    </w:pPr>
    <w:rPr>
      <w:rFonts w:ascii="Arial" w:cs="Arial" w:eastAsia="Arial" w:hAnsi="Arial"/>
      <w:b/>
      <w:bCs/>
      <w:color w:val="1F4E78"/>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4E78"/>
      <w:sz w:val="24"/>
      <w:szCs w:val="24"/>
    </w:rPr>
  </w:style>
  <w:style w:type="paragraph" w:styleId="Heading3">
    <w:name w:val="Heading 3"/>
    <w:basedOn w:val="Normal"/>
    <w:next w:val="Normal"/>
    <w:qFormat/>
    <w:pPr>
      <w:spacing w:after="80" w:before="18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2026-05-04T18:38:50.408Z</dcterms:created>
  <dcterms:modified xsi:type="dcterms:W3CDTF">2026-05-04T18:38:50.422Z</dcterms:modified>
</cp:coreProperties>
</file>

<file path=docProps/custom.xml><?xml version="1.0" encoding="utf-8"?>
<Properties xmlns="http://schemas.openxmlformats.org/officeDocument/2006/custom-properties" xmlns:vt="http://schemas.openxmlformats.org/officeDocument/2006/docPropsVTypes"/>
</file>