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00000" w:sz="12"/>
          <w:bottom w:val="single" w:color="C00000" w:sz="12"/>
          <w:left w:val="single" w:color="C00000" w:sz="12"/>
          <w:right w:val="single" w:color="C00000" w:sz="12"/>
        </w:pBdr>
        <w:spacing w:after="240" w:before="60"/>
        <w:jc w:val="center"/>
      </w:pPr>
      <w:r>
        <w:rPr>
          <w:b/>
          <w:bCs/>
          <w:color w:val="C00000"/>
          <w:sz w:val="20"/>
          <w:szCs w:val="20"/>
        </w:rPr>
        <w:t xml:space="preserve">DRAFT — FOR ATTORNEY REVIEW. This is not a final or signed document. Both Members must engage qualified legal counsel before execution.</w:t>
      </w:r>
    </w:p>
    <w:p>
      <w:pPr>
        <w:pStyle w:val="Title"/>
        <w:jc w:val="center"/>
      </w:pPr>
      <w:r>
        <w:rPr>
          <w:b/>
          <w:bCs/>
          <w:color w:val="1F4E78"/>
          <w:sz w:val="36"/>
          <w:szCs w:val="36"/>
        </w:rPr>
        <w:t xml:space="preserve">AMENDMENT NO. 1 TO</w:t>
      </w:r>
    </w:p>
    <w:p>
      <w:pPr>
        <w:spacing w:after="120"/>
        <w:jc w:val="center"/>
      </w:pPr>
      <w:r>
        <w:rPr>
          <w:b/>
          <w:bCs/>
          <w:color w:val="1F4E78"/>
          <w:sz w:val="32"/>
          <w:szCs w:val="32"/>
        </w:rPr>
        <w:t xml:space="preserve">LIMITED LIABILITY COMPANY OPERATING AGREEMENT</w:t>
      </w:r>
    </w:p>
    <w:p>
      <w:pPr>
        <w:spacing w:after="360"/>
        <w:jc w:val="center"/>
      </w:pPr>
      <w:r>
        <w:rPr>
          <w:b/>
          <w:bCs/>
          <w:color w:val="1F4E78"/>
          <w:sz w:val="28"/>
          <w:szCs w:val="28"/>
        </w:rPr>
        <w:t xml:space="preserve">OF FRACTIONAL STANDARD, LLC</w:t>
      </w:r>
    </w:p>
    <w:p>
      <w:r>
        <w:t xml:space="preserve">This Amendment No. 1 (this “Amendment”) to the Limited Liability Company Operating Agreement of Fractional Standard, LLC, a Georgia limited liability company (the “Company”), dated April 15, 2026 (the “Operating Agreement”), is entered into as of ___________________, 2026, by and between Kevin Krull and Christopher Webb (collectively, the “Members”).</w:t>
      </w:r>
    </w:p>
    <w:p>
      <w:r>
        <w:t xml:space="preserve"/>
      </w:r>
    </w:p>
    <w:p>
      <w:pPr>
        <w:pStyle w:val="Heading1"/>
      </w:pPr>
      <w:r>
        <w:t xml:space="preserve">RECITALS</w:t>
      </w:r>
    </w:p>
    <w:p>
      <w:r>
        <w:t xml:space="preserve">WHEREAS, the Members executed the Operating Agreement on April 15, 2026, governing the affairs of the Company;</w:t>
      </w:r>
    </w:p>
    <w:p>
      <w:r>
        <w:t xml:space="preserve"/>
      </w:r>
    </w:p>
    <w:p>
      <w:r>
        <w:t xml:space="preserve">WHEREAS, Section 5.5(a) of the Operating Agreement establishes a flat monthly Guaranteed Payment of Five Thousand Dollars ($5,000.00) payable to the Managing Member, subject to a revenue-based trigger condition;</w:t>
      </w:r>
    </w:p>
    <w:p>
      <w:r>
        <w:t xml:space="preserve"/>
      </w:r>
    </w:p>
    <w:p>
      <w:r>
        <w:t xml:space="preserve">WHEREAS, the Members have determined that a sliding-scale Guaranteed Payment structure — consisting of a fixed monthly floor plus a variable component tied to Company revenue, subject to an annual cap — better aligns the Managing Member’s compensation with Company performance and preserves working capital during early-stage operations;</w:t>
      </w:r>
    </w:p>
    <w:p>
      <w:r>
        <w:t xml:space="preserve"/>
      </w:r>
    </w:p>
    <w:p>
      <w:r>
        <w:t xml:space="preserve">WHEREAS, the Guaranteed Payment shall continue to be characterized as a guaranteed payment to a partner within the meaning of Internal Revenue Code Section 707(c), consistent with Section 5.5(b) of the Operating Agreement, which provision remains in full force and effect;</w:t>
      </w:r>
    </w:p>
    <w:p>
      <w:r>
        <w:t xml:space="preserve"/>
      </w:r>
    </w:p>
    <w:p>
      <w:r>
        <w:t xml:space="preserve">WHEREAS, the Operating Agreement may be amended by Unanimous Written Consent of the Members pursuant to Section 11.2;</w:t>
      </w:r>
    </w:p>
    <w:p>
      <w:r>
        <w:t xml:space="preserve"/>
      </w:r>
    </w:p>
    <w:p>
      <w:r>
        <w:t xml:space="preserve">NOW, THEREFORE, in consideration of the mutual covenants set forth herein and other good and valuable consideration, the receipt and sufficiency of which are hereby acknowledged, the Members agree as follows:</w:t>
      </w:r>
    </w:p>
    <w:p>
      <w:r>
        <w:t xml:space="preserve"/>
      </w:r>
    </w:p>
    <w:p>
      <w:pPr>
        <w:pStyle w:val="Heading1"/>
      </w:pPr>
      <w:r>
        <w:t xml:space="preserve">AMENDMENT</w:t>
      </w:r>
    </w:p>
    <w:p>
      <w:pPr>
        <w:pStyle w:val="Heading2"/>
      </w:pPr>
      <w:r>
        <w:t xml:space="preserve">1. Amendment to Section 5.5(a)</w:t>
      </w:r>
    </w:p>
    <w:p>
      <w:r>
        <w:t xml:space="preserve">Section 5.5(a) of the Operating Agreement is hereby deleted in its entirety and replaced with the following:</w:t>
      </w:r>
    </w:p>
    <w:p>
      <w:r>
        <w:t xml:space="preserve"/>
      </w:r>
    </w:p>
    <w:p>
      <w:pPr>
        <w:spacing w:after="120" w:before="120"/>
        <w:ind w:left="720"/>
      </w:pPr>
      <w:r>
        <w:rPr>
          <w:b/>
          <w:bCs/>
          <w:highlight w:val="yellow"/>
          <w:highlightCs w:val="yellow"/>
        </w:rPr>
        <w:t xml:space="preserve">(a) Entitlement and Calculation. </w:t>
      </w:r>
      <w:r>
        <w:rPr>
          <w:highlight w:val="yellow"/>
          <w:highlightCs w:val="yellow"/>
        </w:rPr>
        <w:t xml:space="preserve">Commencing on the date the Company first achieves trailing-three-month gross revenue annualizing to Seventy-Five Thousand Dollars ($75,000) or more (calculated as the sum of gross revenue for the trailing three calendar months multiplied by four) (the “Trigger”), and continuing thereafter regardless of any subsequent fluctuation in Company revenue, the Managing Member shall be entitled to receive a monthly Guaranteed Payment calculated as follows:</w:t>
      </w:r>
    </w:p>
    <w:p>
      <w:pPr>
        <w:spacing w:after="60" w:before="60"/>
        <w:ind w:left="1080"/>
      </w:pPr>
      <w:r>
        <w:rPr>
          <w:b/>
          <w:bCs/>
          <w:highlight w:val="yellow"/>
          <w:highlightCs w:val="yellow"/>
        </w:rPr>
        <w:t xml:space="preserve">(i) Floor Component. </w:t>
      </w:r>
      <w:r>
        <w:rPr>
          <w:highlight w:val="yellow"/>
          <w:highlightCs w:val="yellow"/>
        </w:rPr>
        <w:t xml:space="preserve">A fixed monthly floor of Five Thousand Dollars ($5,000.00); plus</w:t>
      </w:r>
    </w:p>
    <w:p>
      <w:pPr>
        <w:spacing w:after="60" w:before="60"/>
        <w:ind w:left="1080"/>
      </w:pPr>
      <w:r>
        <w:rPr>
          <w:b/>
          <w:bCs/>
          <w:highlight w:val="yellow"/>
          <w:highlightCs w:val="yellow"/>
        </w:rPr>
        <w:t xml:space="preserve">(ii) Variable Component. </w:t>
      </w:r>
      <w:r>
        <w:rPr>
          <w:highlight w:val="yellow"/>
          <w:highlightCs w:val="yellow"/>
        </w:rPr>
        <w:t xml:space="preserve">Five percent (5%) of the amount, if any, by which the Company’s gross revenue for the applicable calendar month exceeds Six Thousand Two Hundred Fifty Dollars ($6,250.00), being one-twelfth (1/12) of the Seventy-Five Thousand Dollar ($75,000) annualized Trigger threshold; provided, however, that</w:t>
      </w:r>
    </w:p>
    <w:p>
      <w:pPr>
        <w:spacing w:after="120" w:before="60"/>
        <w:ind w:left="1080"/>
      </w:pPr>
      <w:r>
        <w:rPr>
          <w:b/>
          <w:bCs/>
          <w:highlight w:val="yellow"/>
          <w:highlightCs w:val="yellow"/>
        </w:rPr>
        <w:t xml:space="preserve">(iii) Annual Cap. </w:t>
      </w:r>
      <w:r>
        <w:rPr>
          <w:highlight w:val="yellow"/>
          <w:highlightCs w:val="yellow"/>
        </w:rPr>
        <w:t xml:space="preserve">The aggregate Guaranteed Payment payable to the Managing Member in any fiscal year shall not exceed Three Hundred Thousand Dollars ($300,000.00) (the “Annual Cap”). Once the Annual Cap has been reached in any fiscal year, no further Guaranteed Payment shall be payable for the remainder of that fiscal year. The Annual Cap shall reset at the beginning of each fiscal year.</w:t>
      </w:r>
    </w:p>
    <w:p>
      <w:pPr>
        <w:spacing w:after="120" w:before="60"/>
        <w:ind w:left="1080"/>
      </w:pPr>
      <w:r>
        <w:rPr>
          <w:b/>
          <w:bCs/>
          <w:highlight w:val="yellow"/>
          <w:highlightCs w:val="yellow"/>
        </w:rPr>
        <w:t xml:space="preserve">(iv) Sticky Trigger. </w:t>
      </w:r>
      <w:r>
        <w:rPr>
          <w:highlight w:val="yellow"/>
          <w:highlightCs w:val="yellow"/>
        </w:rPr>
        <w:t xml:space="preserve">Once the Trigger has been satisfied, the Managing Member’s entitlement to the Guaranteed Payment shall continue without interruption regardless of any subsequent decline in Company revenue, subject only to the suspension provisions of Section 5.5(d).</w:t>
      </w:r>
    </w:p>
    <w:p>
      <w:r>
        <w:t xml:space="preserve"/>
      </w:r>
    </w:p>
    <w:p>
      <w:pPr>
        <w:pStyle w:val="Heading2"/>
      </w:pPr>
      <w:r>
        <w:t xml:space="preserve">2. No Other Amendments</w:t>
      </w:r>
    </w:p>
    <w:p>
      <w:r>
        <w:t xml:space="preserve">Except as expressly amended hereby, the Operating Agreement shall remain in full force and effect in accordance with its terms. All provisions of the Operating Agreement not specifically amended by this Amendment, including without limitation Sections 5.5(b), 5.5(c), 5.5(d), and 5.5(e), are hereby ratified and confirmed.</w:t>
      </w:r>
    </w:p>
    <w:p>
      <w:pPr>
        <w:pStyle w:val="Heading2"/>
      </w:pPr>
      <w:r>
        <w:t xml:space="preserve">3. Defined Terms</w:t>
      </w:r>
    </w:p>
    <w:p>
      <w:r>
        <w:t xml:space="preserve">Capitalized terms used but not defined in this Amendment shall have the meanings ascribed to them in the Operating Agreement.</w:t>
      </w:r>
    </w:p>
    <w:p>
      <w:pPr>
        <w:pStyle w:val="Heading2"/>
      </w:pPr>
      <w:r>
        <w:t xml:space="preserve">4. Effective Date</w:t>
      </w:r>
    </w:p>
    <w:p>
      <w:r>
        <w:t xml:space="preserve">This Amendment shall be effective as of the date first written above.</w:t>
      </w:r>
    </w:p>
    <w:p>
      <w:pPr>
        <w:pStyle w:val="Heading2"/>
      </w:pPr>
      <w:r>
        <w:t xml:space="preserve">5. Counterparts and Electronic Signature</w:t>
      </w:r>
    </w:p>
    <w:p>
      <w:r>
        <w:t xml:space="preserve">This Amendment may be executed in any number of counterparts, each of which shall be deemed an original, and all of which together shall constitute one and the same instrument. Signatures delivered by electronic means (including, without limitation, by PDF or via electronic signature platform) shall have the same force and effect as original ink signatures.</w:t>
      </w:r>
    </w:p>
    <w:p>
      <w:pPr>
        <w:pStyle w:val="Heading2"/>
      </w:pPr>
      <w:r>
        <w:t xml:space="preserve">6. Governing Law</w:t>
      </w:r>
    </w:p>
    <w:p>
      <w:r>
        <w:t xml:space="preserve">This Amendment shall be governed by and construed in accordance with the laws of the State of Georgia, without regard to its conflict of laws principles, consistent with Section 12.7 of the Operating Agreement.</w:t>
      </w:r>
    </w:p>
    <w:p>
      <w:r>
        <w:t xml:space="preserve"/>
      </w:r>
    </w:p>
    <w:p>
      <w:r>
        <w:t xml:space="preserve"/>
      </w:r>
    </w:p>
    <w:p>
      <w:pPr>
        <w:pStyle w:val="Heading1"/>
      </w:pPr>
      <w:r>
        <w:t xml:space="preserve">WORKED EXAMPLES</w:t>
      </w:r>
    </w:p>
    <w:p>
      <w:r>
        <w:t xml:space="preserve">The following examples are provided for illustrative purposes only and are not binding contractual terms. In the event of any conflict between these examples and the operative language of Section 5.5(a) above, the operative language controls.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100"/>
        <w:gridCol w:w="1880"/>
        <w:gridCol w:w="1880"/>
      </w:tblGrid>
      <w:tr>
        <w:tc>
          <w:tcPr>
            <w:tcW w:type="dxa" w:w="1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rPr>
              <w:t xml:space="preserve">Scenario</w:t>
            </w:r>
          </w:p>
        </w:tc>
        <w:tc>
          <w:tcPr>
            <w:tcW w:type="dxa" w:w="21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rPr>
              <w:t xml:space="preserve">Monthly Revenue</w:t>
            </w:r>
          </w:p>
        </w:tc>
        <w:tc>
          <w:tcPr>
            <w:tcW w:type="dxa" w:w="21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rPr>
              <w:t xml:space="preserve">Calculation</w:t>
            </w:r>
          </w:p>
        </w:tc>
        <w:tc>
          <w:tcPr>
            <w:tcW w:type="dxa" w:w="188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rPr>
              <w:t xml:space="preserve">Monthly GP</w:t>
            </w:r>
          </w:p>
        </w:tc>
        <w:tc>
          <w:tcPr>
            <w:tcW w:type="dxa" w:w="188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rPr>
              <w:t xml:space="preserve">Notes</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Pre-trigger</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$5,000</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Trigger not yet met</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$0</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 GP payable</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Trigger month</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$25,000</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$5,000 + 5% × ($25,000 − $6,250) = $5,000 + $937.50</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$5,937.50</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Trigger now sticky</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Steady state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$100,000</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$5,000 + 5% × ($100,000 − $6,250) = $5,000 + $4,687.50</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$9,687.50</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Cap binding</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$500,000</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Calculated $5,000 + $24,687.50 = $29,687.50/mo, but $300K annual cap binds</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$25,000 (cap/12)</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Effective monthly when cap binds</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Revenue dip post-trigger</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$5,000</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$5,000 (floor) + 5% × max($0, $5,000 − $6,250) = $5,000 + $0</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$5,000</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Floor still payable; trigger sticky</w:t>
            </w:r>
          </w:p>
        </w:tc>
      </w:tr>
    </w:tbl>
    <w:p>
      <w:r>
        <w:br w:type="page"/>
      </w:r>
    </w:p>
    <w:p>
      <w:pPr>
        <w:pStyle w:val="Heading1"/>
      </w:pPr>
      <w:r>
        <w:t xml:space="preserve">SIGNATURES</w:t>
      </w:r>
    </w:p>
    <w:p>
      <w:r>
        <w:t xml:space="preserve">IN WITNESS WHEREOF, the undersigned have executed this Amendment No. 1 as of the date first written above.</w:t>
      </w:r>
    </w:p>
    <w:p>
      <w:r>
        <w:t xml:space="preserve"/>
      </w:r>
    </w:p>
    <w:p>
      <w:r>
        <w:t xml:space="preserve"/>
      </w:r>
    </w:p>
    <w:p>
      <w:r>
        <w:rPr>
          <w:b/>
          <w:bCs/>
        </w:rPr>
        <w:t xml:space="preserve">MEMBERS:</w:t>
      </w:r>
    </w:p>
    <w:p>
      <w:r>
        <w:t xml:space="preserve"/>
      </w:r>
    </w:p>
    <w:p>
      <w:r>
        <w:t xml:space="preserve"/>
      </w:r>
    </w:p>
    <w:p>
      <w:r>
        <w:t xml:space="preserve">_______________________________________</w:t>
      </w:r>
    </w:p>
    <w:p>
      <w:r>
        <w:rPr>
          <w:b/>
          <w:bCs/>
        </w:rPr>
        <w:t xml:space="preserve">Kevin Krull</w:t>
      </w:r>
    </w:p>
    <w:p>
      <w:r>
        <w:t xml:space="preserve">Managing Member</w:t>
      </w:r>
    </w:p>
    <w:p>
      <w:r>
        <w:t xml:space="preserve">Date: ____________________</w:t>
      </w:r>
    </w:p>
    <w:p>
      <w:r>
        <w:t xml:space="preserve"/>
      </w:r>
    </w:p>
    <w:p>
      <w:r>
        <w:t xml:space="preserve"/>
      </w:r>
    </w:p>
    <w:p>
      <w:r>
        <w:t xml:space="preserve"/>
      </w:r>
    </w:p>
    <w:p>
      <w:r>
        <w:t xml:space="preserve">_______________________________________</w:t>
      </w:r>
    </w:p>
    <w:p>
      <w:r>
        <w:rPr>
          <w:b/>
          <w:bCs/>
        </w:rPr>
        <w:t xml:space="preserve">Christopher Webb</w:t>
      </w:r>
    </w:p>
    <w:p>
      <w:r>
        <w:t xml:space="preserve">Member</w:t>
      </w:r>
    </w:p>
    <w:p>
      <w:r>
        <w:t xml:space="preserve">Date: 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Arial" w:cs="Arial" w:eastAsia="Arial" w:hAnsi="Arial"/>
      <w:b/>
      <w:bCs/>
      <w:color w:val="1F4E78"/>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1F4E7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2026-05-04T17:47:45.867Z</dcterms:created>
  <dcterms:modified xsi:type="dcterms:W3CDTF">2026-05-04T17:47:45.867Z</dcterms:modified>
</cp:coreProperties>
</file>

<file path=docProps/custom.xml><?xml version="1.0" encoding="utf-8"?>
<Properties xmlns="http://schemas.openxmlformats.org/officeDocument/2006/custom-properties" xmlns:vt="http://schemas.openxmlformats.org/officeDocument/2006/docPropsVTypes"/>
</file>