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C00000" w:sz="12"/>
          <w:bottom w:val="single" w:color="C00000" w:sz="12"/>
          <w:left w:val="single" w:color="C00000" w:sz="12"/>
          <w:right w:val="single" w:color="C00000" w:sz="12"/>
        </w:pBdr>
        <w:spacing w:after="240" w:before="60"/>
        <w:jc w:val="center"/>
      </w:pPr>
      <w:r>
        <w:rPr>
          <w:b/>
          <w:bCs/>
          <w:color w:val="C00000"/>
          <w:sz w:val="20"/>
          <w:szCs w:val="20"/>
        </w:rPr>
        <w:t xml:space="preserve">DRAFT — FOR ATTORNEY REVIEW. This is not a final or signed document. Both Members must engage qualified legal counsel before execution.</w:t>
      </w:r>
    </w:p>
    <w:p>
      <w:pPr>
        <w:pStyle w:val="Title"/>
        <w:jc w:val="center"/>
      </w:pPr>
      <w:r>
        <w:rPr>
          <w:b/>
          <w:bCs/>
          <w:color w:val="1F4E78"/>
          <w:sz w:val="36"/>
          <w:szCs w:val="36"/>
        </w:rPr>
        <w:t xml:space="preserve">UNANIMOUS WRITTEN CONSENT OF THE MEMBERS</w:t>
      </w:r>
    </w:p>
    <w:p>
      <w:pPr>
        <w:spacing w:after="240"/>
        <w:jc w:val="center"/>
      </w:pPr>
      <w:r>
        <w:rPr>
          <w:b/>
          <w:bCs/>
          <w:color w:val="1F4E78"/>
          <w:sz w:val="28"/>
          <w:szCs w:val="28"/>
        </w:rPr>
        <w:t xml:space="preserve">OF FRACTIONAL STANDARD, LLC</w:t>
      </w:r>
    </w:p>
    <w:p>
      <w:pPr>
        <w:spacing w:after="360"/>
        <w:jc w:val="center"/>
      </w:pPr>
      <w:r>
        <w:rPr>
          <w:b/>
          <w:bCs/>
          <w:color w:val="1F4E78"/>
          <w:sz w:val="24"/>
          <w:szCs w:val="24"/>
        </w:rPr>
        <w:t xml:space="preserve">Distribution Policy Resolution</w:t>
      </w:r>
    </w:p>
    <w:p>
      <w:r>
        <w:t xml:space="preserve">The undersigned, being all of the Members of Fractional Standard, LLC, a Georgia limited liability company (the “Company”), acting by Unanimous Written Consent in lieu of a meeting pursuant to Section 11.3 of the Limited Liability Company Operating Agreement of the Company dated April 15, 2026 (the “Operating Agreement”), hereby adopt the following resolutions effective as of ___________________, 2026:</w:t>
      </w:r>
    </w:p>
    <w:p>
      <w:r>
        <w:t xml:space="preserve"/>
      </w:r>
    </w:p>
    <w:p>
      <w:pPr>
        <w:pStyle w:val="Heading1"/>
      </w:pPr>
      <w:r>
        <w:t xml:space="preserve">RECITALS</w:t>
      </w:r>
    </w:p>
    <w:p>
      <w:r>
        <w:t xml:space="preserve">WHEREAS, Section 5.2 of the Operating Agreement provides that discretionary distributions of Available Cash to the Members shall be made at such times and in such amounts as determined by Unanimous Vote of the Members;</w:t>
      </w:r>
    </w:p>
    <w:p>
      <w:r>
        <w:t xml:space="preserve"/>
      </w:r>
    </w:p>
    <w:p>
      <w:r>
        <w:t xml:space="preserve">WHEREAS, the Members desire to adopt a standing distribution policy that balances (i) the personal cash needs of the Members against (ii) the working-capital and operating-reserve needs of the Company;</w:t>
      </w:r>
    </w:p>
    <w:p>
      <w:r>
        <w:t xml:space="preserve"/>
      </w:r>
    </w:p>
    <w:p>
      <w:r>
        <w:t xml:space="preserve">WHEREAS, the Members desire to set a graduated distribution rate that increases the share of Available Cash distributed to Members once the Company has accumulated a baseline operating reserve;</w:t>
      </w:r>
    </w:p>
    <w:p>
      <w:r>
        <w:t xml:space="preserve"/>
      </w:r>
    </w:p>
    <w:p>
      <w:r>
        <w:t xml:space="preserve">WHEREAS, the Members further desire to establish a soft cap on Cumulative Retained Cash to prevent the indefinite accumulation of cash inside the Company in the absence of a defined business purpose, while preserving the ability to retain additional cash for specific purposes by mutual written agreement of the Members;</w:t>
      </w:r>
    </w:p>
    <w:p>
      <w:r>
        <w:t xml:space="preserve"/>
      </w:r>
    </w:p>
    <w:p>
      <w:r>
        <w:t xml:space="preserve">WHEREAS, this Resolution is intended to operate within and supplement, not amend, the Operating Agreement, and may be modified, suspended, or replaced at any time by a subsequent Unanimous Written Consent of the Members;</w:t>
      </w:r>
    </w:p>
    <w:p>
      <w:r>
        <w:t xml:space="preserve"/>
      </w:r>
    </w:p>
    <w:p>
      <w:r>
        <w:t xml:space="preserve">NOW, THEREFORE, BE IT RESOLVED:</w:t>
      </w:r>
    </w:p>
    <w:p>
      <w:r>
        <w:t xml:space="preserve"/>
      </w:r>
    </w:p>
    <w:p>
      <w:pPr>
        <w:pStyle w:val="Heading1"/>
      </w:pPr>
      <w:r>
        <w:t xml:space="preserve">RESOLUTIONS</w:t>
      </w:r>
    </w:p>
    <w:p>
      <w:pPr>
        <w:pStyle w:val="Heading2"/>
      </w:pPr>
      <w:r>
        <w:t xml:space="preserve">1. Definitions</w:t>
      </w:r>
    </w:p>
    <w:p>
      <w:r>
        <w:t xml:space="preserve">Capitalized terms used but not defined in this Resolution shall have the meanings ascribed to them in the Operating Agreement. As used herein:</w:t>
      </w:r>
    </w:p>
    <w:p>
      <w:pPr>
        <w:pStyle w:val="ListParagraph"/>
        <w:numPr>
          <w:ilvl w:val="0"/>
          <w:numId w:val="2"/>
        </w:numPr>
      </w:pPr>
      <w:r>
        <w:rPr>
          <w:b/>
          <w:bCs/>
        </w:rPr>
        <w:t xml:space="preserve">“Available Cash” </w:t>
      </w:r>
      <w:r>
        <w:t xml:space="preserve">means, for any fiscal period, the Company’s gross cash receipts for that period, less (i) ordinary operating expenses, (ii) the Guaranteed Payment payable under Section 5.5 of the Operating Agreement (as amended), and (iii) Tax Distributions payable under Section 5.6 of the Operating Agreement.</w:t>
      </w:r>
    </w:p>
    <w:p>
      <w:pPr>
        <w:pStyle w:val="ListParagraph"/>
        <w:numPr>
          <w:ilvl w:val="0"/>
          <w:numId w:val="2"/>
        </w:numPr>
      </w:pPr>
      <w:r>
        <w:rPr>
          <w:b/>
          <w:bCs/>
        </w:rPr>
        <w:t xml:space="preserve">“Cumulative Retained Cash” </w:t>
      </w:r>
      <w:r>
        <w:t xml:space="preserve">means the aggregate Available Cash of the Company that has been retained (i.e., not distributed) since the formation of the Company, measured as of any fiscal year-end.</w:t>
      </w:r>
    </w:p>
    <w:p>
      <w:pPr>
        <w:pStyle w:val="ListParagraph"/>
        <w:numPr>
          <w:ilvl w:val="0"/>
          <w:numId w:val="2"/>
        </w:numPr>
      </w:pPr>
      <w:r>
        <w:rPr>
          <w:b/>
          <w:bCs/>
        </w:rPr>
        <w:t xml:space="preserve">“Working Capital Threshold” </w:t>
      </w:r>
      <w:r>
        <w:t xml:space="preserve">means One Hundred Sixty-Four Thousand Dollars ($164,000), being approximately two (2) months of fully-loaded operating costs at projected steady-state scale.</w:t>
      </w:r>
    </w:p>
    <w:p>
      <w:pPr>
        <w:pStyle w:val="ListParagraph"/>
        <w:numPr>
          <w:ilvl w:val="0"/>
          <w:numId w:val="2"/>
        </w:numPr>
      </w:pPr>
      <w:r>
        <w:rPr>
          <w:b/>
          <w:bCs/>
        </w:rPr>
        <w:t xml:space="preserve">“Soft-Cap Threshold” </w:t>
      </w:r>
      <w:r>
        <w:t xml:space="preserve">means Two Hundred Fifty Thousand Dollars ($250,000), representing the maximum level of Cumulative Retained Cash that the Members consider appropriate to hold inside the Company in the absence of an Earmarked Purpose.</w:t>
      </w:r>
    </w:p>
    <w:p>
      <w:pPr>
        <w:pStyle w:val="ListParagraph"/>
        <w:numPr>
          <w:ilvl w:val="0"/>
          <w:numId w:val="2"/>
        </w:numPr>
      </w:pPr>
      <w:r>
        <w:rPr>
          <w:b/>
          <w:bCs/>
        </w:rPr>
        <w:t xml:space="preserve">“Earmarked Funds” </w:t>
      </w:r>
      <w:r>
        <w:t xml:space="preserve">means any portion of Cumulative Retained Cash that, prior to a fiscal year-end on which the Soft-Cap Threshold would otherwise be tested, the Members have agreed in a Qualifying Written Agreement to retain inside the Company for a specified business purpose, including without limitation a planned key hire, capital investment, technology buildout, marketing program, or strategic reserve. Earmarked Funds shall be excluded from Cumulative Retained Cash for purposes of the Soft-Cap Distribution under Section 5 of this Resolution but shall remain part of Cumulative Retained Cash for purposes of the Phase 1 / Phase 2 trigger under Sections 2 through 4.</w:t>
      </w:r>
    </w:p>
    <w:p>
      <w:pPr>
        <w:pStyle w:val="ListParagraph"/>
        <w:numPr>
          <w:ilvl w:val="0"/>
          <w:numId w:val="2"/>
        </w:numPr>
      </w:pPr>
      <w:r>
        <w:rPr>
          <w:b/>
          <w:bCs/>
        </w:rPr>
        <w:t xml:space="preserve">“Qualifying Written Agreement” </w:t>
      </w:r>
      <w:r>
        <w:t xml:space="preserve">means a writing signed (including by electronic signature or by reply-to-confirm email exchange) by both Members that (i) specifies the dollar amount of Cumulative Retained Cash being earmarked, (ii) describes the specific business purpose for which the funds are being retained, (iii) is dated, and (iv) is retained with the books and records of the Company. A Qualifying Written Agreement does not require the formality of a Unanimous Written Consent of the Members but shall constitute a binding agreement between the Members for purposes of this Resolution.</w:t>
      </w:r>
    </w:p>
    <w:p>
      <w:pPr>
        <w:pStyle w:val="Heading2"/>
      </w:pPr>
      <w:r>
        <w:t xml:space="preserve">2. Distribution Rate — Phase 1 (Pre-Threshold)</w:t>
      </w:r>
    </w:p>
    <w:p>
      <w:r>
        <w:t xml:space="preserve">Until the end of any fiscal year in which the Company’s Cumulative Retained Cash first equals or exceeds the Working Capital Threshold, discretionary distributions under Section 5.2 of the Operating Agreement shall be made at the rate of seventy percent (70%) of Available Cash, with the remaining thirty percent (30%) retained by the Company as working capital reserves.</w:t>
      </w:r>
    </w:p>
    <w:p>
      <w:pPr>
        <w:pStyle w:val="Heading2"/>
      </w:pPr>
      <w:r>
        <w:t xml:space="preserve">3. Distribution Rate — Phase 2 (Post-Threshold)</w:t>
      </w:r>
    </w:p>
    <w:p>
      <w:r>
        <w:t xml:space="preserve">Beginning with the first fiscal period that follows the fiscal year-end at which Cumulative Retained Cash first equals or exceeds the Working Capital Threshold, discretionary distributions under Section 5.2 shall be made at the rate of ninety percent (90%) of Available Cash, with the remaining ten percent (10%) retained by the Company. Once Phase 2 has been triggered, the ninety percent (90%) rate shall continue in effect for all subsequent fiscal periods unless modified by a subsequent Unanimous Written Consent of the Members.</w:t>
      </w:r>
    </w:p>
    <w:p>
      <w:pPr>
        <w:pStyle w:val="Heading2"/>
      </w:pPr>
      <w:r>
        <w:t xml:space="preserve">4. Sticky Trigger</w:t>
      </w:r>
    </w:p>
    <w:p>
      <w:r>
        <w:t xml:space="preserve">Once the Working Capital Threshold has been satisfied as of a fiscal year-end and Phase 2 distributions have commenced, the Phase 2 rate shall remain in effect even if Cumulative Retained Cash subsequently falls below the Working Capital Threshold. The Members may elect to revert to a lower rate only by subsequent Unanimous Written Consent.</w:t>
      </w:r>
    </w:p>
    <w:p>
      <w:pPr>
        <w:pStyle w:val="Heading2"/>
      </w:pPr>
      <w:r>
        <w:t xml:space="preserve">5. Soft-Cap Distribution</w:t>
      </w:r>
    </w:p>
    <w:p>
      <w:r>
        <w:t xml:space="preserve">As of each fiscal year-end, the Managing Member shall determine whether the Company’s Cumulative Retained Cash, reduced by any Earmarked Funds then outstanding, exceeds the Soft-Cap Threshold. If so, the amount of such excess (the “Soft-Cap Excess”) shall be distributed to the Members on a pro rata basis as part of, and in addition to, the discretionary distribution made for that fiscal year. The Soft-Cap Excess shall be distributed in the same Phase 1 or Phase 2 distribution event in which the regular percentage-based distribution for that fiscal year is paid; for the avoidance of doubt, the Soft-Cap Excess is not subject to the Phase 1 70% / 30% or Phase 2 90% / 10% allocation, but is instead distributed in full to the Members pro rata.</w:t>
      </w:r>
    </w:p>
    <w:p>
      <w:r>
        <w:t xml:space="preserve"/>
      </w:r>
    </w:p>
    <w:p>
      <w:r>
        <w:t xml:space="preserve">Earmarked Funds shall be excluded from the calculation of the Soft-Cap Excess only if and to the extent that a Qualifying Written Agreement covering such funds is in effect as of the fiscal year-end on which the Soft-Cap Threshold is being tested. The Members shall review all then-outstanding Earmarked Funds at least annually and may, by Qualifying Written Agreement, modify, release, or extend any earmark; any Earmarked Funds released shall thereafter count toward Cumulative Retained Cash for purposes of the Soft-Cap Distribution test.</w:t>
      </w:r>
    </w:p>
    <w:p>
      <w:r>
        <w:t xml:space="preserve"/>
      </w:r>
    </w:p>
    <w:p>
      <w:r>
        <w:t xml:space="preserve">The Soft-Cap Distribution mechanism is intended to operate independently of, and in addition to, the Phase 1 / Phase 2 graduated distribution rates. By way of illustration: in a fiscal year in which Phase 2 is in effect, 90% of Available Cash is distributed and 10% is retained; if, after such retention, Cumulative Retained Cash (net of Earmarked Funds) exceeds the Soft-Cap Threshold, the excess is also distributed in the same distribution event.</w:t>
      </w:r>
    </w:p>
    <w:p>
      <w:pPr>
        <w:pStyle w:val="Heading2"/>
      </w:pPr>
      <w:r>
        <w:t xml:space="preserve">6. Pro Rata Allocation</w:t>
      </w:r>
    </w:p>
    <w:p>
      <w:r>
        <w:t xml:space="preserve">All distributions made under this Resolution shall be allocated among the Members pro rata in proportion to each Member’s vested Unit ownership at the time of distribution, consistent with Section 5.3 of the Operating Agreement.</w:t>
      </w:r>
    </w:p>
    <w:p>
      <w:pPr>
        <w:pStyle w:val="Heading2"/>
      </w:pPr>
      <w:r>
        <w:t xml:space="preserve">7. Coordination with Tax Distributions</w:t>
      </w:r>
    </w:p>
    <w:p>
      <w:r>
        <w:t xml:space="preserve">Nothing in this Resolution shall modify or limit the mandatory Tax Distributions payable under Section 5.6 of the Operating Agreement, which shall continue to be calculated at the Tax Distribution Rate of forty percent (40%) of each Member’s allocable share of Company taxable income and made prior to any discretionary distributions under this Resolution.</w:t>
      </w:r>
    </w:p>
    <w:p>
      <w:pPr>
        <w:pStyle w:val="Heading2"/>
      </w:pPr>
      <w:r>
        <w:t xml:space="preserve">8. Coordination with Guaranteed Payment</w:t>
      </w:r>
    </w:p>
    <w:p>
      <w:r>
        <w:t xml:space="preserve">The Guaranteed Payment payable to the Managing Member under Section 5.5 of the Operating Agreement (as amended by Amendment No. 1) is treated as an operating expense of the Company and is paid prior to the calculation of Available Cash. Nothing in this Resolution shall reduce or limit the Guaranteed Payment.</w:t>
      </w:r>
    </w:p>
    <w:p>
      <w:pPr>
        <w:pStyle w:val="Heading2"/>
      </w:pPr>
      <w:r>
        <w:t xml:space="preserve">9. Limitation — Solvency</w:t>
      </w:r>
    </w:p>
    <w:p>
      <w:r>
        <w:t xml:space="preserve">Notwithstanding any provision of this Resolution, no distribution shall be made to the extent such distribution would render the Company unable to pay its debts as they become due in the ordinary course of business or would otherwise violate Section 5.4 of the Operating Agreement or applicable law.</w:t>
      </w:r>
    </w:p>
    <w:p>
      <w:pPr>
        <w:pStyle w:val="Heading2"/>
      </w:pPr>
      <w:r>
        <w:t xml:space="preserve">10. Discretion of Managing Member — Timing</w:t>
      </w:r>
    </w:p>
    <w:p>
      <w:r>
        <w:t xml:space="preserve">The Managing Member shall have discretion as to the timing and frequency of discretionary distributions made pursuant to this Resolution, provided that distributions shall be made no less frequently than annually following the close of each fiscal year and reasonable preparation of the Company’s annual financial statements.</w:t>
      </w:r>
    </w:p>
    <w:p>
      <w:pPr>
        <w:pStyle w:val="Heading2"/>
      </w:pPr>
      <w:r>
        <w:t xml:space="preserve">11. Modification</w:t>
      </w:r>
    </w:p>
    <w:p>
      <w:r>
        <w:t xml:space="preserve">This Resolution may be amended, modified, suspended, or replaced at any time by subsequent Unanimous Written Consent of the Members. The Members shall review this Resolution no less frequently than annually.</w:t>
      </w:r>
    </w:p>
    <w:p>
      <w:pPr>
        <w:pStyle w:val="Heading2"/>
      </w:pPr>
      <w:r>
        <w:t xml:space="preserve">12. Effective Date</w:t>
      </w:r>
    </w:p>
    <w:p>
      <w:r>
        <w:t xml:space="preserve">This Resolution shall be effective as of the date first written above and shall apply to all distributions made on or after such effective date.</w:t>
      </w:r>
    </w:p>
    <w:p>
      <w:r>
        <w:t xml:space="preserve"/>
      </w:r>
    </w:p>
    <w:p>
      <w:pPr>
        <w:pStyle w:val="Heading1"/>
      </w:pPr>
      <w:r>
        <w:t xml:space="preserve">ILLUSTRATIVE APPLICATION</w:t>
      </w:r>
    </w:p>
    <w:p>
      <w:r>
        <w:t xml:space="preserve">The following table illustrates the operation of this Resolution in conjunction with the Company’s current 5-year financial projections, assuming no Earmarked Funds are designated by the Members. These figures are illustrative only and not binding.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80"/>
        <w:gridCol w:w="1500"/>
        <w:gridCol w:w="1580"/>
        <w:gridCol w:w="3000"/>
      </w:tblGrid>
      <w:tr>
        <w:tc>
          <w:tcPr>
            <w:tcW w:type="dxa" w:w="12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rPr>
              <w:t xml:space="preserve">Fiscal Year</w:t>
            </w:r>
          </w:p>
        </w:tc>
        <w:tc>
          <w:tcPr>
            <w:tcW w:type="dxa" w:w="208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rPr>
              <w:t xml:space="preserve">Pre-Soft-Cap Retained Cash</w:t>
            </w:r>
          </w:p>
        </w:tc>
        <w:tc>
          <w:tcPr>
            <w:tcW w:type="dxa" w:w="15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rPr>
              <w:t xml:space="preserve">Soft-Cap Excess Distributed</w:t>
            </w:r>
          </w:p>
        </w:tc>
        <w:tc>
          <w:tcPr>
            <w:tcW w:type="dxa" w:w="158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rPr>
              <w:t xml:space="preserve">Post-Soft-Cap Retained</w:t>
            </w:r>
          </w:p>
        </w:tc>
        <w:tc>
          <w:tcPr>
            <w:tcW w:type="dxa" w:w="30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rPr>
              <w:t xml:space="preserve">Phase / Status</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Year 1 (FY26)</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~$2,000</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$0</w:t>
            </w:r>
          </w:p>
        </w:tc>
        <w:tc>
          <w:tcPr>
            <w:tcW w:type="dxa" w:w="15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~$2,000</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Phase 1 (70% / 30%)</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Year 2 (FY27)</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~$50,000</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$0</w:t>
            </w:r>
          </w:p>
        </w:tc>
        <w:tc>
          <w:tcPr>
            <w:tcW w:type="dxa" w:w="15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~$50,000</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Phase 1 (70% / 30%)</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Year 3 (FY28)</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~$138,000</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$0</w:t>
            </w:r>
          </w:p>
        </w:tc>
        <w:tc>
          <w:tcPr>
            <w:tcW w:type="dxa" w:w="15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~$138,000</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Phase 1 (70% / 30%)</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Year 4 (FY29)</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~$282,000</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color w:val="00733B"/>
              </w:rPr>
              <w:t xml:space="preserve">~$32,000</w:t>
            </w:r>
          </w:p>
        </w:tc>
        <w:tc>
          <w:tcPr>
            <w:tcW w:type="dxa" w:w="15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$250,000</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Phase 2 triggered ($164K crossed); soft cap fires ($250K crossed)</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Year 5+ (FY30+)</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~$280,000</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color w:val="00733B"/>
              </w:rPr>
              <w:t xml:space="preserve">~$30,000</w:t>
            </w:r>
          </w:p>
        </w:tc>
        <w:tc>
          <w:tcPr>
            <w:tcW w:type="dxa" w:w="15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$250,000</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Phase 2 (sticky, 90% / 10%); soft cap fires annually (steady state)</w:t>
            </w:r>
          </w:p>
        </w:tc>
      </w:tr>
    </w:tbl>
    <w:p>
      <w:r>
        <w:t xml:space="preserve"/>
      </w:r>
    </w:p>
    <w:p>
      <w:r>
        <w:t xml:space="preserve">Pre-Soft-Cap Retained Cash represents Cumulative Retained Cash measured at fiscal year-end after application of the Phase 1 70% / 30% or Phase 2 90% / 10% rate but before application of the Soft-Cap Distribution under Section 5. The Soft-Cap Excess column shows the additional amount distributed pro rata to the Members in the same distribution event. If the Members have designated Earmarked Funds covering all or a portion of the excess pursuant to Section 1, the Soft-Cap Excess is reduced accordingly.</w:t>
      </w:r>
    </w:p>
    <w:p>
      <w:r>
        <w:br w:type="page"/>
      </w:r>
    </w:p>
    <w:p>
      <w:pPr>
        <w:pStyle w:val="Heading1"/>
      </w:pPr>
      <w:r>
        <w:t xml:space="preserve">SIGNATURES</w:t>
      </w:r>
    </w:p>
    <w:p>
      <w:r>
        <w:t xml:space="preserve">IN WITNESS WHEREOF, the undersigned have executed this Unanimous Written Consent as of the date first written above.</w:t>
      </w:r>
    </w:p>
    <w:p>
      <w:r>
        <w:t xml:space="preserve"/>
      </w:r>
    </w:p>
    <w:p>
      <w:r>
        <w:t xml:space="preserve"/>
      </w:r>
    </w:p>
    <w:p>
      <w:r>
        <w:rPr>
          <w:b/>
          <w:bCs/>
        </w:rPr>
        <w:t xml:space="preserve">MEMBERS:</w:t>
      </w:r>
    </w:p>
    <w:p>
      <w:r>
        <w:t xml:space="preserve"/>
      </w:r>
    </w:p>
    <w:p>
      <w:r>
        <w:t xml:space="preserve"/>
      </w:r>
    </w:p>
    <w:p>
      <w:r>
        <w:t xml:space="preserve">_______________________________________</w:t>
      </w:r>
    </w:p>
    <w:p>
      <w:r>
        <w:rPr>
          <w:b/>
          <w:bCs/>
        </w:rPr>
        <w:t xml:space="preserve">Kevin Krull</w:t>
      </w:r>
    </w:p>
    <w:p>
      <w:r>
        <w:t xml:space="preserve">Managing Member</w:t>
      </w:r>
    </w:p>
    <w:p>
      <w:r>
        <w:t xml:space="preserve">Date: ____________________</w:t>
      </w:r>
    </w:p>
    <w:p>
      <w:r>
        <w:t xml:space="preserve"/>
      </w:r>
    </w:p>
    <w:p>
      <w:r>
        <w:t xml:space="preserve"/>
      </w:r>
    </w:p>
    <w:p>
      <w:r>
        <w:t xml:space="preserve"/>
      </w:r>
    </w:p>
    <w:p>
      <w:r>
        <w:t xml:space="preserve">_______________________________________</w:t>
      </w:r>
    </w:p>
    <w:p>
      <w:r>
        <w:rPr>
          <w:b/>
          <w:bCs/>
        </w:rPr>
        <w:t xml:space="preserve">Christopher Webb</w:t>
      </w:r>
    </w:p>
    <w:p>
      <w:r>
        <w:t xml:space="preserve">Member</w:t>
      </w:r>
    </w:p>
    <w:p>
      <w:r>
        <w:t xml:space="preserve">Date: ____________________</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240"/>
      <w:jc w:val="center"/>
    </w:pPr>
    <w:rPr>
      <w:rFonts w:ascii="Arial" w:cs="Arial" w:eastAsia="Arial" w:hAnsi="Arial"/>
      <w:b/>
      <w:bCs/>
      <w:color w:val="1F4E78"/>
      <w:sz w:val="36"/>
      <w:szCs w:val="36"/>
    </w:rPr>
  </w:style>
  <w:style w:type="paragraph" w:styleId="Heading1">
    <w:name w:val="Heading 1"/>
    <w:basedOn w:val="Normal"/>
    <w:next w:val="Normal"/>
    <w:qFormat/>
    <w:pPr>
      <w:spacing w:after="180" w:before="360"/>
      <w:outlineLvl w:val="0"/>
    </w:pPr>
    <w:rPr>
      <w:rFonts w:ascii="Arial" w:cs="Arial" w:eastAsia="Arial" w:hAnsi="Arial"/>
      <w:b/>
      <w:bCs/>
      <w:color w:val="1F4E78"/>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F4E78"/>
      <w:sz w:val="24"/>
      <w:szCs w:val="24"/>
    </w:rPr>
  </w:style>
  <w:style w:type="paragraph" w:styleId="Heading3">
    <w:name w:val="Heading 3"/>
    <w:basedOn w:val="Normal"/>
    <w:next w:val="Normal"/>
    <w:qFormat/>
    <w:pPr>
      <w:spacing w:after="80" w:before="18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2026-05-05T14:47:14.361Z</dcterms:created>
  <dcterms:modified xsi:type="dcterms:W3CDTF">2026-05-05T14:47:14.385Z</dcterms:modified>
</cp:coreProperties>
</file>

<file path=docProps/custom.xml><?xml version="1.0" encoding="utf-8"?>
<Properties xmlns="http://schemas.openxmlformats.org/officeDocument/2006/custom-properties" xmlns:vt="http://schemas.openxmlformats.org/officeDocument/2006/docPropsVTypes"/>
</file>