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Fractional Standard · MSA Draft · v1.1 · FOR ATTORNEY REVIEW ONLY</w:t>
      </w:r>
    </w:p>
    <w:p>
      <w:pPr>
        <w:pStyle w:val="BodyText"/>
      </w:pPr>
      <w:r>
        <w:rPr>
          <w:bCs/>
          <w:b/>
        </w:rPr>
        <w:t xml:space="preserve">FRACTIONAL STANDARD</w:t>
      </w:r>
    </w:p>
    <w:p>
      <w:pPr>
        <w:pStyle w:val="BodyText"/>
      </w:pPr>
      <w:r>
        <w:rPr>
          <w:bCs/>
          <w:b/>
        </w:rPr>
        <w:t xml:space="preserve">MASTER SERVICES AGREEMENT</w:t>
      </w:r>
    </w:p>
    <w:p>
      <w:pPr>
        <w:pStyle w:val="BodyText"/>
      </w:pPr>
      <w:r>
        <w:rPr>
          <w:iCs/>
          <w:i/>
        </w:rPr>
        <w:t xml:space="preserve">(Client ↔ Fractional Standard)</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DRAFT — FOR ATTORNEY REVIEW ONLY</w:t>
            </w:r>
            <w:r>
              <w:t xml:space="preserve"> *Not for client signature.</w:t>
            </w:r>
          </w:p>
        </w:tc>
      </w:tr>
      <w:tr>
        <w:tc>
          <w:tcPr/>
          <w:p>
            <w:pPr>
              <w:pStyle w:val="Compact"/>
              <w:jc w:val="left"/>
            </w:pPr>
            <w:r>
              <w:t xml:space="preserve">Pre-review draft subject to change.*</w:t>
            </w:r>
          </w:p>
        </w:tc>
      </w:tr>
    </w:tbl>
    <w:p>
      <w:r>
        <w:pict>
          <v:rect style="width:0;height:1.5pt" o:hralign="center" o:hrstd="t" o:hr="t"/>
        </w:pic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DOCUMENT METADATA</w:t>
            </w:r>
            <w:r>
              <w:t xml:space="preserve"> </w:t>
            </w:r>
            <w:r>
              <w:rPr>
                <w:bCs/>
                <w:b/>
              </w:rPr>
              <w:t xml:space="preserve">Version:</w:t>
            </w:r>
            <w:r>
              <w:t xml:space="preserve"> v1.1 DRAFT (updated with Conversion</w:t>
            </w:r>
          </w:p>
        </w:tc>
      </w:tr>
      <w:tr>
        <w:tc>
          <w:tcPr/>
          <w:p>
            <w:pPr>
              <w:pStyle w:val="Compact"/>
              <w:jc w:val="left"/>
            </w:pPr>
            <w:r>
              <w:t xml:space="preserve">Fee Policy and Direct-Hire Accommodation Policy) </w:t>
            </w:r>
            <w:r>
              <w:rPr>
                <w:bCs/>
                <w:b/>
              </w:rPr>
              <w:t xml:space="preserve">Draft Date:</w:t>
            </w:r>
            <w:r>
              <w:t xml:space="preserve"> May 4,</w:t>
            </w:r>
          </w:p>
        </w:tc>
      </w:tr>
      <w:tr>
        <w:tc>
          <w:tcPr/>
          <w:p>
            <w:pPr>
              <w:pStyle w:val="Compact"/>
              <w:jc w:val="left"/>
            </w:pPr>
            <w:r>
              <w:t xml:space="preserve">2026 </w:t>
            </w:r>
            <w:r>
              <w:rPr>
                <w:bCs/>
                <w:b/>
              </w:rPr>
              <w:t xml:space="preserve">Owner:</w:t>
            </w:r>
            <w:r>
              <w:t xml:space="preserve"> Kevin Krull </w:t>
            </w:r>
            <w:r>
              <w:rPr>
                <w:bCs/>
                <w:b/>
              </w:rPr>
              <w:t xml:space="preserve">Status:</w:t>
            </w:r>
            <w:r>
              <w:t xml:space="preserve"> Draft — awaiting business</w:t>
            </w:r>
          </w:p>
        </w:tc>
      </w:tr>
      <w:tr>
        <w:tc>
          <w:tcPr/>
          <w:p>
            <w:pPr>
              <w:pStyle w:val="Compact"/>
              <w:jc w:val="left"/>
            </w:pPr>
            <w:r>
              <w:t xml:space="preserve">decisions (Appendix F) and attorney review </w:t>
            </w:r>
            <w:r>
              <w:rPr>
                <w:bCs/>
                <w:b/>
              </w:rPr>
              <w:t xml:space="preserve">Related Docs:</w:t>
            </w:r>
            <w:r>
              <w:t xml:space="preserve"> Conversion</w:t>
            </w:r>
          </w:p>
        </w:tc>
      </w:tr>
      <w:tr>
        <w:tc>
          <w:tcPr/>
          <w:p>
            <w:pPr>
              <w:pStyle w:val="Compact"/>
              <w:jc w:val="left"/>
            </w:pPr>
            <w:r>
              <w:t xml:space="preserve">Fee Policy, Direct-Hire Accommodation Policy, OA Amendment No. 1,</w:t>
            </w:r>
          </w:p>
        </w:tc>
      </w:tr>
      <w:tr>
        <w:tc>
          <w:tcPr/>
          <w:p>
            <w:pPr>
              <w:pStyle w:val="Compact"/>
              <w:jc w:val="left"/>
            </w:pPr>
            <w:r>
              <w:t xml:space="preserve">Distribution Policy Resolution</w:t>
            </w:r>
          </w:p>
        </w:tc>
      </w:tr>
    </w:tbl>
    <w:p>
      <w:r>
        <w:pict>
          <v:rect style="width:0;height:1.5pt" o:hralign="center" o:hrstd="t" o:hr="t"/>
        </w:pict>
      </w:r>
    </w:p>
    <w:p>
      <w:pPr>
        <w:pStyle w:val="FirstParagraph"/>
      </w:pPr>
      <w:r>
        <w:rPr>
          <w:bCs/>
          <w:b/>
        </w:rPr>
        <w:t xml:space="preserve">CHANGES IN v1.1</w:t>
      </w:r>
      <w:r>
        <w:t xml:space="preserve"> ==Sections highlighted with == markers indicate updates from v1.0. Major changes:== </w:t>
      </w:r>
      <w:r>
        <w:rPr>
          <w:bCs/>
          <w:b/>
          <w:highlight w:val="yellow"/>
        </w:rPr>
        <w:t xml:space="preserve">(1)</w:t>
      </w:r>
      <w:r>
        <w:rPr>
          <w:highlight w:val="yellow"/>
        </w:rPr>
        <w:t xml:space="preserve"> Activation Fee removed entirely — Section 4 deleted, Exhibit C deleted, all references throughout removed.</w:t>
      </w:r>
      <w:r>
        <w:t xml:space="preserve"> </w:t>
      </w:r>
      <w:r>
        <w:rPr>
          <w:bCs/>
          <w:b/>
          <w:highlight w:val="yellow"/>
        </w:rPr>
        <w:t xml:space="preserve">(2)</w:t>
      </w:r>
      <w:r>
        <w:rPr>
          <w:highlight w:val="yellow"/>
        </w:rPr>
        <w:t xml:space="preserve"> Section 9.3 — conversion fee replaced with 4-tier tenure-based structure (20%/17%/13%/10%); 3-Month Minimum Buyout and 12-month Tail Period defined in Exhibit D.</w:t>
      </w:r>
      <w:r>
        <w:t xml:space="preserve"> </w:t>
      </w:r>
      <w:r>
        <w:rPr>
          <w:bCs/>
          <w:b/>
          <w:highlight w:val="yellow"/>
        </w:rPr>
        <w:t xml:space="preserve">(3)</w:t>
      </w:r>
      <w:r>
        <w:rPr>
          <w:highlight w:val="yellow"/>
        </w:rPr>
        <w:t xml:space="preserve"> Section 9.4 — deleted (formerly post-Conversion guarantee); Section 9.5 renumbered to 9.4 (Exclusivity).</w:t>
      </w:r>
      <w:r>
        <w:t xml:space="preserve"> </w:t>
      </w:r>
      <w:r>
        <w:rPr>
          <w:bCs/>
          <w:b/>
          <w:highlight w:val="yellow"/>
        </w:rPr>
        <w:t xml:space="preserve">(4)</w:t>
      </w:r>
      <w:r>
        <w:rPr>
          <w:highlight w:val="yellow"/>
        </w:rPr>
        <w:t xml:space="preserve"> Section 13.3 — 10-business-day operational SLA replaced with commercially-reasonable-efforts language.</w:t>
      </w:r>
      <w:r>
        <w:t xml:space="preserve"> </w:t>
      </w:r>
      <w:r>
        <w:rPr>
          <w:bCs/>
          <w:b/>
          <w:highlight w:val="yellow"/>
        </w:rPr>
        <w:t xml:space="preserve">(5)</w:t>
      </w:r>
      <w:r>
        <w:rPr>
          <w:highlight w:val="yellow"/>
        </w:rPr>
        <w:t xml:space="preserve"> Section 13.4 — Activation Fee reference and D.3 cross-reference removed.</w:t>
      </w:r>
      <w:r>
        <w:t xml:space="preserve"> </w:t>
      </w:r>
      <w:r>
        <w:rPr>
          <w:bCs/>
          <w:b/>
          <w:highlight w:val="yellow"/>
        </w:rPr>
        <w:t xml:space="preserve">(6)</w:t>
      </w:r>
      <w:r>
        <w:rPr>
          <w:highlight w:val="yellow"/>
        </w:rPr>
        <w:t xml:space="preserve"> Exhibit D — reorganized: D.2 (tier table), D.2.1 (Buyout), D.2.2 (Tail Period), D.2.3 (Worked Examples added); D.3 (post-Conversion guarantee) and D.6 (no Activation Fee) deleted.</w:t>
      </w:r>
      <w:r>
        <w:t xml:space="preserve"> </w:t>
      </w:r>
      <w:r>
        <w:rPr>
          <w:bCs/>
          <w:b/>
          <w:highlight w:val="yellow"/>
        </w:rPr>
        <w:t xml:space="preserve">(7)</w:t>
      </w:r>
      <w:r>
        <w:rPr>
          <w:highlight w:val="yellow"/>
        </w:rPr>
        <w:t xml:space="preserve"> Exhibit E added — Direct-Hire Accommodation (Contingent Search) folded in as a new Exhibit; covers contingency-search direct hires (separate from FTE Conversion).</w:t>
      </w:r>
      <w:r>
        <w:t xml:space="preserve"> </w:t>
      </w:r>
      <w:r>
        <w:rPr>
          <w:bCs/>
          <w:b/>
          <w:highlight w:val="yellow"/>
        </w:rPr>
        <w:t xml:space="preserve">(8)</w:t>
      </w:r>
      <w:r>
        <w:rPr>
          <w:highlight w:val="yellow"/>
        </w:rPr>
        <w:t xml:space="preserve"> Exhibit A — initial-shortlist SLA removed.</w:t>
      </w:r>
      <w:r>
        <w:t xml:space="preserve"> </w:t>
      </w:r>
      <w:r>
        <w:rPr>
          <w:bCs/>
          <w:b/>
          <w:highlight w:val="yellow"/>
        </w:rPr>
        <w:t xml:space="preserve">(9)</w:t>
      </w:r>
      <w:r>
        <w:rPr>
          <w:highlight w:val="yellow"/>
        </w:rPr>
        <w:t xml:space="preserve"> Sections 5.4, 5.5, 6.3, 6.4 reframed — “Hours cap” / “Unused hours” / “Right-sizing consultations” / “Overage handling” rewritten to reflect allocation-based model (not time-and-materials). Client is not required to approve or audit Operator hours; Fractional Standard tracks utilization internally for capacity management and tier-fit purposes only. Within-month flex is explicit; monthly allocation is use-it-or-lose-it.</w:t>
      </w:r>
      <w:r>
        <w:t xml:space="preserve"> </w:t>
      </w:r>
      <w:r>
        <w:rPr>
          <w:bCs/>
          <w:b/>
          <w:highlight w:val="yellow"/>
        </w:rPr>
        <w:t xml:space="preserve">(10)</w:t>
      </w:r>
      <w:r>
        <w:rPr>
          <w:highlight w:val="yellow"/>
        </w:rPr>
        <w:t xml:space="preserve"> Section 18 expanded — 18.1 stale “Operator tier” reference updated to “Operator pool admission” (May 2026 elimination of external tier system). Three new placeholder subsections added per AI Governance Framework v2.2 §8.5 specification: 18.5 Vendor-Liability Allocation, 18.6 Independent Decision Documentation, 18.7 Non-Endorsement of AEDT Status. Each placeholder contains the drafting brief and substantive objectives the clauses must accomplish; counsel to draft compliant statutory language.</w:t>
      </w:r>
      <w:r>
        <w:t xml:space="preserve"> |</w:t>
        <w:br/>
        <w:t xml:space="preserve">— |# Read This First</w:t>
      </w:r>
    </w:p>
    <w:bookmarkStart w:id="20" w:name="what-this-document-is"/>
    <w:p>
      <w:pPr>
        <w:pStyle w:val="Heading2"/>
      </w:pPr>
      <w:r>
        <w:t xml:space="preserve">What this document is</w:t>
      </w:r>
    </w:p>
    <w:p>
      <w:pPr>
        <w:pStyle w:val="FirstParagraph"/>
      </w:pPr>
      <w:r>
        <w:t>This is a pre-attorney-review draft of the Master Services Agreement (MSA) that will govern the relationship between Fractional Standard and each client engaging the firm for managed fractional executive placement services. It is a first draft, structured to cover the core commercial and legal terms the business has settled on, with explicit callouts for every item that requires attorney judgment or a business decision not yet made.</w:t>
      </w:r>
    </w:p>
    <w:bookmarkEnd w:id="20"/>
    <w:bookmarkStart w:id="21" w:name="what-this-document-is-not"/>
    <w:p>
      <w:pPr>
        <w:pStyle w:val="Heading2"/>
      </w:pPr>
      <w:r>
        <w:t xml:space="preserve">What this document is not</w:t>
      </w:r>
    </w:p>
    <w:p>
      <w:pPr>
        <w:numPr>
          <w:ilvl w:val="0"/>
          <w:numId w:val="1001"/>
        </w:numPr>
      </w:pPr>
      <w:r>
        <w:t>A signed or signable agreement. Do not send this to a client in its current form.</w:t>
      </w:r>
    </w:p>
    <w:p>
      <w:pPr>
        <w:numPr>
          <w:ilvl w:val="0"/>
          <w:numId w:val="1001"/>
        </w:numPr>
      </w:pPr>
      <w:r>
        <w:t>Legal advice. The drafter of this document is not a lawyer. Attorney review is required before any client signs.</w:t>
      </w:r>
    </w:p>
    <w:p>
      <w:pPr>
        <w:numPr>
          <w:ilvl w:val="0"/>
          <w:numId w:val="1001"/>
        </w:numPr>
      </w:pPr>
      <w:r>
        <w:t>Final. Appendix F identifies business decisions that Kevin and Chris must resolve before engaging counsel. Many sections will change based on those decisions and counsel’s judgment.</w:t>
      </w:r>
    </w:p>
    <w:bookmarkEnd w:id="21"/>
    <w:bookmarkStart w:id="22" w:name="visual-conventions"/>
    <w:p>
      <w:pPr>
        <w:pStyle w:val="Heading2"/>
      </w:pPr>
      <w:r>
        <w:t xml:space="preserve">Visual conventions</w:t>
      </w:r>
    </w:p>
    <w:tbl>
      <w:tblPr>
        <w:tblStyle w:val="Table"/>
        <w:tblW w:type="pct" w:w="4865"/>
        <w:tblLook w:firstRow="1" w:lastRow="0" w:firstColumn="0" w:lastColumn="0" w:noHBand="0" w:noVBand="0" w:val="0020"/>
        <w:jc w:val="start"/>
      </w:tblPr>
      <w:tblGrid>
        <w:gridCol w:w="7705"/>
      </w:tblGrid>
      <w:tr>
        <w:trPr>
          <w:tblHeader w:val="true"/>
        </w:trPr>
        <w:tc>
          <w:tcPr/>
          <w:p>
            <w:pPr>
              <w:pStyle w:val="Compact"/>
              <w:jc w:val="left"/>
            </w:pPr>
            <w:r>
              <w:rPr>
                <w:bCs/>
                <w:b/>
              </w:rPr>
              <w:t xml:space="preserve">ATTORNEY REVIEW REQUIRED</w:t>
            </w:r>
            <w:r>
              <w:t xml:space="preserve"> Red callouts flag items that require legal judgment. Counsel will substantially rewrite, expand, or replace these sections during review.</w:t>
            </w:r>
          </w:p>
        </w:tc>
      </w:tr>
      <w:tr>
        <w:tc>
          <w:tcPr/>
          <w:p>
            <w:pPr>
              <w:pStyle w:val="Compact"/>
              <w:jc w:val="left"/>
            </w:pPr>
            <w:r>
              <w:rPr>
                <w:bCs/>
                <w:b/>
              </w:rPr>
              <w:t xml:space="preserve">FILL IN BEFORE ATTORNEY REVIEW</w:t>
            </w:r>
            <w:r>
              <w:t xml:space="preserve"> Amber callouts flag business decisions Kevin and Chris must resolve before sending the draft to counsel. Resolving these up front reduces billable hours.</w:t>
            </w:r>
          </w:p>
        </w:tc>
      </w:tr>
    </w:tbl>
    <w:p>
      <w:pPr>
        <w:pStyle w:val="BodyText"/>
      </w:pPr>
      <w:r>
        <w:t>inline indicate a specific value, name, or term that gets filled in before counsel review (e.g., , ).</w:t>
      </w:r>
    </w:p>
    <w:bookmarkEnd w:id="22"/>
    <w:bookmarkStart w:id="23" w:name="how-to-use-this-document"/>
    <w:p>
      <w:pPr>
        <w:pStyle w:val="Heading2"/>
      </w:pPr>
      <w:r>
        <w:t xml:space="preserve">How to use this document</w:t>
      </w:r>
    </w:p>
    <w:p>
      <w:pPr>
        <w:numPr>
          <w:ilvl w:val="0"/>
          <w:numId w:val="1002"/>
        </w:numPr>
      </w:pPr>
      <w:r>
        <w:t>Kevin works through Appendix F (Pre-Attorney-Review Checklist) to resolve the business decisions, many of which overlap with ICA decisions — enabling one combined counsel engagement.</w:t>
      </w:r>
    </w:p>
    <w:p>
      <w:pPr>
        <w:numPr>
          <w:ilvl w:val="0"/>
          <w:numId w:val="1002"/>
        </w:numPr>
      </w:pPr>
      <w:r>
        <w:t>Kevin and Chris review the draft together, filling in the amber placeholders and resolving any amber callouts.</w:t>
      </w:r>
    </w:p>
    <w:p>
      <w:pPr>
        <w:numPr>
          <w:ilvl w:val="0"/>
          <w:numId w:val="1002"/>
        </w:numPr>
      </w:pPr>
      <w:r>
        <w:t>Kevin selects counsel (recommendations in Appendix F) and sends the resolved draft for review.</w:t>
      </w:r>
    </w:p>
    <w:p>
      <w:pPr>
        <w:numPr>
          <w:ilvl w:val="0"/>
          <w:numId w:val="1002"/>
        </w:numPr>
      </w:pPr>
      <w:r>
        <w:t>Counsel returns a revised draft. That revised draft stays under FS-DOC-049 — Status changes from Draft to Active, Version bumps from “Draft v1.0” to v1.0. No new Doc ID is created.</w:t>
      </w:r>
    </w:p>
    <w:p>
      <w:pPr>
        <w:numPr>
          <w:ilvl w:val="0"/>
          <w:numId w:val="1002"/>
        </w:numPr>
      </w:pPr>
      <w:r>
        <w:t>Once the attorney-revised MSA is in place, that document is embedded into the client portal account-creation flow as the Terms of Service.</w:t>
      </w:r>
    </w:p>
    <w:bookmarkEnd w:id="23"/>
    <w:bookmarkStart w:id="24" w:name="table-of-contents"/>
    <w:p>
      <w:pPr>
        <w:pStyle w:val="Heading1"/>
      </w:pPr>
      <w:r>
        <w:t xml:space="preserve">Table of Contents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Section</w:t>
            </w:r>
          </w:p>
        </w:tc>
        <w:tc>
          <w:tcPr/>
          <w:p>
            <w:pPr>
              <w:pStyle w:val="Compact"/>
              <w:jc w:val="left"/>
            </w:pPr>
            <w:r>
              <w:rPr>
                <w:bCs/>
                <w:b/>
              </w:rPr>
              <w:t xml:space="preserve">Title</w:t>
            </w:r>
          </w:p>
        </w:tc>
      </w:tr>
      <w:tr>
        <w:tc>
          <w:tcPr/>
          <w:p>
            <w:pPr>
              <w:pStyle w:val="Compact"/>
              <w:jc w:val="left"/>
            </w:pPr>
            <w:r>
              <w:t xml:space="preserve">1</w:t>
            </w:r>
          </w:p>
        </w:tc>
        <w:tc>
          <w:tcPr/>
          <w:p>
            <w:pPr>
              <w:pStyle w:val="Compact"/>
              <w:jc w:val="left"/>
            </w:pPr>
            <w:r>
              <w:t xml:space="preserve">Parties &amp; Recitals</w:t>
            </w:r>
          </w:p>
        </w:tc>
      </w:tr>
      <w:tr>
        <w:tc>
          <w:tcPr/>
          <w:p>
            <w:pPr>
              <w:pStyle w:val="Compact"/>
              <w:jc w:val="left"/>
            </w:pPr>
            <w:r>
              <w:t xml:space="preserve">2</w:t>
            </w:r>
          </w:p>
        </w:tc>
        <w:tc>
          <w:tcPr/>
          <w:p>
            <w:pPr>
              <w:pStyle w:val="Compact"/>
              <w:jc w:val="left"/>
            </w:pPr>
            <w:r>
              <w:t xml:space="preserve">Definitions</w:t>
            </w:r>
          </w:p>
        </w:tc>
      </w:tr>
      <w:tr>
        <w:tc>
          <w:tcPr/>
          <w:p>
            <w:pPr>
              <w:pStyle w:val="Compact"/>
              <w:jc w:val="left"/>
            </w:pPr>
            <w:r>
              <w:t xml:space="preserve">3</w:t>
            </w:r>
          </w:p>
        </w:tc>
        <w:tc>
          <w:tcPr/>
          <w:p>
            <w:pPr>
              <w:pStyle w:val="Compact"/>
              <w:jc w:val="left"/>
            </w:pPr>
            <w:r>
              <w:t xml:space="preserve">Services</w:t>
            </w:r>
          </w:p>
        </w:tc>
      </w:tr>
      <w:tr>
        <w:tc>
          <w:tcPr/>
          <w:p>
            <w:pPr>
              <w:pStyle w:val="Compact"/>
              <w:jc w:val="left"/>
            </w:pPr>
            <w:r>
              <w:t xml:space="preserve">5</w:t>
            </w:r>
          </w:p>
        </w:tc>
        <w:tc>
          <w:tcPr/>
          <w:p>
            <w:pPr>
              <w:pStyle w:val="Compact"/>
              <w:jc w:val="left"/>
            </w:pPr>
            <w:r>
              <w:t xml:space="preserve">Retainer Terms</w:t>
            </w:r>
          </w:p>
        </w:tc>
      </w:tr>
      <w:tr>
        <w:tc>
          <w:tcPr/>
          <w:p>
            <w:pPr>
              <w:pStyle w:val="Compact"/>
              <w:jc w:val="left"/>
            </w:pPr>
            <w:r>
              <w:t xml:space="preserve">6</w:t>
            </w:r>
          </w:p>
        </w:tc>
        <w:tc>
          <w:tcPr/>
          <w:p>
            <w:pPr>
              <w:pStyle w:val="Compact"/>
              <w:jc w:val="left"/>
            </w:pPr>
            <w:r>
              <w:t xml:space="preserve">Tier Changes &amp; Right-Sizing</w:t>
            </w:r>
          </w:p>
        </w:tc>
      </w:tr>
      <w:tr>
        <w:tc>
          <w:tcPr/>
          <w:p>
            <w:pPr>
              <w:pStyle w:val="Compact"/>
              <w:jc w:val="left"/>
            </w:pPr>
            <w:r>
              <w:t xml:space="preserve">7</w:t>
            </w:r>
          </w:p>
        </w:tc>
        <w:tc>
          <w:tcPr/>
          <w:p>
            <w:pPr>
              <w:pStyle w:val="Compact"/>
              <w:jc w:val="left"/>
            </w:pPr>
            <w:r>
              <w:t xml:space="preserve">Operator Relationship</w:t>
            </w:r>
          </w:p>
        </w:tc>
      </w:tr>
      <w:tr>
        <w:tc>
          <w:tcPr/>
          <w:p>
            <w:pPr>
              <w:pStyle w:val="Compact"/>
              <w:jc w:val="left"/>
            </w:pPr>
            <w:r>
              <w:t xml:space="preserve">8</w:t>
            </w:r>
          </w:p>
        </w:tc>
        <w:tc>
          <w:tcPr/>
          <w:p>
            <w:pPr>
              <w:pStyle w:val="Compact"/>
              <w:jc w:val="left"/>
            </w:pPr>
            <w:r>
              <w:t>Non-Solicitation &amp; Non-Circumvention</w:t>
            </w:r>
          </w:p>
        </w:tc>
      </w:tr>
      <w:tr>
        <w:tc>
          <w:tcPr/>
          <w:p>
            <w:pPr>
              <w:pStyle w:val="Compact"/>
              <w:jc w:val="left"/>
            </w:pPr>
            <w:r>
              <w:t xml:space="preserve">9</w:t>
            </w:r>
          </w:p>
        </w:tc>
        <w:tc>
          <w:tcPr/>
          <w:p>
            <w:pPr>
              <w:pStyle w:val="Compact"/>
              <w:jc w:val="left"/>
            </w:pPr>
            <w:r>
              <w:t>FTE Conversion / Direct-Hire Placement</w:t>
            </w:r>
          </w:p>
        </w:tc>
      </w:tr>
      <w:tr>
        <w:tc>
          <w:tcPr/>
          <w:p>
            <w:pPr>
              <w:pStyle w:val="Compact"/>
              <w:jc w:val="left"/>
            </w:pPr>
            <w:r>
              <w:t xml:space="preserve">10</w:t>
            </w:r>
          </w:p>
        </w:tc>
        <w:tc>
          <w:tcPr/>
          <w:p>
            <w:pPr>
              <w:pStyle w:val="Compact"/>
              <w:jc w:val="left"/>
            </w:pPr>
            <w:r>
              <w:t xml:space="preserve">Client Obligations</w:t>
            </w:r>
          </w:p>
        </w:tc>
      </w:tr>
      <w:tr>
        <w:tc>
          <w:tcPr/>
          <w:p>
            <w:pPr>
              <w:pStyle w:val="Compact"/>
              <w:jc w:val="left"/>
            </w:pPr>
            <w:r>
              <w:t xml:space="preserve">11</w:t>
            </w:r>
          </w:p>
        </w:tc>
        <w:tc>
          <w:tcPr/>
          <w:p>
            <w:pPr>
              <w:pStyle w:val="Compact"/>
              <w:jc w:val="left"/>
            </w:pPr>
            <w:r>
              <w:t xml:space="preserve">Confidentiality</w:t>
            </w:r>
          </w:p>
        </w:tc>
      </w:tr>
      <w:tr>
        <w:tc>
          <w:tcPr/>
          <w:p>
            <w:pPr>
              <w:pStyle w:val="Compact"/>
              <w:jc w:val="left"/>
            </w:pPr>
            <w:r>
              <w:t xml:space="preserve">12</w:t>
            </w:r>
          </w:p>
        </w:tc>
        <w:tc>
          <w:tcPr/>
          <w:p>
            <w:pPr>
              <w:pStyle w:val="Compact"/>
              <w:jc w:val="left"/>
            </w:pPr>
            <w:r>
              <w:t xml:space="preserve">Intellectual Property</w:t>
            </w:r>
          </w:p>
        </w:tc>
      </w:tr>
      <w:tr>
        <w:tc>
          <w:tcPr/>
          <w:p>
            <w:pPr>
              <w:pStyle w:val="Compact"/>
              <w:jc w:val="left"/>
            </w:pPr>
            <w:r>
              <w:t xml:space="preserve">13</w:t>
            </w:r>
          </w:p>
        </w:tc>
        <w:tc>
          <w:tcPr/>
          <w:p>
            <w:pPr>
              <w:pStyle w:val="Compact"/>
              <w:jc w:val="left"/>
            </w:pPr>
            <w:r>
              <w:t xml:space="preserve">Replacement &amp; Guarantee</w:t>
            </w:r>
          </w:p>
        </w:tc>
      </w:tr>
      <w:tr>
        <w:tc>
          <w:tcPr/>
          <w:p>
            <w:pPr>
              <w:pStyle w:val="Compact"/>
              <w:jc w:val="left"/>
            </w:pPr>
            <w:r>
              <w:t xml:space="preserve">14</w:t>
            </w:r>
          </w:p>
        </w:tc>
        <w:tc>
          <w:tcPr/>
          <w:p>
            <w:pPr>
              <w:pStyle w:val="Compact"/>
              <w:jc w:val="left"/>
            </w:pPr>
            <w:r>
              <w:t xml:space="preserve">Term &amp; Termination</w:t>
            </w:r>
          </w:p>
        </w:tc>
      </w:tr>
      <w:tr>
        <w:tc>
          <w:tcPr/>
          <w:p>
            <w:pPr>
              <w:pStyle w:val="Compact"/>
              <w:jc w:val="left"/>
            </w:pPr>
            <w:r>
              <w:t xml:space="preserve">15</w:t>
            </w:r>
          </w:p>
        </w:tc>
        <w:tc>
          <w:tcPr/>
          <w:p>
            <w:pPr>
              <w:pStyle w:val="Compact"/>
              <w:jc w:val="left"/>
            </w:pPr>
            <w:r>
              <w:t xml:space="preserve">Payment &amp; Late Payment</w:t>
            </w:r>
          </w:p>
        </w:tc>
      </w:tr>
      <w:tr>
        <w:tc>
          <w:tcPr/>
          <w:p>
            <w:pPr>
              <w:pStyle w:val="Compact"/>
              <w:jc w:val="left"/>
            </w:pPr>
            <w:r>
              <w:t xml:space="preserve">16</w:t>
            </w:r>
          </w:p>
        </w:tc>
        <w:tc>
          <w:tcPr/>
          <w:p>
            <w:pPr>
              <w:pStyle w:val="Compact"/>
              <w:jc w:val="left"/>
            </w:pPr>
            <w:r>
              <w:t xml:space="preserve">Limitation of Liability</w:t>
            </w:r>
          </w:p>
        </w:tc>
      </w:tr>
      <w:tr>
        <w:tc>
          <w:tcPr/>
          <w:p>
            <w:pPr>
              <w:pStyle w:val="Compact"/>
              <w:jc w:val="left"/>
            </w:pPr>
            <w:r>
              <w:t xml:space="preserve">17</w:t>
            </w:r>
          </w:p>
        </w:tc>
        <w:tc>
          <w:tcPr/>
          <w:p>
            <w:pPr>
              <w:pStyle w:val="Compact"/>
              <w:jc w:val="left"/>
            </w:pPr>
            <w:r>
              <w:t xml:space="preserve">Indemnification</w:t>
            </w:r>
          </w:p>
        </w:tc>
      </w:tr>
      <w:tr>
        <w:tc>
          <w:tcPr/>
          <w:p>
            <w:pPr>
              <w:pStyle w:val="Compact"/>
              <w:jc w:val="left"/>
            </w:pPr>
            <w:r>
              <w:t xml:space="preserve">18</w:t>
            </w:r>
          </w:p>
        </w:tc>
        <w:tc>
          <w:tcPr/>
          <w:p>
            <w:pPr>
              <w:pStyle w:val="Compact"/>
              <w:jc w:val="left"/>
            </w:pPr>
            <w:r>
              <w:t xml:space="preserve">AI Disclosure &amp; Data Use</w:t>
            </w:r>
          </w:p>
        </w:tc>
      </w:tr>
      <w:tr>
        <w:tc>
          <w:tcPr/>
          <w:p>
            <w:pPr>
              <w:pStyle w:val="Compact"/>
              <w:jc w:val="left"/>
            </w:pPr>
            <w:r>
              <w:t xml:space="preserve">19</w:t>
            </w:r>
          </w:p>
        </w:tc>
        <w:tc>
          <w:tcPr/>
          <w:p>
            <w:pPr>
              <w:pStyle w:val="Compact"/>
              <w:jc w:val="left"/>
            </w:pPr>
            <w:r>
              <w:t xml:space="preserve">Dispute Resolution</w:t>
            </w:r>
          </w:p>
        </w:tc>
      </w:tr>
      <w:tr>
        <w:tc>
          <w:tcPr/>
          <w:p>
            <w:pPr>
              <w:pStyle w:val="Compact"/>
              <w:jc w:val="left"/>
            </w:pPr>
            <w:r>
              <w:t xml:space="preserve">20</w:t>
            </w:r>
          </w:p>
        </w:tc>
        <w:tc>
          <w:tcPr/>
          <w:p>
            <w:pPr>
              <w:pStyle w:val="Compact"/>
              <w:jc w:val="left"/>
            </w:pPr>
            <w:r>
              <w:t xml:space="preserve">General Provisions</w:t>
            </w:r>
          </w:p>
        </w:tc>
      </w:tr>
      <w:tr>
        <w:tc>
          <w:tcPr/>
          <w:p>
            <w:pPr>
              <w:pStyle w:val="Compact"/>
              <w:jc w:val="left"/>
            </w:pPr>
            <w:r>
              <w:t xml:space="preserve">—</w:t>
            </w:r>
          </w:p>
        </w:tc>
        <w:tc>
          <w:tcPr/>
          <w:p>
            <w:pPr>
              <w:pStyle w:val="Compact"/>
              <w:jc w:val="left"/>
            </w:pPr>
            <w:r>
              <w:t xml:space="preserve">Signature Block</w:t>
            </w:r>
          </w:p>
        </w:tc>
      </w:tr>
      <w:tr>
        <w:tc>
          <w:tcPr/>
          <w:p>
            <w:pPr>
              <w:pStyle w:val="Compact"/>
              <w:jc w:val="left"/>
            </w:pPr>
            <w:r>
              <w:t xml:space="preserve">Exhibit A</w:t>
            </w:r>
          </w:p>
        </w:tc>
        <w:tc>
          <w:tcPr/>
          <w:p>
            <w:pPr>
              <w:pStyle w:val="Compact"/>
              <w:jc w:val="left"/>
            </w:pPr>
            <w:r>
              <w:t xml:space="preserve">Service Description</w:t>
            </w:r>
          </w:p>
        </w:tc>
      </w:tr>
      <w:tr>
        <w:tc>
          <w:tcPr/>
          <w:p>
            <w:pPr>
              <w:pStyle w:val="Compact"/>
              <w:jc w:val="left"/>
            </w:pPr>
            <w:r>
              <w:t xml:space="preserve">Exhibit B</w:t>
            </w:r>
          </w:p>
        </w:tc>
        <w:tc>
          <w:tcPr/>
          <w:p>
            <w:pPr>
              <w:pStyle w:val="Compact"/>
              <w:jc w:val="left"/>
            </w:pPr>
            <w:r>
              <w:t xml:space="preserve">Retainer Tiers &amp; Pricing Schedule</w:t>
            </w:r>
          </w:p>
        </w:tc>
      </w:tr>
      <w:tr>
        <w:tc>
          <w:tcPr/>
          <w:p>
            <w:pPr>
              <w:pStyle w:val="Compact"/>
              <w:jc w:val="left"/>
            </w:pPr>
            <w:r>
              <w:t xml:space="preserve">Exhibit D</w:t>
            </w:r>
          </w:p>
        </w:tc>
        <w:tc>
          <w:tcPr/>
          <w:p>
            <w:pPr>
              <w:pStyle w:val="Compact"/>
              <w:jc w:val="left"/>
            </w:pPr>
            <w:r>
              <w:t>Direct-Hire Placement Addendum (FTE Conversion)</w:t>
            </w:r>
          </w:p>
        </w:tc>
      </w:tr>
      <w:tr>
        <w:tc>
          <w:tcPr/>
          <w:p>
            <w:pPr>
              <w:pStyle w:val="Compact"/>
              <w:jc w:val="left"/>
            </w:pPr>
            <w:r>
              <w:t xml:space="preserve">Exhibit E</w:t>
            </w:r>
          </w:p>
        </w:tc>
        <w:tc>
          <w:tcPr/>
          <w:p>
            <w:pPr>
              <w:pStyle w:val="Compact"/>
              <w:jc w:val="left"/>
            </w:pPr>
            <w:r>
              <w:t>Direct-Hire Accommodation (Contingent Search)</w:t>
            </w:r>
          </w:p>
        </w:tc>
      </w:tr>
      <w:tr>
        <w:tc>
          <w:tcPr/>
          <w:p>
            <w:pPr>
              <w:pStyle w:val="Compact"/>
              <w:jc w:val="left"/>
            </w:pPr>
            <w:r>
              <w:t xml:space="preserve">Appendix F</w:t>
            </w:r>
          </w:p>
        </w:tc>
        <w:tc>
          <w:tcPr/>
          <w:p>
            <w:pPr>
              <w:pStyle w:val="Compact"/>
              <w:jc w:val="left"/>
            </w:pPr>
            <w:r>
              <w:t xml:space="preserve">Pre-Attorney-Review Checklist</w:t>
            </w:r>
          </w:p>
        </w:tc>
      </w:tr>
    </w:tbl>
    <w:bookmarkEnd w:id="24"/>
    <w:bookmarkStart w:id="27" w:name="parties-recitals"/>
    <w:p>
      <w:pPr>
        <w:pStyle w:val="Heading1"/>
      </w:pPr>
      <w:r>
        <w:t xml:space="preserve">1. Parties &amp; Recitals</w:t>
      </w:r>
    </w:p>
    <w:bookmarkStart w:id="25" w:name="parties"/>
    <w:p>
      <w:pPr>
        <w:pStyle w:val="Heading2"/>
      </w:pPr>
      <w:r>
        <w:t xml:space="preserve">1.1 Parties</w:t>
      </w:r>
    </w:p>
    <w:p>
      <w:pPr>
        <w:pStyle w:val="FirstParagraph"/>
      </w:pPr>
      <w:r>
        <w:t>This Master Services Agreement (“Agreement”) is entered into as of (the “Effective Date”) by and between:</w:t>
      </w:r>
    </w:p>
    <w:p>
      <w:pPr>
        <w:pStyle w:val="BodyText"/>
      </w:pPr>
      <w:r>
        <w:t>Fractional Standard, LLC, a limited liability company with its principal place of business at (“Fractional Standard” or the “Firm”); and</w:t>
      </w:r>
    </w:p>
    <w:p>
      <w:pPr>
        <w:pStyle w:val="BodyText"/>
      </w:pPr>
      <w:r>
        <w:t>, a organized under the laws of with its principal place of business at (the “Client”).</w:t>
      </w:r>
    </w:p>
    <w:p>
      <w:pPr>
        <w:pStyle w:val="BodyText"/>
      </w:pPr>
      <w:r>
        <w:t>Each a “Party” and together the “Parties.”</w:t>
      </w:r>
    </w:p>
    <w:bookmarkEnd w:id="25"/>
    <w:bookmarkStart w:id="26" w:name="recitals"/>
    <w:p>
      <w:pPr>
        <w:pStyle w:val="Heading2"/>
      </w:pPr>
      <w:r>
        <w:t xml:space="preserve">1.2 Recitals</w:t>
      </w:r>
    </w:p>
    <w:p>
      <w:pPr>
        <w:numPr>
          <w:ilvl w:val="0"/>
          <w:numId w:val="1003"/>
        </w:numPr>
      </w:pPr>
      <w:r>
        <w:t>Whereas Fractional Standard operates a managed fractional executive placement firm that sources, assesses, and matches fractional operators (CFOs, COOs, CMOs, and other senior functional leaders) with founder-led and growth-stage companies;</w:t>
      </w:r>
    </w:p>
    <w:p>
      <w:pPr>
        <w:numPr>
          <w:ilvl w:val="0"/>
          <w:numId w:val="1003"/>
        </w:numPr>
      </w:pPr>
      <w:r>
        <w:t>Whereas Client desires to engage Fractional Standard to match Client with one or more qualified Operators for a fractional executive engagement;</w:t>
      </w:r>
    </w:p>
    <w:p>
      <w:pPr>
        <w:numPr>
          <w:ilvl w:val="0"/>
          <w:numId w:val="1003"/>
        </w:numPr>
      </w:pPr>
      <w:r>
        <w:t>Whereas Fractional Standard will serve as the contracting party for all Operators placed with Client, and Client’s relationship with Operators is mediated through this Agreement;</w:t>
      </w:r>
    </w:p>
    <w:p>
      <w:pPr>
        <w:numPr>
          <w:ilvl w:val="0"/>
          <w:numId w:val="1003"/>
        </w:numPr>
      </w:pPr>
      <w:r>
        <w:t>Whereas the Parties wish to establish the terms and conditions under which Fractional Standard will provide placement and engagement-management services to Client;</w:t>
      </w:r>
    </w:p>
    <w:p>
      <w:pPr>
        <w:pStyle w:val="FirstParagraph"/>
      </w:pPr>
      <w:r>
        <w:t>Now, therefore, in consideration of the mutual promises and covenants contained herein, and for other good and valuable consideration, the Parties agree as follows:</w:t>
      </w:r>
    </w:p>
    <w:bookmarkEnd w:id="26"/>
    <w:bookmarkEnd w:id="27"/>
    <w:bookmarkStart w:id="28" w:name="definitions"/>
    <w:p>
      <w:pPr>
        <w:pStyle w:val="Heading1"/>
      </w:pPr>
      <w:r>
        <w:t xml:space="preserve">2. Definitions</w:t>
      </w:r>
    </w:p>
    <w:p>
      <w:pPr>
        <w:pStyle w:val="FirstParagraph"/>
      </w:pPr>
      <w:r>
        <w:t>Capitalized terms used in this Agreement have the meanings assigned below.</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Affiliate</w:t>
            </w:r>
          </w:p>
        </w:tc>
        <w:tc>
          <w:tcPr/>
          <w:p>
            <w:pPr>
              <w:pStyle w:val="Compact"/>
              <w:jc w:val="left"/>
            </w:pPr>
            <w:r>
              <w:t>With respect to any Party, any entity that directly or indirectly controls, is controlled by, or is under common control with that Party.</w:t>
            </w:r>
          </w:p>
        </w:tc>
      </w:tr>
      <w:tr>
        <w:tc>
          <w:tcPr/>
          <w:p>
            <w:pPr>
              <w:pStyle w:val="Compact"/>
              <w:jc w:val="left"/>
            </w:pPr>
            <w:r>
              <w:t xml:space="preserve">Commitment Period</w:t>
            </w:r>
          </w:p>
        </w:tc>
        <w:tc>
          <w:tcPr/>
          <w:p>
            <w:pPr>
              <w:pStyle w:val="Compact"/>
              <w:jc w:val="left"/>
            </w:pPr>
            <w:r>
              <w:t>The initial three (3)-month minimum commitment period for each Engagement, beginning on the Engagement Start Date.</w:t>
            </w:r>
          </w:p>
        </w:tc>
      </w:tr>
      <w:tr>
        <w:tc>
          <w:tcPr/>
          <w:p>
            <w:pPr>
              <w:pStyle w:val="Compact"/>
              <w:jc w:val="left"/>
            </w:pPr>
            <w:r>
              <w:t xml:space="preserve">Confidential Information</w:t>
            </w:r>
          </w:p>
        </w:tc>
        <w:tc>
          <w:tcPr/>
          <w:p>
            <w:pPr>
              <w:pStyle w:val="Compact"/>
              <w:jc w:val="left"/>
            </w:pPr>
            <w:r>
              <w:t>Has the meaning set forth in Section 11.</w:t>
            </w:r>
          </w:p>
        </w:tc>
      </w:tr>
      <w:tr>
        <w:tc>
          <w:tcPr/>
          <w:p>
            <w:pPr>
              <w:pStyle w:val="Compact"/>
              <w:jc w:val="left"/>
            </w:pPr>
            <w:r>
              <w:t xml:space="preserve">Direct-Hire Addendum</w:t>
            </w:r>
          </w:p>
        </w:tc>
        <w:tc>
          <w:tcPr/>
          <w:p>
            <w:pPr>
              <w:pStyle w:val="Compact"/>
              <w:jc w:val="left"/>
            </w:pPr>
            <w:r>
              <w:t>The addendum governing FTE conversion and direct-hire placement, as set forth in Exhibit D.</w:t>
            </w:r>
          </w:p>
        </w:tc>
      </w:tr>
      <w:tr>
        <w:tc>
          <w:tcPr/>
          <w:p>
            <w:pPr>
              <w:pStyle w:val="Compact"/>
              <w:jc w:val="left"/>
            </w:pPr>
            <w:r>
              <w:t xml:space="preserve">Effective Date</w:t>
            </w:r>
          </w:p>
        </w:tc>
        <w:tc>
          <w:tcPr/>
          <w:p>
            <w:pPr>
              <w:pStyle w:val="Compact"/>
              <w:jc w:val="left"/>
            </w:pPr>
            <w:r>
              <w:t xml:space="preserve">The date first written above.</w:t>
            </w:r>
          </w:p>
        </w:tc>
      </w:tr>
      <w:tr>
        <w:tc>
          <w:tcPr/>
          <w:p>
            <w:pPr>
              <w:pStyle w:val="Compact"/>
              <w:jc w:val="left"/>
            </w:pPr>
            <w:r>
              <w:t xml:space="preserve">Engagement</w:t>
            </w:r>
          </w:p>
        </w:tc>
        <w:tc>
          <w:tcPr/>
          <w:p>
            <w:pPr>
              <w:pStyle w:val="Compact"/>
              <w:jc w:val="left"/>
            </w:pPr>
            <w:r>
              <w:t>A specific placement of an Operator with Client under this Agreement, governed by the Engagement-specific terms agreed at the time of placement.</w:t>
            </w:r>
          </w:p>
        </w:tc>
      </w:tr>
      <w:tr>
        <w:tc>
          <w:tcPr/>
          <w:p>
            <w:pPr>
              <w:pStyle w:val="Compact"/>
              <w:jc w:val="left"/>
            </w:pPr>
            <w:r>
              <w:t xml:space="preserve">Engagement Start Date</w:t>
            </w:r>
          </w:p>
        </w:tc>
        <w:tc>
          <w:tcPr/>
          <w:p>
            <w:pPr>
              <w:pStyle w:val="Compact"/>
              <w:jc w:val="left"/>
            </w:pPr>
            <w:r>
              <w:t>The first business day on which the placed Operator begins work for Client under an Engagement.</w:t>
            </w:r>
          </w:p>
        </w:tc>
      </w:tr>
      <w:tr>
        <w:tc>
          <w:tcPr/>
          <w:p>
            <w:pPr>
              <w:pStyle w:val="Compact"/>
              <w:jc w:val="left"/>
            </w:pPr>
            <w:r>
              <w:t xml:space="preserve">FTE Conversion</w:t>
            </w:r>
          </w:p>
        </w:tc>
        <w:tc>
          <w:tcPr/>
          <w:p>
            <w:pPr>
              <w:pStyle w:val="Compact"/>
              <w:jc w:val="left"/>
            </w:pPr>
            <w:r>
              <w:t>The conversion of an Operator from a fractional engagement with Client under this Agreement to a full-time employee, contractor, or board position with Client, as governed by Section 9 and Exhibit D.</w:t>
            </w:r>
          </w:p>
        </w:tc>
      </w:tr>
      <w:tr>
        <w:tc>
          <w:tcPr/>
          <w:p>
            <w:pPr>
              <w:pStyle w:val="Compact"/>
              <w:jc w:val="left"/>
            </w:pPr>
            <w:r>
              <w:t xml:space="preserve">Operator</w:t>
            </w:r>
          </w:p>
        </w:tc>
        <w:tc>
          <w:tcPr/>
          <w:p>
            <w:pPr>
              <w:pStyle w:val="Compact"/>
              <w:jc w:val="left"/>
            </w:pPr>
            <w:r>
              <w:t>An independent contractor fractional executive (including without limitation Fractional CFOs, COOs, and CMOs) who has contracted with Fractional Standard and is placed with Client under this Agreement.</w:t>
            </w:r>
          </w:p>
        </w:tc>
      </w:tr>
      <w:tr>
        <w:tc>
          <w:tcPr/>
          <w:p>
            <w:pPr>
              <w:pStyle w:val="Compact"/>
              <w:jc w:val="left"/>
            </w:pPr>
            <w:r>
              <w:t xml:space="preserve">Placement</w:t>
            </w:r>
          </w:p>
        </w:tc>
        <w:tc>
          <w:tcPr/>
          <w:p>
            <w:pPr>
              <w:pStyle w:val="Compact"/>
              <w:jc w:val="left"/>
            </w:pPr>
            <w:r>
              <w:t>An instance in which Fractional Standard matches Client with an Operator and that Operator commences work for Client.</w:t>
            </w:r>
          </w:p>
        </w:tc>
      </w:tr>
      <w:tr>
        <w:tc>
          <w:tcPr/>
          <w:p>
            <w:pPr>
              <w:pStyle w:val="Compact"/>
              <w:jc w:val="left"/>
            </w:pPr>
            <w:r>
              <w:t xml:space="preserve">Retainer</w:t>
            </w:r>
          </w:p>
        </w:tc>
        <w:tc>
          <w:tcPr/>
          <w:p>
            <w:pPr>
              <w:pStyle w:val="Compact"/>
              <w:jc w:val="left"/>
            </w:pPr>
            <w:r>
              <w:t>The monthly fee paid by Client for ongoing Operator Services, as set forth in Section 5 and Exhibit B.</w:t>
            </w:r>
          </w:p>
        </w:tc>
      </w:tr>
      <w:tr>
        <w:tc>
          <w:tcPr/>
          <w:p>
            <w:pPr>
              <w:pStyle w:val="Compact"/>
              <w:jc w:val="left"/>
            </w:pPr>
            <w:r>
              <w:t xml:space="preserve">Retainer Tier</w:t>
            </w:r>
          </w:p>
        </w:tc>
        <w:tc>
          <w:tcPr/>
          <w:p>
            <w:pPr>
              <w:pStyle w:val="Compact"/>
              <w:jc w:val="left"/>
            </w:pPr>
            <w:r>
              <w:t>The tier level (Foundation, Growth, Scale, or Embedded) selected by Client, as set forth in Exhibit B, which defines the hours-per-month cap and Retainer amount for an Engagement.</w:t>
            </w:r>
          </w:p>
        </w:tc>
      </w:tr>
      <w:tr>
        <w:tc>
          <w:tcPr/>
          <w:p>
            <w:pPr>
              <w:pStyle w:val="Compact"/>
              <w:jc w:val="left"/>
            </w:pPr>
            <w:r>
              <w:t xml:space="preserve">Services</w:t>
            </w:r>
          </w:p>
        </w:tc>
        <w:tc>
          <w:tcPr/>
          <w:p>
            <w:pPr>
              <w:pStyle w:val="Compact"/>
              <w:jc w:val="left"/>
            </w:pPr>
            <w:r>
              <w:t>The services provided by Fractional Standard under this Agreement, as set forth in Section 3 and Exhibit A.</w:t>
            </w:r>
          </w:p>
        </w:tc>
      </w:tr>
    </w:tbl>
    <w:bookmarkEnd w:id="28"/>
    <w:bookmarkStart w:id="32" w:name="services"/>
    <w:p>
      <w:pPr>
        <w:pStyle w:val="Heading1"/>
      </w:pPr>
      <w:r>
        <w:t xml:space="preserve">3. Services</w:t>
      </w:r>
    </w:p>
    <w:bookmarkStart w:id="29" w:name="what-fractional-standard-provides"/>
    <w:p>
      <w:pPr>
        <w:pStyle w:val="Heading2"/>
      </w:pPr>
      <w:r>
        <w:t xml:space="preserve">3.1 What Fractional Standard provides</w:t>
      </w:r>
    </w:p>
    <w:p>
      <w:pPr>
        <w:pStyle w:val="FirstParagraph"/>
      </w:pPr>
      <w:r>
        <w:t>Fractional Standard provides a managed fractional executive placement service. Under this Agreement, Fractional Standard will:</w:t>
      </w:r>
    </w:p>
    <w:p>
      <w:pPr>
        <w:numPr>
          <w:ilvl w:val="0"/>
          <w:numId w:val="1004"/>
        </w:numPr>
      </w:pPr>
      <w:r>
        <w:t>Conduct an intake diagnostic to understand Client’s needs, business stage, and role requirements;</w:t>
      </w:r>
    </w:p>
    <w:p>
      <w:pPr>
        <w:numPr>
          <w:ilvl w:val="0"/>
          <w:numId w:val="1004"/>
        </w:numPr>
      </w:pPr>
      <w:r>
        <w:t>Identify and present 3–5 Tier 1 Operators matched to Client’s role and stage profile;</w:t>
      </w:r>
    </w:p>
    <w:p>
      <w:pPr>
        <w:numPr>
          <w:ilvl w:val="0"/>
          <w:numId w:val="1004"/>
        </w:numPr>
      </w:pPr>
      <w:r>
        <w:t xml:space="preserve">Coordinate optional Client interviews with shortlisted Operators;</w:t>
      </w:r>
    </w:p>
    <w:p>
      <w:pPr>
        <w:numPr>
          <w:ilvl w:val="0"/>
          <w:numId w:val="1004"/>
        </w:numPr>
      </w:pPr>
      <w:r>
        <w:t>Execute an Operator Engagement upon Client’s selection, including assignment of the Operator under Fractional Standard’s Independent Contractor Agreement;</w:t>
      </w:r>
    </w:p>
    <w:p>
      <w:pPr>
        <w:numPr>
          <w:ilvl w:val="0"/>
          <w:numId w:val="1004"/>
        </w:numPr>
      </w:pPr>
      <w:r>
        <w:t>Monitor engagement health through automated pulse checks at Day 14, 45, and 75 of each placement;</w:t>
      </w:r>
    </w:p>
    <w:p>
      <w:pPr>
        <w:numPr>
          <w:ilvl w:val="0"/>
          <w:numId w:val="1004"/>
        </w:numPr>
      </w:pPr>
      <w:r>
        <w:t>Facilitate tier right-sizing and contract adjustments during the course of an Engagement;</w:t>
      </w:r>
    </w:p>
    <w:p>
      <w:pPr>
        <w:numPr>
          <w:ilvl w:val="0"/>
          <w:numId w:val="1004"/>
        </w:numPr>
      </w:pPr>
      <w:r>
        <w:t>Handle all Operator compensation, payments, and contractor administration on Client’s behalf.</w:t>
      </w:r>
    </w:p>
    <w:bookmarkEnd w:id="29"/>
    <w:bookmarkStart w:id="30" w:name="X091185015f2cf2223bfce4612887beb5657f215"/>
    <w:p>
      <w:pPr>
        <w:pStyle w:val="Heading2"/>
      </w:pPr>
      <w:r>
        <w:t xml:space="preserve">3.2 What Fractional Standard does not provide</w:t>
      </w:r>
    </w:p>
    <w:p>
      <w:pPr>
        <w:pStyle w:val="FirstParagraph"/>
      </w:pPr>
      <w:r>
        <w:t>Fractional Standard is a managed placement firm, not a managed services firm. Accordingly, Fractional Standard does not:</w:t>
      </w:r>
    </w:p>
    <w:p>
      <w:pPr>
        <w:numPr>
          <w:ilvl w:val="0"/>
          <w:numId w:val="1005"/>
        </w:numPr>
      </w:pPr>
      <w:r>
        <w:t>Direct, supervise, or manage the day-to-day work of any Operator placed with Client. The Operator works directly with Client on scope, priorities, and deliverables.</w:t>
      </w:r>
    </w:p>
    <w:p>
      <w:pPr>
        <w:numPr>
          <w:ilvl w:val="0"/>
          <w:numId w:val="1005"/>
        </w:numPr>
      </w:pPr>
      <w:r>
        <w:t>Warrant, guarantee, or assume responsibility for the outcomes, deliverables, or work product produced by any Operator.</w:t>
      </w:r>
    </w:p>
    <w:p>
      <w:pPr>
        <w:numPr>
          <w:ilvl w:val="0"/>
          <w:numId w:val="1005"/>
        </w:numPr>
      </w:pPr>
      <w:r>
        <w:t>Function as a staffing agency, employer of record, or professional employer organization. Operators are independent contractors, not employees of Fractional Standard in the legal sense.</w:t>
      </w:r>
    </w:p>
    <w:p>
      <w:pPr>
        <w:numPr>
          <w:ilvl w:val="0"/>
          <w:numId w:val="1005"/>
        </w:numPr>
      </w:pPr>
      <w:r>
        <w:t xml:space="preserve">Provide legal, tax, accounting, or regulatory advice to Client.</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The characterization of Fractional</w:t>
            </w:r>
          </w:p>
        </w:tc>
      </w:tr>
      <w:tr>
        <w:tc>
          <w:tcPr/>
          <w:p>
            <w:pPr>
              <w:pStyle w:val="Compact"/>
              <w:jc w:val="left"/>
            </w:pPr>
            <w:r>
              <w:t>Standard as “not a staffing agency” requires counsel review against the</w:t>
            </w:r>
          </w:p>
        </w:tc>
      </w:tr>
      <w:tr>
        <w:tc>
          <w:tcPr/>
          <w:p>
            <w:pPr>
              <w:pStyle w:val="Compact"/>
              <w:jc w:val="left"/>
            </w:pPr>
            <w:r>
              <w:t xml:space="preserve">relevant jurisdictions’ staffing-industry regulations, worker</w:t>
            </w:r>
          </w:p>
        </w:tc>
      </w:tr>
      <w:tr>
        <w:tc>
          <w:tcPr/>
          <w:p>
            <w:pPr>
              <w:pStyle w:val="Compact"/>
              <w:jc w:val="left"/>
            </w:pPr>
            <w:r>
              <w:t xml:space="preserve">classification rules, and any applicable registration or licensing</w:t>
            </w:r>
          </w:p>
        </w:tc>
      </w:tr>
      <w:tr>
        <w:tc>
          <w:tcPr/>
          <w:p>
            <w:pPr>
              <w:pStyle w:val="Compact"/>
              <w:jc w:val="left"/>
            </w:pPr>
            <w:r>
              <w:t xml:space="preserve">requirements. This determination has material downstream implications</w:t>
            </w:r>
          </w:p>
        </w:tc>
      </w:tr>
      <w:tr>
        <w:tc>
          <w:tcPr/>
          <w:p>
            <w:pPr>
              <w:pStyle w:val="Compact"/>
              <w:jc w:val="left"/>
            </w:pPr>
            <w:r>
              <w:t xml:space="preserve">for Sections 7 (Operator Relationship), 16 (Limitation of Liability),</w:t>
            </w:r>
          </w:p>
        </w:tc>
      </w:tr>
      <w:tr>
        <w:tc>
          <w:tcPr/>
          <w:p>
            <w:pPr>
              <w:pStyle w:val="Compact"/>
              <w:jc w:val="left"/>
            </w:pPr>
            <w:r>
              <w:t xml:space="preserve">and 17 (Indemnification).</w:t>
            </w:r>
          </w:p>
        </w:tc>
      </w:tr>
    </w:tbl>
    <w:p>
      <w:r>
        <w:pict>
          <v:rect style="width:0;height:1.5pt" o:hralign="center" o:hrstd="t" o:hr="t"/>
        </w:pict>
      </w:r>
    </w:p>
    <w:bookmarkEnd w:id="30"/>
    <w:bookmarkStart w:id="31" w:name="service-details"/>
    <w:p>
      <w:pPr>
        <w:pStyle w:val="Heading2"/>
      </w:pPr>
      <w:r>
        <w:t xml:space="preserve">3.3 Service details</w:t>
      </w:r>
    </w:p>
    <w:p>
      <w:pPr>
        <w:pStyle w:val="FirstParagraph"/>
      </w:pPr>
      <w:r>
        <w:t>A full description of Services is set forth in Exhibit A. Engagement-specific details (Operator name, Retainer Tier, Engagement Start Date) are set forth in a per-Engagement confirmation signed or accepted electronically by Client.</w:t>
      </w:r>
    </w:p>
    <w:bookmarkEnd w:id="31"/>
    <w:bookmarkEnd w:id="32"/>
    <w:bookmarkStart w:id="38" w:name="retainer-terms"/>
    <w:p>
      <w:pPr>
        <w:pStyle w:val="Heading1"/>
      </w:pPr>
      <w:r>
        <w:t xml:space="preserve">5. Retainer Terms</w:t>
      </w:r>
    </w:p>
    <w:bookmarkStart w:id="33" w:name="retainer-amount-and-tier"/>
    <w:p>
      <w:pPr>
        <w:pStyle w:val="Heading2"/>
      </w:pPr>
      <w:r>
        <w:t xml:space="preserve">5.1 Retainer amount and tier</w:t>
      </w:r>
    </w:p>
    <w:p>
      <w:pPr>
        <w:pStyle w:val="FirstParagraph"/>
      </w:pPr>
      <w:r>
        <w:t>Upon Placement, Client shall pay a monthly Retainer in the amount set forth in Exhibit B corresponding to the Retainer Tier selected for the Engagement. The Retainer amount is a fixed fee for the Tier’s hours-per-month cap.</w:t>
      </w:r>
    </w:p>
    <w:bookmarkEnd w:id="33"/>
    <w:bookmarkStart w:id="34" w:name="billing-cadence"/>
    <w:p>
      <w:pPr>
        <w:pStyle w:val="Heading2"/>
      </w:pPr>
      <w:r>
        <w:t xml:space="preserve">5.2 Billing cadence</w:t>
      </w:r>
    </w:p>
    <w:p>
      <w:pPr>
        <w:pStyle w:val="FirstParagraph"/>
      </w:pPr>
      <w:r>
        <w:t>Retainers are billed monthly in advance. Each monthly invoice is issued on or about the Engagement Start Date anniversary of each calendar month and is due upon receipt. Stripe charges automatically on the invoice date; a pre-authorized payment method on file is required at placement.</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NOTE — BILLING CADENCE</w:t>
            </w:r>
            <w:r>
              <w:t xml:space="preserve"> Monthly billing cadence is the settled</w:t>
            </w:r>
          </w:p>
        </w:tc>
      </w:tr>
      <w:tr>
        <w:tc>
          <w:tcPr/>
          <w:p>
            <w:pPr>
              <w:pStyle w:val="Compact"/>
              <w:jc w:val="left"/>
            </w:pPr>
            <w:r>
              <w:t xml:space="preserve">decision for Phase 1 per FS-DOC-047 (Billing Cadence Decision Brief).</w:t>
            </w:r>
          </w:p>
        </w:tc>
      </w:tr>
      <w:tr>
        <w:tc>
          <w:tcPr/>
          <w:p>
            <w:pPr>
              <w:pStyle w:val="Compact"/>
              <w:jc w:val="left"/>
            </w:pPr>
            <w:r>
              <w:t xml:space="preserve">If Fractional Standard switches to 4-week quad cadence at the Phase 2</w:t>
            </w:r>
          </w:p>
        </w:tc>
      </w:tr>
      <w:tr>
        <w:tc>
          <w:tcPr/>
          <w:p>
            <w:pPr>
              <w:pStyle w:val="Compact"/>
              <w:jc w:val="left"/>
            </w:pPr>
            <w:r>
              <w:t xml:space="preserve">trigger, this section and Exhibit B will need coordinated updates.</w:t>
            </w:r>
          </w:p>
        </w:tc>
      </w:tr>
    </w:tbl>
    <w:p>
      <w:r>
        <w:pict>
          <v:rect style="width:0;height:1.5pt" o:hralign="center" o:hrstd="t" o:hr="t"/>
        </w:pict>
      </w:r>
    </w:p>
    <w:bookmarkEnd w:id="34"/>
    <w:bookmarkStart w:id="35" w:name="commitment-period"/>
    <w:p>
      <w:pPr>
        <w:pStyle w:val="Heading2"/>
      </w:pPr>
      <w:r>
        <w:t xml:space="preserve">5.3 Commitment Period</w:t>
      </w:r>
    </w:p>
    <w:p>
      <w:pPr>
        <w:pStyle w:val="FirstParagraph"/>
      </w:pPr>
      <w:r>
        <w:t>Each Engagement has an initial three (3)-month Commitment Period beginning on the Engagement Start Date. During the Commitment Period, Client may not terminate the Engagement except for cause as defined in Section 14.</w:t>
      </w:r>
    </w:p>
    <w:p>
      <w:pPr>
        <w:pStyle w:val="BodyText"/>
      </w:pPr>
      <w:r>
        <w:t>Following the Commitment Period, the Engagement continues on a month-to-month basis. Either Party may terminate the Engagement (but not this Agreement) with thirty (30) days’ written notice after the Commitment Period expires.</w:t>
      </w:r>
    </w:p>
    <w:bookmarkEnd w:id="35"/>
    <w:bookmarkStart w:id="36" w:name="operator-allocation"/>
    <w:p>
      <w:pPr>
        <w:pStyle w:val="Heading2"/>
      </w:pPr>
      <w:r>
        <w:t xml:space="preserve">5.4 Operator allocation</w:t>
      </w:r>
    </w:p>
    <w:p>
      <w:pPr>
        <w:pStyle w:val="FirstParagraph"/>
      </w:pPr>
      <w:r>
        <w:rPr>
          <w:highlight w:val="yellow"/>
        </w:rPr>
        <w:t xml:space="preserve">Each Retainer Tier reflects a defined Operator allocation — a level of dedicated time and capacity from the Operator — as set forth in Exhibit B. The allocation is expressed in approximate weekly or monthly hours for clarity, but the Retainer is a fixed-fee monthly subscription for that allocation, not time-and-materials billing.</w:t>
      </w:r>
    </w:p>
    <w:p>
      <w:pPr>
        <w:pStyle w:val="BodyText"/>
      </w:pPr>
      <w:r>
        <w:rPr>
          <w:highlight w:val="yellow"/>
        </w:rPr>
        <w:t xml:space="preserve">Operator time is tracked internally by Fractional Standard for capacity management, margin accounting, and tier-fit purposes. Client is not required to approve, sign off on, validate, or otherwise audit Operator hours; Operator hours data is not provided to Client unless specifically requested.</w:t>
      </w:r>
    </w:p>
    <w:p>
      <w:pPr>
        <w:pStyle w:val="BodyText"/>
      </w:pPr>
      <w:r>
        <w:rPr>
          <w:highlight w:val="yellow"/>
        </w:rPr>
        <w:t xml:space="preserve">Within any given month, the actual distribution of Operator time may flex based on Client needs, Operator availability, and project rhythm. Sustained engagement scope materially in excess of the tier allocation is addressed through the procedures in Section 6.</w:t>
      </w:r>
    </w:p>
    <w:bookmarkEnd w:id="36"/>
    <w:bookmarkStart w:id="37" w:name="allocation-expires-monthly"/>
    <w:p>
      <w:pPr>
        <w:pStyle w:val="Heading2"/>
      </w:pPr>
      <w:r>
        <w:t xml:space="preserve">5.5 Allocation expires monthly</w:t>
      </w:r>
    </w:p>
    <w:p>
      <w:pPr>
        <w:pStyle w:val="FirstParagraph"/>
      </w:pPr>
      <w:r>
        <w:rPr>
          <w:highlight w:val="yellow"/>
        </w:rPr>
        <w:t xml:space="preserve">The monthly Operator allocation is purchased on a use-it-or-lose-it basis. Allocation not utilized within a calendar month does not roll forward to subsequent months and is not refundable. The Retainer is a fixed-fee subscription for the right to access the Operator at the tier-defined allocation; it is not a deposit against hourly billing or a prepaid hour bank.</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Language around “hours cap” and</w:t>
            </w:r>
          </w:p>
        </w:tc>
      </w:tr>
      <w:tr>
        <w:tc>
          <w:tcPr/>
          <w:p>
            <w:pPr>
              <w:pStyle w:val="Compact"/>
              <w:jc w:val="left"/>
            </w:pPr>
            <w:r>
              <w:t>“fixed-price retainer” is commercially meaningful and legally distinct</w:t>
            </w:r>
          </w:p>
        </w:tc>
      </w:tr>
      <w:tr>
        <w:tc>
          <w:tcPr/>
          <w:p>
            <w:pPr>
              <w:pStyle w:val="Compact"/>
              <w:jc w:val="left"/>
            </w:pPr>
            <w:r>
              <w:t xml:space="preserve">from time-based billing. Counsel should confirm that this</w:t>
            </w:r>
          </w:p>
        </w:tc>
      </w:tr>
      <w:tr>
        <w:tc>
          <w:tcPr/>
          <w:p>
            <w:pPr>
              <w:pStyle w:val="Compact"/>
              <w:jc w:val="left"/>
            </w:pPr>
            <w:r>
              <w:t xml:space="preserve">characterization aligns with the firm’s intended billing model and does</w:t>
            </w:r>
          </w:p>
        </w:tc>
      </w:tr>
      <w:tr>
        <w:tc>
          <w:tcPr/>
          <w:p>
            <w:pPr>
              <w:pStyle w:val="Compact"/>
              <w:jc w:val="left"/>
            </w:pPr>
            <w:r>
              <w:t xml:space="preserve">not inadvertently trigger licensure or disclosure requirements</w:t>
            </w:r>
          </w:p>
        </w:tc>
      </w:tr>
      <w:tr>
        <w:tc>
          <w:tcPr/>
          <w:p>
            <w:pPr>
              <w:pStyle w:val="Compact"/>
              <w:jc w:val="left"/>
            </w:pPr>
            <w:r>
              <w:t xml:space="preserve">applicable to staffing or professional services firms in the governing</w:t>
            </w:r>
          </w:p>
        </w:tc>
      </w:tr>
      <w:tr>
        <w:tc>
          <w:tcPr/>
          <w:p>
            <w:pPr>
              <w:pStyle w:val="Compact"/>
              <w:jc w:val="left"/>
            </w:pPr>
            <w:r>
              <w:t xml:space="preserve">jurisdiction.</w:t>
            </w:r>
          </w:p>
        </w:tc>
      </w:tr>
    </w:tbl>
    <w:p>
      <w:r>
        <w:pict>
          <v:rect style="width:0;height:1.5pt" o:hralign="center" o:hrstd="t" o:hr="t"/>
        </w:pict>
      </w:r>
    </w:p>
    <w:bookmarkEnd w:id="37"/>
    <w:bookmarkEnd w:id="38"/>
    <w:bookmarkStart w:id="43" w:name="tier-changes-right-sizing"/>
    <w:p>
      <w:pPr>
        <w:pStyle w:val="Heading1"/>
      </w:pPr>
      <w:r>
        <w:t xml:space="preserve">6. Tier Changes &amp; Right-Sizing</w:t>
      </w:r>
    </w:p>
    <w:bookmarkStart w:id="39" w:name="upgrade"/>
    <w:p>
      <w:pPr>
        <w:pStyle w:val="Heading2"/>
      </w:pPr>
      <w:r>
        <w:t xml:space="preserve">6.1 Upgrade</w:t>
      </w:r>
    </w:p>
    <w:p>
      <w:pPr>
        <w:pStyle w:val="FirstParagraph"/>
      </w:pPr>
      <w:r>
        <w:t>Client may upgrade the Retainer Tier at any time with written notice to Fractional Standard. The upgraded Retainer takes effect on the next billing cycle. Fractional Standard will confirm upgrades in writing.</w:t>
      </w:r>
    </w:p>
    <w:bookmarkEnd w:id="39"/>
    <w:bookmarkStart w:id="40" w:name="downgrade"/>
    <w:p>
      <w:pPr>
        <w:pStyle w:val="Heading2"/>
      </w:pPr>
      <w:r>
        <w:t xml:space="preserve">6.2 Downgrade</w:t>
      </w:r>
    </w:p>
    <w:p>
      <w:pPr>
        <w:pStyle w:val="FirstParagraph"/>
      </w:pPr>
      <w:r>
        <w:t>Client may downgrade the Retainer Tier at the end of any calendar month, with written notice delivered at least seven (7) days before month-end. Downgrades may not occur during the initial Commitment Period unless by mutual agreement.</w:t>
      </w:r>
    </w:p>
    <w:bookmarkEnd w:id="40"/>
    <w:bookmarkStart w:id="41" w:name="right-sizing-consultations"/>
    <w:p>
      <w:pPr>
        <w:pStyle w:val="Heading2"/>
      </w:pPr>
      <w:r>
        <w:t xml:space="preserve">6.3 Right-sizing consultations</w:t>
      </w:r>
    </w:p>
    <w:p>
      <w:pPr>
        <w:pStyle w:val="FirstParagraph"/>
      </w:pPr>
      <w:r>
        <w:rPr>
          <w:highlight w:val="yellow"/>
        </w:rPr>
        <w:t xml:space="preserve">Fractional Standard internally monitors engagement scope and Operator capacity utilization. If patterns suggest a tier mismatch — either sustained engagement scope materially below the tier allocation (suggesting a downgrade may serve Client) or sustained engagement scope materially above the tier allocation (suggesting an upgrade is warranted) — Fractional Standard may recommend a tier change during a scheduled right-sizing conversation. Internal utilization data is maintained by Fractional Standard and is not provided to Client unless specifically requested. Right-sizing recommendations are based on Fractional Standard’s observation of engagement scope and rhythm, not on a billable-hours framework.</w:t>
      </w:r>
    </w:p>
    <w:bookmarkEnd w:id="41"/>
    <w:bookmarkStart w:id="42" w:name="scope-expansion"/>
    <w:p>
      <w:pPr>
        <w:pStyle w:val="Heading2"/>
      </w:pPr>
      <w:r>
        <w:t xml:space="preserve">6.4 Scope expansion</w:t>
      </w:r>
    </w:p>
    <w:p>
      <w:pPr>
        <w:pStyle w:val="FirstParagraph"/>
      </w:pPr>
      <w:r>
        <w:rPr>
          <w:highlight w:val="yellow"/>
        </w:rPr>
        <w:t xml:space="preserve">If Client engagement scope sustainably expands beyond what the current Tier allocation supports, the Parties will address the expansion through one of the following methods, agreed in advance through a conversation initiated by Fractional Standard (Chris or Kevin) with Client:</w:t>
      </w:r>
    </w:p>
    <w:p>
      <w:pPr>
        <w:pStyle w:val="BodyText"/>
      </w:pPr>
      <w:r>
        <w:rPr>
          <w:highlight w:val="yellow"/>
        </w:rPr>
        <w:t xml:space="preserve">- Upgrade the Tier prospectively to match the new engagement scope;</w:t>
      </w:r>
    </w:p>
    <w:p>
      <w:pPr>
        <w:pStyle w:val="BodyText"/>
      </w:pPr>
      <w:r>
        <w:rPr>
          <w:highlight w:val="yellow"/>
        </w:rPr>
        <w:t xml:space="preserve">- Agree to a defined supplemental engagement (project-based or temporary capacity increase) at terms separately agreed; or</w:t>
      </w:r>
    </w:p>
    <w:p>
      <w:pPr>
        <w:pStyle w:val="BodyText"/>
      </w:pPr>
      <w:r>
        <w:rPr>
          <w:highlight w:val="yellow"/>
        </w:rPr>
        <w:t xml:space="preserve">- Mutually scale back engagement scope to fit the existing Tier allocation.</w:t>
      </w:r>
    </w:p>
    <w:p>
      <w:pPr>
        <w:pStyle w:val="BodyText"/>
      </w:pPr>
      <w:r>
        <w:rPr>
          <w:highlight w:val="yellow"/>
        </w:rPr>
        <w:t xml:space="preserve">Sustained scope expansion patterns (two or more consecutive months operating materially beyond the Tier allocation) will trigger a mandatory Tier right-sizing conversation with Chris or Kevin. Client is not separately invoiced for time worked above the Tier allocation in any single month — the Retainer is a fixed fee — but sustained patterns will trigger the right-sizing conversation described above.</w:t>
      </w:r>
    </w:p>
    <w:bookmarkEnd w:id="42"/>
    <w:bookmarkEnd w:id="43"/>
    <w:bookmarkStart w:id="48" w:name="operator-relationship"/>
    <w:p>
      <w:pPr>
        <w:pStyle w:val="Heading1"/>
      </w:pPr>
      <w:r>
        <w:t xml:space="preserve">7. Operator Relationship</w:t>
      </w:r>
    </w:p>
    <w:bookmarkStart w:id="44" w:name="X9d77d037492d35bc664f05cd3aa7451312c84c8"/>
    <w:p>
      <w:pPr>
        <w:pStyle w:val="Heading2"/>
      </w:pPr>
      <w:r>
        <w:t xml:space="preserve">7.1 Fractional Standard is the contracting party</w:t>
      </w:r>
    </w:p>
    <w:p>
      <w:pPr>
        <w:pStyle w:val="FirstParagraph"/>
      </w:pPr>
      <w:r>
        <w:t>All Operators placed with Client under this Agreement are under contract with Fractional Standard via a separate Independent Contractor Agreement (the “ICA”). Client does not contract directly with Operators for work under this Agreement.</w:t>
      </w:r>
    </w:p>
    <w:bookmarkEnd w:id="44"/>
    <w:bookmarkStart w:id="45" w:name="no-direct-employment-or-engagement"/>
    <w:p>
      <w:pPr>
        <w:pStyle w:val="Heading2"/>
      </w:pPr>
      <w:r>
        <w:t xml:space="preserve">7.2 No direct employment or engagement</w:t>
      </w:r>
    </w:p>
    <w:p>
      <w:pPr>
        <w:pStyle w:val="FirstParagraph"/>
      </w:pPr>
      <w:r>
        <w:t>Client shall not enter into any direct employment agreement, contractor agreement, consulting agreement, or equity arrangement with any Operator placed by Fractional Standard during the Engagement or during the twelve (12) months following the later of (a) the end of the Engagement or (b) the termination of this Agreement. Exceptions are governed exclusively by Section 9 (FTE Conversion).</w:t>
      </w:r>
    </w:p>
    <w:bookmarkEnd w:id="45"/>
    <w:bookmarkStart w:id="46" w:name="operator-independence"/>
    <w:p>
      <w:pPr>
        <w:pStyle w:val="Heading2"/>
      </w:pPr>
      <w:r>
        <w:t xml:space="preserve">7.3 Operator independence</w:t>
      </w:r>
    </w:p>
    <w:p>
      <w:pPr>
        <w:pStyle w:val="FirstParagraph"/>
      </w:pPr>
      <w:r>
        <w:t>Operators are independent contractors. They work directly with Client on scope, priorities, and deliverables. Client does not provide direction or control over Operator’s methods, hours of work, or work location, except as reasonably necessary to coordinate Client’s work.</w:t>
      </w:r>
    </w:p>
    <w:bookmarkEnd w:id="46"/>
    <w:bookmarkStart w:id="47" w:name="operator-compensation"/>
    <w:p>
      <w:pPr>
        <w:pStyle w:val="Heading2"/>
      </w:pPr>
      <w:r>
        <w:t xml:space="preserve">7.4 Operator compensation</w:t>
      </w:r>
    </w:p>
    <w:p>
      <w:pPr>
        <w:pStyle w:val="FirstParagraph"/>
      </w:pPr>
      <w:r>
        <w:t>Fractional Standard is solely responsible for Operator compensation. Client shall not pay or offer compensation, bonuses, gifts, reimbursements, or benefits directly to any Operator, except for ordinary-course business expenses reasonably incurred by the Operator in connection with Client’s work, subject to Client’s standard expense reimbursement policies.</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Section 7 is the most important section of</w:t>
            </w:r>
          </w:p>
        </w:tc>
      </w:tr>
      <w:tr>
        <w:tc>
          <w:tcPr/>
          <w:p>
            <w:pPr>
              <w:pStyle w:val="Compact"/>
              <w:jc w:val="left"/>
            </w:pPr>
            <w:r>
              <w:t xml:space="preserve">this Agreement for worker classification purposes. Counsel review is</w:t>
            </w:r>
          </w:p>
        </w:tc>
      </w:tr>
      <w:tr>
        <w:tc>
          <w:tcPr/>
          <w:p>
            <w:pPr>
              <w:pStyle w:val="Compact"/>
              <w:jc w:val="left"/>
            </w:pPr>
            <w:r>
              <w:t xml:space="preserve">essential. The language characterizing Operator as independent</w:t>
            </w:r>
          </w:p>
        </w:tc>
      </w:tr>
      <w:tr>
        <w:tc>
          <w:tcPr/>
          <w:p>
            <w:pPr>
              <w:pStyle w:val="Compact"/>
              <w:jc w:val="left"/>
            </w:pPr>
            <w:r>
              <w:t xml:space="preserve">contractor must align with federal and state classification tests (ABC</w:t>
            </w:r>
          </w:p>
        </w:tc>
      </w:tr>
      <w:tr>
        <w:tc>
          <w:tcPr/>
          <w:p>
            <w:pPr>
              <w:pStyle w:val="Compact"/>
              <w:jc w:val="left"/>
            </w:pPr>
            <w:r>
              <w:t xml:space="preserve">test in some states, IRS 20-factor test federally). Language about</w:t>
            </w:r>
          </w:p>
        </w:tc>
      </w:tr>
      <w:tr>
        <w:tc>
          <w:tcPr/>
          <w:p>
            <w:pPr>
              <w:pStyle w:val="Compact"/>
              <w:jc w:val="left"/>
            </w:pPr>
            <w:r>
              <w:t>Client “direction and control” is the single most scrutinized factor in</w:t>
            </w:r>
          </w:p>
        </w:tc>
      </w:tr>
      <w:tr>
        <w:tc>
          <w:tcPr/>
          <w:p>
            <w:pPr>
              <w:pStyle w:val="Compact"/>
              <w:jc w:val="left"/>
            </w:pPr>
            <w:r>
              <w:t xml:space="preserve">classification challenges. Counsel may tighten this considerably.</w:t>
            </w:r>
          </w:p>
        </w:tc>
      </w:tr>
    </w:tbl>
    <w:p>
      <w:r>
        <w:pict>
          <v:rect style="width:0;height:1.5pt" o:hralign="center" o:hrstd="t" o:hr="t"/>
        </w:pict>
      </w:r>
    </w:p>
    <w:bookmarkEnd w:id="47"/>
    <w:bookmarkEnd w:id="48"/>
    <w:bookmarkStart w:id="53" w:name="non-solicitation-non-circumvention"/>
    <w:p>
      <w:pPr>
        <w:pStyle w:val="Heading1"/>
      </w:pPr>
      <w:r>
        <w:t xml:space="preserve">8. Non-Solicitation &amp; Non-Circumvention</w:t>
      </w:r>
    </w:p>
    <w:bookmarkStart w:id="49" w:name="non-circumvention"/>
    <w:p>
      <w:pPr>
        <w:pStyle w:val="Heading2"/>
      </w:pPr>
      <w:r>
        <w:t xml:space="preserve">8.1 Non-circumvention</w:t>
      </w:r>
    </w:p>
    <w:p>
      <w:pPr>
        <w:pStyle w:val="FirstParagraph"/>
      </w:pPr>
      <w:r>
        <w:t>During the term of any Engagement and for twelve (12) months following the later of (a) the end of the Engagement or (b) the termination of this Agreement (the “Restricted Period”), Client shall not directly or indirectly engage, hire, retain, or enter into any compensated arrangement with any Operator placed by Fractional Standard, including without limitation employment, consulting, advisory, or equity arrangements, except as expressly permitted by Section 9 (FTE Conversion).</w:t>
      </w:r>
    </w:p>
    <w:bookmarkEnd w:id="49"/>
    <w:bookmarkStart w:id="50" w:name="non-solicitation"/>
    <w:p>
      <w:pPr>
        <w:pStyle w:val="Heading2"/>
      </w:pPr>
      <w:r>
        <w:t xml:space="preserve">8.2 Non-solicitation</w:t>
      </w:r>
    </w:p>
    <w:p>
      <w:pPr>
        <w:pStyle w:val="FirstParagraph"/>
      </w:pPr>
      <w:r>
        <w:t>During the Restricted Period, Client shall not solicit any Operator to terminate or modify the Operator’s relationship with Fractional Standard, nor encourage any Operator to engage with Client outside the framework of this Agreement.</w:t>
      </w:r>
    </w:p>
    <w:bookmarkEnd w:id="50"/>
    <w:bookmarkStart w:id="51" w:name="remedy"/>
    <w:p>
      <w:pPr>
        <w:pStyle w:val="Heading2"/>
      </w:pPr>
      <w:r>
        <w:t xml:space="preserve">8.3 Remedy</w:t>
      </w:r>
    </w:p>
    <w:p>
      <w:pPr>
        <w:pStyle w:val="FirstParagraph"/>
      </w:pPr>
      <w:r>
        <w:t>If Client violates Section 8.1 or 8.2, Client shall pay Fractional Standard a placement fee equal to twenty-five percent (25%) of the Operator’s first-year compensation with Client, calculated on the Operator’s total annualized compensation (base plus any bonuses, equity, or other compensation valued at grant). This fee is liquidated damages and is the exclusive financial remedy for a violation of this Section, in addition to injunctive relief available to Fractional Standard.</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Non-solicitation and non-circumvention</w:t>
            </w:r>
          </w:p>
        </w:tc>
      </w:tr>
      <w:tr>
        <w:tc>
          <w:tcPr/>
          <w:p>
            <w:pPr>
              <w:pStyle w:val="Compact"/>
              <w:jc w:val="left"/>
            </w:pPr>
            <w:r>
              <w:t xml:space="preserve">provisions are heavily regulated and state-specific. In California,</w:t>
            </w:r>
          </w:p>
        </w:tc>
      </w:tr>
      <w:tr>
        <w:tc>
          <w:tcPr/>
          <w:p>
            <w:pPr>
              <w:pStyle w:val="Compact"/>
              <w:jc w:val="left"/>
            </w:pPr>
            <w:r>
              <w:t xml:space="preserve">many non-solicitation provisions against an employer (the Client) are</w:t>
            </w:r>
          </w:p>
        </w:tc>
      </w:tr>
      <w:tr>
        <w:tc>
          <w:tcPr/>
          <w:p>
            <w:pPr>
              <w:pStyle w:val="Compact"/>
              <w:jc w:val="left"/>
            </w:pPr>
            <w:r>
              <w:t xml:space="preserve">unenforceable. In other states, the 12-month duration and 25%</w:t>
            </w:r>
          </w:p>
        </w:tc>
      </w:tr>
      <w:tr>
        <w:tc>
          <w:tcPr/>
          <w:p>
            <w:pPr>
              <w:pStyle w:val="Compact"/>
              <w:jc w:val="left"/>
            </w:pPr>
            <w:r>
              <w:t xml:space="preserve">liquidated-damages structure are defensible but subject to</w:t>
            </w:r>
          </w:p>
        </w:tc>
      </w:tr>
      <w:tr>
        <w:tc>
          <w:tcPr/>
          <w:p>
            <w:pPr>
              <w:pStyle w:val="Compact"/>
              <w:jc w:val="left"/>
            </w:pPr>
            <w:r>
              <w:t xml:space="preserve">reasonableness review. Counsel should calibrate the Restricted Period</w:t>
            </w:r>
          </w:p>
        </w:tc>
      </w:tr>
      <w:tr>
        <w:tc>
          <w:tcPr/>
          <w:p>
            <w:pPr>
              <w:pStyle w:val="Compact"/>
              <w:jc w:val="left"/>
            </w:pPr>
            <w:r>
              <w:t xml:space="preserve">duration, geographic scope, and liquidated damages to the governing</w:t>
            </w:r>
          </w:p>
        </w:tc>
      </w:tr>
      <w:tr>
        <w:tc>
          <w:tcPr/>
          <w:p>
            <w:pPr>
              <w:pStyle w:val="Compact"/>
              <w:jc w:val="left"/>
            </w:pPr>
            <w:r>
              <w:t xml:space="preserve">state’s case law.</w:t>
            </w:r>
          </w:p>
        </w:tc>
      </w:tr>
    </w:tbl>
    <w:p>
      <w:r>
        <w:pict>
          <v:rect style="width:0;height:1.5pt" o:hralign="center" o:hrstd="t" o:hr="t"/>
        </w:pict>
      </w:r>
    </w:p>
    <w:bookmarkEnd w:id="51"/>
    <w:bookmarkStart w:id="52" w:name="exceptions"/>
    <w:p>
      <w:pPr>
        <w:pStyle w:val="Heading2"/>
      </w:pPr>
      <w:r>
        <w:t xml:space="preserve">8.4 Exceptions</w:t>
      </w:r>
    </w:p>
    <w:p>
      <w:pPr>
        <w:pStyle w:val="FirstParagraph"/>
      </w:pPr>
      <w:r>
        <w:t xml:space="preserve">Section 8.1 does not apply to:</w:t>
      </w:r>
    </w:p>
    <w:p>
      <w:pPr>
        <w:numPr>
          <w:ilvl w:val="0"/>
          <w:numId w:val="1006"/>
        </w:numPr>
      </w:pPr>
      <w:r>
        <w:t>An Operator with whom Client had a documented prior relationship preceding Fractional Standard’s introduction;</w:t>
      </w:r>
    </w:p>
    <w:p>
      <w:pPr>
        <w:numPr>
          <w:ilvl w:val="0"/>
          <w:numId w:val="1006"/>
        </w:numPr>
      </w:pPr>
      <w:r>
        <w:t>An Operator who, independently and without any solicitation by Client, contacts Client seeking engagement outside the scope of this Agreement, provided that Client promptly notifies Fractional Standard in writing and abides by Section 9 if moving forward;</w:t>
      </w:r>
    </w:p>
    <w:p>
      <w:pPr>
        <w:numPr>
          <w:ilvl w:val="0"/>
          <w:numId w:val="1006"/>
        </w:numPr>
      </w:pPr>
      <w:r>
        <w:t xml:space="preserve">An FTE Conversion governed by Section 9 and Exhibit D.</w:t>
      </w:r>
    </w:p>
    <w:bookmarkEnd w:id="52"/>
    <w:bookmarkEnd w:id="53"/>
    <w:bookmarkStart w:id="58" w:name="fte-conversion-direct-hire-placement"/>
    <w:p>
      <w:pPr>
        <w:pStyle w:val="Heading1"/>
      </w:pPr>
      <w:r>
        <w:t xml:space="preserve">9. FTE Conversion / Direct-Hire Placement</w:t>
      </w:r>
    </w:p>
    <w:bookmarkStart w:id="54" w:name="fte-conversion-right"/>
    <w:p>
      <w:pPr>
        <w:pStyle w:val="Heading2"/>
      </w:pPr>
      <w:r>
        <w:t xml:space="preserve">9.1 FTE Conversion right</w:t>
      </w:r>
    </w:p>
    <w:p>
      <w:pPr>
        <w:pStyle w:val="FirstParagraph"/>
      </w:pPr>
      <w:r>
        <w:t>Notwithstanding Section 8, Client may convert any Operator placed by Fractional Standard to a full-time employee, long-term contractor, or executive of Client (a “FTE Conversion”), subject to the terms of this Section 9 and the Direct-Hire Addendum set forth in Exhibit D.</w:t>
      </w:r>
    </w:p>
    <w:bookmarkEnd w:id="54"/>
    <w:bookmarkStart w:id="55" w:name="process"/>
    <w:p>
      <w:pPr>
        <w:pStyle w:val="Heading2"/>
      </w:pPr>
      <w:r>
        <w:t xml:space="preserve">9.2 Process</w:t>
      </w:r>
    </w:p>
    <w:p>
      <w:pPr>
        <w:numPr>
          <w:ilvl w:val="0"/>
          <w:numId w:val="1007"/>
        </w:numPr>
      </w:pPr>
      <w:r>
        <w:t>Client shall notify Fractional Standard in writing of an intent to convert an Operator.</w:t>
      </w:r>
    </w:p>
    <w:p>
      <w:pPr>
        <w:numPr>
          <w:ilvl w:val="0"/>
          <w:numId w:val="1007"/>
        </w:numPr>
      </w:pPr>
      <w:r>
        <w:t>Client and Fractional Standard will confirm the proposed role, start date, and compensation.</w:t>
      </w:r>
    </w:p>
    <w:p>
      <w:pPr>
        <w:numPr>
          <w:ilvl w:val="0"/>
          <w:numId w:val="1007"/>
        </w:numPr>
      </w:pPr>
      <w:r>
        <w:t>Fractional Standard will obtain Operator’s written consent to the conversion.</w:t>
      </w:r>
    </w:p>
    <w:p>
      <w:pPr>
        <w:numPr>
          <w:ilvl w:val="0"/>
          <w:numId w:val="1007"/>
        </w:numPr>
      </w:pPr>
      <w:r>
        <w:t>Client will execute the Direct-Hire Addendum (Exhibit D) and pay the conversion fee.</w:t>
      </w:r>
    </w:p>
    <w:p>
      <w:pPr>
        <w:numPr>
          <w:ilvl w:val="0"/>
          <w:numId w:val="1007"/>
        </w:numPr>
      </w:pPr>
      <w:r>
        <w:t>The active Engagement terminates on the FTE Conversion effective date.</w:t>
      </w:r>
    </w:p>
    <w:bookmarkEnd w:id="55"/>
    <w:bookmarkStart w:id="56" w:name="conversion-fee"/>
    <w:p>
      <w:pPr>
        <w:pStyle w:val="Heading2"/>
      </w:pPr>
      <w:r>
        <w:t xml:space="preserve">9.3 Conversion fee</w:t>
      </w:r>
    </w:p>
    <w:p>
      <w:pPr>
        <w:pStyle w:val="FirstParagraph"/>
      </w:pPr>
      <w:r>
        <w:rPr>
          <w:highlight w:val="yellow"/>
        </w:rPr>
        <w:t>The conversion fee is calculated as a tiered percentage of the Operator’s first-year base compensation with Client, with the percentage determined by the Operator’s Tenure at the time of Conversion (20% for 0–3 months, 17% for 3–6 months, 13% for 6–12 months, 10% for 12+ months). A 3-Month Minimum Buyout applies if Conversion occurs before the Operator has completed 3 full months of Tenure. The conversion fee is payable net-30 after the Operator’s start date. Full fee details, tier definitions, the 3-Month Minimum Buyout, and the 12-month Tail Period are set forth in Exhibit D and the Conversion Fee Policy.</w:t>
      </w:r>
    </w:p>
    <w:bookmarkEnd w:id="56"/>
    <w:bookmarkStart w:id="57" w:name="exclusivity"/>
    <w:p>
      <w:pPr>
        <w:pStyle w:val="Heading2"/>
      </w:pPr>
      <w:r>
        <w:t xml:space="preserve">9.4 Exclusivity</w:t>
      </w:r>
    </w:p>
    <w:p>
      <w:pPr>
        <w:pStyle w:val="FirstParagraph"/>
      </w:pPr>
      <w:r>
        <w:t>The FTE Conversion right is non-exclusive. Client is free to hire candidates from any source, and Fractional Standard retains the right to match other Operators with other clients during the Restricted Period.</w:t>
      </w:r>
    </w:p>
    <w:bookmarkEnd w:id="57"/>
    <w:bookmarkEnd w:id="58"/>
    <w:bookmarkStart w:id="63" w:name="client-obligations"/>
    <w:p>
      <w:pPr>
        <w:pStyle w:val="Heading1"/>
      </w:pPr>
      <w:r>
        <w:t xml:space="preserve">10. Client Obligations</w:t>
      </w:r>
    </w:p>
    <w:p>
      <w:pPr>
        <w:pStyle w:val="FirstParagraph"/>
      </w:pPr>
      <w:r>
        <w:t xml:space="preserve">During the term of this Agreement and each Engagement, Client shall:</w:t>
      </w:r>
    </w:p>
    <w:bookmarkStart w:id="59" w:name="access-and-responsiveness"/>
    <w:p>
      <w:pPr>
        <w:pStyle w:val="Heading2"/>
      </w:pPr>
      <w:r>
        <w:t xml:space="preserve">10.1 Access and responsiveness</w:t>
      </w:r>
    </w:p>
    <w:p>
      <w:pPr>
        <w:numPr>
          <w:ilvl w:val="0"/>
          <w:numId w:val="1008"/>
        </w:numPr>
      </w:pPr>
      <w:r>
        <w:t>Provide placed Operator with reasonable access to information, systems, personnel, and stakeholders necessary for the Operator’s engagement;</w:t>
      </w:r>
    </w:p>
    <w:p>
      <w:pPr>
        <w:numPr>
          <w:ilvl w:val="0"/>
          <w:numId w:val="1008"/>
        </w:numPr>
      </w:pPr>
      <w:r>
        <w:t>Respond to Operator’s reasonable requests for information and decisions within a commercially reasonable timeframe (typically within two business days);</w:t>
      </w:r>
    </w:p>
    <w:p>
      <w:pPr>
        <w:numPr>
          <w:ilvl w:val="0"/>
          <w:numId w:val="1008"/>
        </w:numPr>
      </w:pPr>
      <w:r>
        <w:t xml:space="preserve">Designate a primary point of contact at Client for the Operator.</w:t>
      </w:r>
    </w:p>
    <w:bookmarkEnd w:id="59"/>
    <w:bookmarkStart w:id="60" w:name="scope-clarity"/>
    <w:p>
      <w:pPr>
        <w:pStyle w:val="Heading2"/>
      </w:pPr>
      <w:r>
        <w:t xml:space="preserve">10.2 Scope clarity</w:t>
      </w:r>
    </w:p>
    <w:p>
      <w:pPr>
        <w:numPr>
          <w:ilvl w:val="0"/>
          <w:numId w:val="1009"/>
        </w:numPr>
      </w:pPr>
      <w:r>
        <w:t>Provide the Operator with a scope of work, priorities, and deliverable expectations within the first week of the Engagement;</w:t>
      </w:r>
    </w:p>
    <w:p>
      <w:pPr>
        <w:numPr>
          <w:ilvl w:val="0"/>
          <w:numId w:val="1009"/>
        </w:numPr>
      </w:pPr>
      <w:r>
        <w:t>Communicate any material changes to scope or priorities promptly to both the Operator and Fractional Standard.</w:t>
      </w:r>
    </w:p>
    <w:bookmarkEnd w:id="60"/>
    <w:bookmarkStart w:id="61" w:name="payment"/>
    <w:p>
      <w:pPr>
        <w:pStyle w:val="Heading2"/>
      </w:pPr>
      <w:r>
        <w:t xml:space="preserve">10.3 Payment</w:t>
      </w:r>
    </w:p>
    <w:p>
      <w:pPr>
        <w:numPr>
          <w:ilvl w:val="0"/>
          <w:numId w:val="1010"/>
        </w:numPr>
      </w:pPr>
      <w:r>
        <w:t xml:space="preserve">Pay all invoices in accordance with Section 15;</w:t>
      </w:r>
    </w:p>
    <w:p>
      <w:pPr>
        <w:numPr>
          <w:ilvl w:val="0"/>
          <w:numId w:val="1010"/>
        </w:numPr>
      </w:pPr>
      <w:r>
        <w:t>Maintain a valid payment method on file in the Fractional Standard portal.</w:t>
      </w:r>
    </w:p>
    <w:bookmarkEnd w:id="61"/>
    <w:bookmarkStart w:id="62" w:name="compliance"/>
    <w:p>
      <w:pPr>
        <w:pStyle w:val="Heading2"/>
      </w:pPr>
      <w:r>
        <w:t xml:space="preserve">10.4 Compliance</w:t>
      </w:r>
    </w:p>
    <w:p>
      <w:pPr>
        <w:numPr>
          <w:ilvl w:val="0"/>
          <w:numId w:val="1011"/>
        </w:numPr>
      </w:pPr>
      <w:r>
        <w:t>Comply with all applicable laws regarding the engagement of contractors, including employment, tax, and information privacy laws;</w:t>
      </w:r>
    </w:p>
    <w:p>
      <w:pPr>
        <w:numPr>
          <w:ilvl w:val="0"/>
          <w:numId w:val="1011"/>
        </w:numPr>
      </w:pPr>
      <w:r>
        <w:t>Not ask Operator to perform work that violates applicable law or professional ethics standards;</w:t>
      </w:r>
    </w:p>
    <w:p>
      <w:pPr>
        <w:numPr>
          <w:ilvl w:val="0"/>
          <w:numId w:val="1011"/>
        </w:numPr>
      </w:pPr>
      <w:r>
        <w:t>Notify Fractional Standard promptly of any concerns regarding Operator performance, conduct, or fit.</w:t>
      </w:r>
    </w:p>
    <w:bookmarkEnd w:id="62"/>
    <w:bookmarkEnd w:id="63"/>
    <w:bookmarkStart w:id="69" w:name="confidentiality"/>
    <w:p>
      <w:pPr>
        <w:pStyle w:val="Heading1"/>
      </w:pPr>
      <w:r>
        <w:t xml:space="preserve">11. Confidentiality</w:t>
      </w:r>
    </w:p>
    <w:bookmarkStart w:id="64" w:name="mutual-confidentiality"/>
    <w:p>
      <w:pPr>
        <w:pStyle w:val="Heading2"/>
      </w:pPr>
      <w:r>
        <w:t xml:space="preserve">11.1 Mutual confidentiality</w:t>
      </w:r>
    </w:p>
    <w:p>
      <w:pPr>
        <w:pStyle w:val="FirstParagraph"/>
      </w:pPr>
      <w:r>
        <w:t>Each Party (the “Receiving Party”) acknowledges that in performing this Agreement it may receive Confidential Information from the other Party (the “Disclosing Party”). “Confidential Information” means any non-public information of the Disclosing Party disclosed to the Receiving Party, whether in oral, written, electronic, or other form, that is marked as confidential or that a reasonable person would understand to be confidential given the nature of the information and circumstances of disclosure.</w:t>
      </w:r>
    </w:p>
    <w:bookmarkEnd w:id="64"/>
    <w:bookmarkStart w:id="65" w:name="obligations"/>
    <w:p>
      <w:pPr>
        <w:pStyle w:val="Heading2"/>
      </w:pPr>
      <w:r>
        <w:t xml:space="preserve">11.2 Obligations</w:t>
      </w:r>
    </w:p>
    <w:p>
      <w:pPr>
        <w:pStyle w:val="FirstParagraph"/>
      </w:pPr>
      <w:r>
        <w:t xml:space="preserve">The Receiving Party shall:</w:t>
      </w:r>
    </w:p>
    <w:p>
      <w:pPr>
        <w:numPr>
          <w:ilvl w:val="0"/>
          <w:numId w:val="1012"/>
        </w:numPr>
      </w:pPr>
      <w:r>
        <w:t>Use the Confidential Information solely for purposes of performing its obligations under this Agreement;</w:t>
      </w:r>
    </w:p>
    <w:p>
      <w:pPr>
        <w:numPr>
          <w:ilvl w:val="0"/>
          <w:numId w:val="1012"/>
        </w:numPr>
      </w:pPr>
      <w:r>
        <w:t>Protect the Confidential Information with at least the same degree of care it uses for its own confidential information of similar sensitivity, but in no event less than reasonable care;</w:t>
      </w:r>
    </w:p>
    <w:p>
      <w:pPr>
        <w:numPr>
          <w:ilvl w:val="0"/>
          <w:numId w:val="1012"/>
        </w:numPr>
      </w:pPr>
      <w:r>
        <w:t>Not disclose Confidential Information to third parties except to its Affiliates, employees, and contractors who have a need to know and are bound by confidentiality obligations at least as protective;</w:t>
      </w:r>
    </w:p>
    <w:p>
      <w:pPr>
        <w:numPr>
          <w:ilvl w:val="0"/>
          <w:numId w:val="1012"/>
        </w:numPr>
      </w:pPr>
      <w:r>
        <w:t>Return or destroy all Confidential Information upon termination of this Agreement, except as required by law or legitimate record retention.</w:t>
      </w:r>
    </w:p>
    <w:bookmarkEnd w:id="65"/>
    <w:bookmarkStart w:id="66" w:name="exclusions"/>
    <w:p>
      <w:pPr>
        <w:pStyle w:val="Heading2"/>
      </w:pPr>
      <w:r>
        <w:t xml:space="preserve">11.3 Exclusions</w:t>
      </w:r>
    </w:p>
    <w:p>
      <w:pPr>
        <w:pStyle w:val="FirstParagraph"/>
      </w:pPr>
      <w:r>
        <w:t>Confidential Information does not include information that: (a) was in the Receiving Party’s possession before disclosure without confidentiality obligation; (b) is or becomes publicly known through no fault of the Receiving Party; (c) is lawfully received from a third party without confidentiality obligation; or (d) is independently developed by the Receiving Party without reference to the Confidential Information.</w:t>
      </w:r>
    </w:p>
    <w:bookmarkEnd w:id="66"/>
    <w:bookmarkStart w:id="67" w:name="operators-as-recipients"/>
    <w:p>
      <w:pPr>
        <w:pStyle w:val="Heading2"/>
      </w:pPr>
      <w:r>
        <w:t xml:space="preserve">11.4 Operators as recipients</w:t>
      </w:r>
    </w:p>
    <w:p>
      <w:pPr>
        <w:pStyle w:val="FirstParagraph"/>
      </w:pPr>
      <w:r>
        <w:t>Operators placed with Client receive Confidential Information of Client in the ordinary course of the Engagement. Operator confidentiality obligations are governed by the Operator’s ICA with Fractional Standard, which includes confidentiality terms at least as protective as those in this Section.</w:t>
      </w:r>
    </w:p>
    <w:bookmarkEnd w:id="67"/>
    <w:bookmarkStart w:id="68" w:name="survival"/>
    <w:p>
      <w:pPr>
        <w:pStyle w:val="Heading2"/>
      </w:pPr>
      <w:r>
        <w:t xml:space="preserve">11.5 Survival</w:t>
      </w:r>
    </w:p>
    <w:p>
      <w:pPr>
        <w:pStyle w:val="FirstParagraph"/>
      </w:pPr>
      <w:r>
        <w:t>The obligations in this Section 11 survive termination of this Agreement for three (3) years, except with respect to Confidential Information that constitutes a trade secret under applicable law, for which the obligations survive for as long as the information retains trade-secret status.</w:t>
      </w:r>
    </w:p>
    <w:bookmarkEnd w:id="68"/>
    <w:bookmarkEnd w:id="69"/>
    <w:bookmarkStart w:id="74" w:name="intellectual-property"/>
    <w:p>
      <w:pPr>
        <w:pStyle w:val="Heading1"/>
      </w:pPr>
      <w:r>
        <w:t xml:space="preserve">12. Intellectual Property</w:t>
      </w:r>
    </w:p>
    <w:bookmarkStart w:id="70" w:name="client-ownership-of-deliverables"/>
    <w:p>
      <w:pPr>
        <w:pStyle w:val="Heading2"/>
      </w:pPr>
      <w:r>
        <w:t xml:space="preserve">12.1 Client ownership of deliverables</w:t>
      </w:r>
    </w:p>
    <w:p>
      <w:pPr>
        <w:pStyle w:val="FirstParagraph"/>
      </w:pPr>
      <w:r>
        <w:t>All work product, deliverables, and intellectual property created by the Operator specifically for Client in the course of an Engagement (“Client Deliverables”) shall be owned by Client. Fractional Standard’s ICA with each Operator assigns such rights to Client upon payment of the applicable Retainer.</w:t>
      </w:r>
    </w:p>
    <w:bookmarkEnd w:id="70"/>
    <w:bookmarkStart w:id="71" w:name="X1928a542bc1ce02e156f5d21bb2bc193cbd286f"/>
    <w:p>
      <w:pPr>
        <w:pStyle w:val="Heading2"/>
      </w:pPr>
      <w:r>
        <w:t xml:space="preserve">12.2 Fractional Standard ownership of methodology</w:t>
      </w:r>
    </w:p>
    <w:p>
      <w:pPr>
        <w:pStyle w:val="FirstParagraph"/>
      </w:pPr>
      <w:r>
        <w:t>Fractional Standard retains all right, title, and interest in its proprietary methodology, assessment frameworks, matching algorithms, simulation scenarios, scoring rubrics, Operator profiles, and aggregated placement data. Nothing in this Agreement grants Client any rights in such materials beyond a non-exclusive, non-transferable, limited license to use outputs of such materials in the course of the Engagement.</w:t>
      </w:r>
    </w:p>
    <w:bookmarkEnd w:id="71"/>
    <w:bookmarkStart w:id="72" w:name="matching-data-license"/>
    <w:p>
      <w:pPr>
        <w:pStyle w:val="Heading2"/>
      </w:pPr>
      <w:r>
        <w:t xml:space="preserve">12.3 Matching data license</w:t>
      </w:r>
    </w:p>
    <w:p>
      <w:pPr>
        <w:pStyle w:val="FirstParagraph"/>
      </w:pPr>
      <w:r>
        <w:t>Client acknowledges that Fractional Standard will record and analyze structured data about the Engagement, including Operator and Client identifiers, role taxonomy, engagement duration, tier designation, satisfaction scores, and placement outcomes (the “Matching Data”). Client grants Fractional Standard a perpetual, royalty-free, worldwide license to use the Matching Data in anonymized and aggregated form to improve Fractional Standard’s matching and assessment services. Personally identifying information about Client or Client’s personnel shall not be disclosed to third parties except as permitted under Section 11 or Section 18.</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The matching-data license is strategically</w:t>
            </w:r>
          </w:p>
        </w:tc>
      </w:tr>
      <w:tr>
        <w:tc>
          <w:tcPr/>
          <w:p>
            <w:pPr>
              <w:pStyle w:val="Compact"/>
              <w:jc w:val="left"/>
            </w:pPr>
            <w:r>
              <w:t xml:space="preserve">important — it is the seed of the firm’s Phase 2 data moat. Counsel</w:t>
            </w:r>
          </w:p>
        </w:tc>
      </w:tr>
      <w:tr>
        <w:tc>
          <w:tcPr/>
          <w:p>
            <w:pPr>
              <w:pStyle w:val="Compact"/>
              <w:jc w:val="left"/>
            </w:pPr>
            <w:r>
              <w:t xml:space="preserve">should ensure the license language is broad enough to support the</w:t>
            </w:r>
          </w:p>
        </w:tc>
      </w:tr>
      <w:tr>
        <w:tc>
          <w:tcPr/>
          <w:p>
            <w:pPr>
              <w:pStyle w:val="Compact"/>
              <w:jc w:val="left"/>
            </w:pPr>
            <w:r>
              <w:t xml:space="preserve">firm’s intended use of the data (including algorithmic training), while</w:t>
            </w:r>
          </w:p>
        </w:tc>
      </w:tr>
      <w:tr>
        <w:tc>
          <w:tcPr/>
          <w:p>
            <w:pPr>
              <w:pStyle w:val="Compact"/>
              <w:jc w:val="left"/>
            </w:pPr>
            <w:r>
              <w:t xml:space="preserve">narrow enough to respect Client’s confidentiality interests. Consider</w:t>
            </w:r>
          </w:p>
        </w:tc>
      </w:tr>
      <w:tr>
        <w:tc>
          <w:tcPr/>
          <w:p>
            <w:pPr>
              <w:pStyle w:val="Compact"/>
              <w:jc w:val="left"/>
            </w:pPr>
            <w:r>
              <w:t xml:space="preserve">also whether this language needs an opt-out mechanism for particularly</w:t>
            </w:r>
          </w:p>
        </w:tc>
      </w:tr>
      <w:tr>
        <w:tc>
          <w:tcPr/>
          <w:p>
            <w:pPr>
              <w:pStyle w:val="Compact"/>
              <w:jc w:val="left"/>
            </w:pPr>
            <w:r>
              <w:t xml:space="preserve">sensitive Clients (e.g., government contractors, regulated industries).</w:t>
            </w:r>
          </w:p>
        </w:tc>
      </w:tr>
    </w:tbl>
    <w:p>
      <w:r>
        <w:pict>
          <v:rect style="width:0;height:1.5pt" o:hralign="center" o:hrstd="t" o:hr="t"/>
        </w:pict>
      </w:r>
    </w:p>
    <w:bookmarkEnd w:id="72"/>
    <w:bookmarkStart w:id="73" w:name="pre-existing-materials"/>
    <w:p>
      <w:pPr>
        <w:pStyle w:val="Heading2"/>
      </w:pPr>
      <w:r>
        <w:t xml:space="preserve">12.4 Pre-existing materials</w:t>
      </w:r>
    </w:p>
    <w:p>
      <w:pPr>
        <w:pStyle w:val="FirstParagraph"/>
      </w:pPr>
      <w:r>
        <w:t>Each Party retains ownership of any materials it owned before the Effective Date. To the extent either Party uses pre-existing materials in a Deliverable, it grants the other Party a non-exclusive license to use such materials solely in connection with the Deliverable.</w:t>
      </w:r>
    </w:p>
    <w:bookmarkEnd w:id="73"/>
    <w:bookmarkEnd w:id="74"/>
    <w:bookmarkStart w:id="79" w:name="replacement-guarantee"/>
    <w:p>
      <w:pPr>
        <w:pStyle w:val="Heading1"/>
      </w:pPr>
      <w:r>
        <w:t xml:space="preserve">13. Replacement &amp; Guarantee</w:t>
      </w:r>
    </w:p>
    <w:bookmarkStart w:id="75" w:name="replacement-right"/>
    <w:p>
      <w:pPr>
        <w:pStyle w:val="Heading2"/>
      </w:pPr>
      <w:r>
        <w:t xml:space="preserve">13.1 Replacement right</w:t>
      </w:r>
    </w:p>
    <w:p>
      <w:pPr>
        <w:pStyle w:val="FirstParagraph"/>
      </w:pPr>
      <w:r>
        <w:t>If, during the first thirty (30) days of an Engagement, Client determines that the placed Operator is not a fit, Fractional Standard will, upon written notice from Client and subject to Fractional Standard’s reasonable determination of cause, present a new shortlist of Operators at no additional charge.</w:t>
      </w:r>
    </w:p>
    <w:bookmarkEnd w:id="75"/>
    <w:bookmarkStart w:id="76" w:name="cause-for-replacement"/>
    <w:p>
      <w:pPr>
        <w:pStyle w:val="Heading2"/>
      </w:pPr>
      <w:r>
        <w:t xml:space="preserve">13.2 Cause for replacement</w:t>
      </w:r>
    </w:p>
    <w:p>
      <w:pPr>
        <w:pStyle w:val="FirstParagraph"/>
      </w:pPr>
      <w:r>
        <w:t xml:space="preserve">Reasonable causes for replacement include, without limitation:</w:t>
      </w:r>
    </w:p>
    <w:p>
      <w:pPr>
        <w:numPr>
          <w:ilvl w:val="0"/>
          <w:numId w:val="1013"/>
        </w:numPr>
      </w:pPr>
      <w:r>
        <w:t>Material performance deficiencies not remediable by the Operator after reasonable notice;</w:t>
      </w:r>
    </w:p>
    <w:p>
      <w:pPr>
        <w:numPr>
          <w:ilvl w:val="0"/>
          <w:numId w:val="1013"/>
        </w:numPr>
      </w:pPr>
      <w:r>
        <w:t>Professional-conduct concerns inconsistent with the Operator’s represented credentials;</w:t>
      </w:r>
    </w:p>
    <w:p>
      <w:pPr>
        <w:numPr>
          <w:ilvl w:val="0"/>
          <w:numId w:val="1013"/>
        </w:numPr>
      </w:pPr>
      <w:r>
        <w:t>Demonstrable scope or skill mismatch not evident at the matching stage;</w:t>
      </w:r>
    </w:p>
    <w:p>
      <w:pPr>
        <w:numPr>
          <w:ilvl w:val="0"/>
          <w:numId w:val="1013"/>
        </w:numPr>
      </w:pPr>
      <w:r>
        <w:t xml:space="preserve">Material interpersonal or founder-fit mismatch.</w:t>
      </w:r>
    </w:p>
    <w:bookmarkEnd w:id="76"/>
    <w:bookmarkStart w:id="77" w:name="timeline"/>
    <w:p>
      <w:pPr>
        <w:pStyle w:val="Heading2"/>
      </w:pPr>
      <w:r>
        <w:t xml:space="preserve">13.3 Timeline</w:t>
      </w:r>
    </w:p>
    <w:p>
      <w:pPr>
        <w:pStyle w:val="FirstParagraph"/>
      </w:pPr>
      <w:r>
        <w:t>Fractional Standard will use commercially reasonable efforts to present a replacement shortlist promptly upon its determination that replacement is warranted. If Client and Fractional Standard mutually agree that a replacement is not warranted, Client may elect to terminate the Engagement under Section 14.4 and obtain a pro-rata refund of prepaid Retainer for the unused portion of the month.</w:t>
      </w:r>
    </w:p>
    <w:bookmarkEnd w:id="77"/>
    <w:bookmarkStart w:id="78" w:name="limitation"/>
    <w:p>
      <w:pPr>
        <w:pStyle w:val="Heading2"/>
      </w:pPr>
      <w:r>
        <w:t xml:space="preserve">13.4 Limitation</w:t>
      </w:r>
    </w:p>
    <w:p>
      <w:pPr>
        <w:pStyle w:val="FirstParagraph"/>
      </w:pPr>
      <w:r>
        <w:t>Fractional Standard’s replacement obligation under this Section is limited to one (1) replacement shortlist per Engagement. A second replacement request constitutes a new Engagement under this Agreement.</w:t>
      </w:r>
    </w:p>
    <w:bookmarkEnd w:id="78"/>
    <w:bookmarkEnd w:id="79"/>
    <w:bookmarkStart w:id="85" w:name="term-termination"/>
    <w:p>
      <w:pPr>
        <w:pStyle w:val="Heading1"/>
      </w:pPr>
      <w:r>
        <w:t xml:space="preserve">14. Term &amp; Termination</w:t>
      </w:r>
    </w:p>
    <w:bookmarkStart w:id="80" w:name="term-of-this-agreement"/>
    <w:p>
      <w:pPr>
        <w:pStyle w:val="Heading2"/>
      </w:pPr>
      <w:r>
        <w:t xml:space="preserve">14.1 Term of this Agreement</w:t>
      </w:r>
    </w:p>
    <w:p>
      <w:pPr>
        <w:pStyle w:val="FirstParagraph"/>
      </w:pPr>
      <w:r>
        <w:t>This Agreement is effective as of the Effective Date and remains in effect until terminated as provided below. The term of any individual Engagement is governed by Section 5.3.</w:t>
      </w:r>
    </w:p>
    <w:bookmarkEnd w:id="80"/>
    <w:bookmarkStart w:id="81" w:name="Xc3f6fac2702232e7cec5e0708f3ca3f2b7e7679"/>
    <w:p>
      <w:pPr>
        <w:pStyle w:val="Heading2"/>
      </w:pPr>
      <w:r>
        <w:t xml:space="preserve">14.2 Termination for convenience (after Commitment Period)</w:t>
      </w:r>
    </w:p>
    <w:p>
      <w:pPr>
        <w:pStyle w:val="FirstParagraph"/>
      </w:pPr>
      <w:r>
        <w:t>After the Commitment Period of the then-active Engagement has expired, either Party may terminate this Agreement for convenience with thirty (30) days’ written notice.</w:t>
      </w:r>
    </w:p>
    <w:bookmarkEnd w:id="81"/>
    <w:bookmarkStart w:id="82" w:name="termination-for-cause"/>
    <w:p>
      <w:pPr>
        <w:pStyle w:val="Heading2"/>
      </w:pPr>
      <w:r>
        <w:t xml:space="preserve">14.3 Termination for cause</w:t>
      </w:r>
    </w:p>
    <w:p>
      <w:pPr>
        <w:pStyle w:val="FirstParagraph"/>
      </w:pPr>
      <w:r>
        <w:t>Either Party may terminate this Agreement immediately upon written notice if the other Party:</w:t>
      </w:r>
    </w:p>
    <w:p>
      <w:pPr>
        <w:numPr>
          <w:ilvl w:val="0"/>
          <w:numId w:val="1014"/>
        </w:numPr>
      </w:pPr>
      <w:r>
        <w:t>Materially breaches this Agreement and fails to cure the breach within fifteen (15) days of written notice of the breach;</w:t>
      </w:r>
    </w:p>
    <w:p>
      <w:pPr>
        <w:numPr>
          <w:ilvl w:val="0"/>
          <w:numId w:val="1014"/>
        </w:numPr>
      </w:pPr>
      <w:r>
        <w:t>Becomes insolvent, files for bankruptcy, assigns its assets for the benefit of creditors, or ceases to operate in the ordinary course;</w:t>
      </w:r>
    </w:p>
    <w:p>
      <w:pPr>
        <w:numPr>
          <w:ilvl w:val="0"/>
          <w:numId w:val="1014"/>
        </w:numPr>
      </w:pPr>
      <w:r>
        <w:t>Engages in conduct that materially damages the other Party’s reputation, such as fraud or willful misconduct.</w:t>
      </w:r>
    </w:p>
    <w:bookmarkEnd w:id="82"/>
    <w:bookmarkStart w:id="83" w:name="termination-during-commitment-period"/>
    <w:p>
      <w:pPr>
        <w:pStyle w:val="Heading2"/>
      </w:pPr>
      <w:r>
        <w:t xml:space="preserve">14.4 Termination during Commitment Period</w:t>
      </w:r>
    </w:p>
    <w:p>
      <w:pPr>
        <w:pStyle w:val="FirstParagraph"/>
      </w:pPr>
      <w:r>
        <w:t>During the Commitment Period, Client may terminate an Engagement only for cause as defined in Section 14.3, not for convenience. Early termination by Client during the Commitment Period forfeits the remaining prepaid Retainer for the Commitment Period, subject to reasonable offset for any replacement Operator that Fractional Standard has successfully placed.</w:t>
      </w:r>
    </w:p>
    <w:bookmarkEnd w:id="83"/>
    <w:bookmarkStart w:id="84" w:name="effect-of-termination"/>
    <w:p>
      <w:pPr>
        <w:pStyle w:val="Heading2"/>
      </w:pPr>
      <w:r>
        <w:t xml:space="preserve">14.5 Effect of termination</w:t>
      </w:r>
    </w:p>
    <w:p>
      <w:pPr>
        <w:pStyle w:val="FirstParagraph"/>
      </w:pPr>
      <w:r>
        <w:t xml:space="preserve">Upon termination of this Agreement:</w:t>
      </w:r>
    </w:p>
    <w:p>
      <w:pPr>
        <w:numPr>
          <w:ilvl w:val="0"/>
          <w:numId w:val="1015"/>
        </w:numPr>
      </w:pPr>
      <w:r>
        <w:t>All then-active Engagements terminate as of the Agreement termination date;</w:t>
      </w:r>
    </w:p>
    <w:p>
      <w:pPr>
        <w:numPr>
          <w:ilvl w:val="0"/>
          <w:numId w:val="1015"/>
        </w:numPr>
      </w:pPr>
      <w:r>
        <w:t xml:space="preserve">Client shall pay all Retainers owed through the termination date;</w:t>
      </w:r>
    </w:p>
    <w:p>
      <w:pPr>
        <w:numPr>
          <w:ilvl w:val="0"/>
          <w:numId w:val="1015"/>
        </w:numPr>
      </w:pPr>
      <w:r>
        <w:t>Fractional Standard shall return or destroy Client’s Confidential Information as required by Section 11;</w:t>
      </w:r>
    </w:p>
    <w:p>
      <w:pPr>
        <w:numPr>
          <w:ilvl w:val="0"/>
          <w:numId w:val="1015"/>
        </w:numPr>
      </w:pPr>
      <w:r>
        <w:t>The provisions of Sections 8, 9, 11, 12, 16, 17, and 19 survive termination for the periods specified therein, and the remainder of the Agreement terminates as of the termination date.</w:t>
      </w:r>
    </w:p>
    <w:bookmarkEnd w:id="84"/>
    <w:bookmarkEnd w:id="85"/>
    <w:bookmarkStart w:id="91" w:name="payment-late-payment"/>
    <w:p>
      <w:pPr>
        <w:pStyle w:val="Heading1"/>
      </w:pPr>
      <w:r>
        <w:t xml:space="preserve">15. Payment &amp; Late Payment</w:t>
      </w:r>
    </w:p>
    <w:bookmarkStart w:id="86" w:name="payment-method"/>
    <w:p>
      <w:pPr>
        <w:pStyle w:val="Heading2"/>
      </w:pPr>
      <w:r>
        <w:t xml:space="preserve">15.1 Payment method</w:t>
      </w:r>
    </w:p>
    <w:p>
      <w:pPr>
        <w:pStyle w:val="FirstParagraph"/>
      </w:pPr>
      <w:r>
        <w:t>Client shall maintain a valid credit card or ACH payment method in the Fractional Standard portal. Retainers are charged automatically on the monthly invoice date.</w:t>
      </w:r>
    </w:p>
    <w:bookmarkEnd w:id="86"/>
    <w:bookmarkStart w:id="87" w:name="late-payment"/>
    <w:p>
      <w:pPr>
        <w:pStyle w:val="Heading2"/>
      </w:pPr>
      <w:r>
        <w:t xml:space="preserve">15.2 Late payment</w:t>
      </w:r>
    </w:p>
    <w:p>
      <w:pPr>
        <w:pStyle w:val="FirstParagraph"/>
      </w:pPr>
      <w:r>
        <w:t>If a Retainer payment is not received on the due date, the following escalation applies: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Days past due</w:t>
            </w:r>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Automated reminder email from Stripe.</w:t>
            </w:r>
          </w:p>
        </w:tc>
      </w:tr>
      <w:tr>
        <w:tc>
          <w:tcPr/>
          <w:p>
            <w:pPr>
              <w:pStyle w:val="Compact"/>
              <w:jc w:val="left"/>
            </w:pPr>
            <w:r>
              <w:t xml:space="preserve">5</w:t>
            </w:r>
          </w:p>
        </w:tc>
        <w:tc>
          <w:tcPr/>
          <w:p>
            <w:pPr>
              <w:pStyle w:val="Compact"/>
              <w:jc w:val="left"/>
            </w:pPr>
            <w:r>
              <w:t>Personal email from Fractional Standard account team confirming payment status.</w:t>
            </w:r>
          </w:p>
        </w:tc>
      </w:tr>
      <w:tr>
        <w:tc>
          <w:tcPr/>
          <w:p>
            <w:pPr>
              <w:pStyle w:val="Compact"/>
              <w:jc w:val="left"/>
            </w:pPr>
            <w:r>
              <w:t xml:space="preserve">10</w:t>
            </w:r>
          </w:p>
        </w:tc>
        <w:tc>
          <w:tcPr/>
          <w:p>
            <w:pPr>
              <w:pStyle w:val="Compact"/>
              <w:jc w:val="left"/>
            </w:pPr>
            <w:r>
              <w:t>Phone call from Fractional Standard account team.</w:t>
            </w:r>
          </w:p>
        </w:tc>
      </w:tr>
      <w:tr>
        <w:tc>
          <w:tcPr/>
          <w:p>
            <w:pPr>
              <w:pStyle w:val="Compact"/>
              <w:jc w:val="left"/>
            </w:pPr>
            <w:r>
              <w:t xml:space="preserve">15</w:t>
            </w:r>
          </w:p>
        </w:tc>
        <w:tc>
          <w:tcPr/>
          <w:p>
            <w:pPr>
              <w:pStyle w:val="Compact"/>
              <w:jc w:val="left"/>
            </w:pPr>
            <w:r>
              <w:t>Formal written notice. Services may be paused if payment is not received within five (5) business days of the notice.</w:t>
            </w:r>
          </w:p>
        </w:tc>
      </w:tr>
      <w:tr>
        <w:tc>
          <w:tcPr/>
          <w:p>
            <w:pPr>
              <w:pStyle w:val="Compact"/>
              <w:jc w:val="left"/>
            </w:pPr>
            <w:r>
              <w:t xml:space="preserve">20</w:t>
            </w:r>
          </w:p>
        </w:tc>
        <w:tc>
          <w:tcPr/>
          <w:p>
            <w:pPr>
              <w:pStyle w:val="Compact"/>
              <w:jc w:val="left"/>
            </w:pPr>
            <w:r>
              <w:t>Services paused. Operator is compensated for work already performed; Fractional Standard absorbs the float.</w:t>
            </w:r>
          </w:p>
        </w:tc>
      </w:tr>
      <w:tr>
        <w:tc>
          <w:tcPr/>
          <w:p>
            <w:pPr>
              <w:pStyle w:val="Compact"/>
              <w:jc w:val="left"/>
            </w:pPr>
            <w:r>
              <w:t xml:space="preserve">30+</w:t>
            </w:r>
          </w:p>
        </w:tc>
        <w:tc>
          <w:tcPr/>
          <w:p>
            <w:pPr>
              <w:pStyle w:val="Compact"/>
              <w:jc w:val="left"/>
            </w:pPr>
            <w:r>
              <w:t>Engagement terminated under Section 14.3. Collections process begins. Client remains liable for unpaid Retainer.</w:t>
            </w:r>
          </w:p>
        </w:tc>
      </w:tr>
    </w:tbl>
    <w:bookmarkEnd w:id="87"/>
    <w:bookmarkStart w:id="88" w:name="late-fees-and-interest"/>
    <w:p>
      <w:pPr>
        <w:pStyle w:val="Heading2"/>
      </w:pPr>
      <w:r>
        <w:t xml:space="preserve">15.3 Late fees and interest</w:t>
      </w:r>
    </w:p>
    <w:p>
      <w:pPr>
        <w:pStyle w:val="FirstParagraph"/>
      </w:pPr>
      <w:r>
        <w:t>Past-due amounts accrue interest at the lesser of one-and-a-half percent (1.5%) per month or the maximum rate permitted by applicable law.</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Interest rate and late fee language must</w:t>
            </w:r>
          </w:p>
        </w:tc>
      </w:tr>
      <w:tr>
        <w:tc>
          <w:tcPr/>
          <w:p>
            <w:pPr>
              <w:pStyle w:val="Compact"/>
              <w:jc w:val="left"/>
            </w:pPr>
            <w:r>
              <w:t xml:space="preserve">comply with the governing state’s usury and consumer protection laws.</w:t>
            </w:r>
          </w:p>
        </w:tc>
      </w:tr>
      <w:tr>
        <w:tc>
          <w:tcPr/>
          <w:p>
            <w:pPr>
              <w:pStyle w:val="Compact"/>
              <w:jc w:val="left"/>
            </w:pPr>
            <w:r>
              <w:t xml:space="preserve">1.5% per month (18% annualized) is a common commercial benchmark but</w:t>
            </w:r>
          </w:p>
        </w:tc>
      </w:tr>
      <w:tr>
        <w:tc>
          <w:tcPr/>
          <w:p>
            <w:pPr>
              <w:pStyle w:val="Compact"/>
              <w:jc w:val="left"/>
            </w:pPr>
            <w:r>
              <w:t xml:space="preserve">may not be permissible in all jurisdictions. Counsel will adjust as</w:t>
            </w:r>
          </w:p>
        </w:tc>
      </w:tr>
      <w:tr>
        <w:tc>
          <w:tcPr/>
          <w:p>
            <w:pPr>
              <w:pStyle w:val="Compact"/>
              <w:jc w:val="left"/>
            </w:pPr>
            <w:r>
              <w:t xml:space="preserve">needed.</w:t>
            </w:r>
          </w:p>
        </w:tc>
      </w:tr>
    </w:tbl>
    <w:p>
      <w:r>
        <w:pict>
          <v:rect style="width:0;height:1.5pt" o:hralign="center" o:hrstd="t" o:hr="t"/>
        </w:pict>
      </w:r>
    </w:p>
    <w:bookmarkEnd w:id="88"/>
    <w:bookmarkStart w:id="89" w:name="disputed-invoices"/>
    <w:p>
      <w:pPr>
        <w:pStyle w:val="Heading2"/>
      </w:pPr>
      <w:r>
        <w:t xml:space="preserve">15.4 Disputed invoices</w:t>
      </w:r>
    </w:p>
    <w:p>
      <w:pPr>
        <w:pStyle w:val="FirstParagraph"/>
      </w:pPr>
      <w:r>
        <w:t>Client shall notify Fractional Standard in writing of any disputed invoice within fifteen (15) days of the invoice date. The undisputed portion of the invoice remains due on the due date. Good-faith disputes do not trigger the late-payment escalation in Section 15.2 while the dispute is under active resolution.</w:t>
      </w:r>
    </w:p>
    <w:bookmarkEnd w:id="89"/>
    <w:bookmarkStart w:id="90" w:name="taxes"/>
    <w:p>
      <w:pPr>
        <w:pStyle w:val="Heading2"/>
      </w:pPr>
      <w:r>
        <w:t xml:space="preserve">15.5 Taxes</w:t>
      </w:r>
    </w:p>
    <w:p>
      <w:pPr>
        <w:pStyle w:val="FirstParagraph"/>
      </w:pPr>
      <w:r>
        <w:t>All Retainers and fees are exclusive of applicable sales, use, or other transaction taxes. Client is responsible for such taxes except to the extent Fractional Standard is required by law to collect and remit them.</w:t>
      </w:r>
    </w:p>
    <w:bookmarkEnd w:id="90"/>
    <w:bookmarkEnd w:id="91"/>
    <w:bookmarkStart w:id="96" w:name="limitation-of-liability"/>
    <w:p>
      <w:pPr>
        <w:pStyle w:val="Heading1"/>
      </w:pPr>
      <w:r>
        <w:t xml:space="preserve">16. Limitation of Liability</w:t>
      </w:r>
    </w:p>
    <w:bookmarkStart w:id="92" w:name="mutual-cap"/>
    <w:p>
      <w:pPr>
        <w:pStyle w:val="Heading2"/>
      </w:pPr>
      <w:r>
        <w:t xml:space="preserve">16.1 Mutual cap</w:t>
      </w:r>
    </w:p>
    <w:p>
      <w:pPr>
        <w:pStyle w:val="FirstParagraph"/>
      </w:pPr>
      <w:r>
        <w:t>Except as provided in Section 16.3, each Party’s total aggregate liability under this Agreement, regardless of the form of action or theory of liability, shall not exceed the total amount paid by Client to Fractional Standard in the twelve (12) months preceding the event giving rise to the liability.</w:t>
      </w:r>
    </w:p>
    <w:bookmarkEnd w:id="92"/>
    <w:bookmarkStart w:id="93" w:name="no-consequential-damages"/>
    <w:p>
      <w:pPr>
        <w:pStyle w:val="Heading2"/>
      </w:pPr>
      <w:r>
        <w:t xml:space="preserve">16.2 No consequential damages</w:t>
      </w:r>
    </w:p>
    <w:p>
      <w:pPr>
        <w:pStyle w:val="FirstParagraph"/>
      </w:pPr>
      <w:r>
        <w:t>Neither Party shall be liable to the other for any indirect, incidental, consequential, special, punitive, or exemplary damages, including without limitation lost profits, lost revenue, lost data, or business interruption, even if advised of the possibility of such damages.</w:t>
      </w:r>
    </w:p>
    <w:bookmarkEnd w:id="93"/>
    <w:bookmarkStart w:id="94" w:name="carve-outs"/>
    <w:p>
      <w:pPr>
        <w:pStyle w:val="Heading2"/>
      </w:pPr>
      <w:r>
        <w:t xml:space="preserve">16.3 Carve-outs</w:t>
      </w:r>
    </w:p>
    <w:p>
      <w:pPr>
        <w:pStyle w:val="FirstParagraph"/>
      </w:pPr>
      <w:r>
        <w:t xml:space="preserve">The limitations in Sections 16.1 and 16.2 do not apply to:</w:t>
      </w:r>
    </w:p>
    <w:p>
      <w:pPr>
        <w:numPr>
          <w:ilvl w:val="0"/>
          <w:numId w:val="1016"/>
        </w:numPr>
      </w:pPr>
      <w:r>
        <w:t xml:space="preserve">Client’s payment obligations under Sections 4, 5, 8.3, and 9;</w:t>
      </w:r>
    </w:p>
    <w:p>
      <w:pPr>
        <w:numPr>
          <w:ilvl w:val="0"/>
          <w:numId w:val="1016"/>
        </w:numPr>
      </w:pPr>
      <w:r>
        <w:t xml:space="preserve">Either Party’s indemnification obligations under Section 17;</w:t>
      </w:r>
    </w:p>
    <w:p>
      <w:pPr>
        <w:numPr>
          <w:ilvl w:val="0"/>
          <w:numId w:val="1016"/>
        </w:numPr>
      </w:pPr>
      <w:r>
        <w:t>Either Party’s breach of confidentiality obligations under Section 11;</w:t>
      </w:r>
    </w:p>
    <w:p>
      <w:pPr>
        <w:numPr>
          <w:ilvl w:val="0"/>
          <w:numId w:val="1016"/>
        </w:numPr>
      </w:pPr>
      <w:r>
        <w:t xml:space="preserve">Either Party’s violation of Section 8 (non-solicitation);</w:t>
      </w:r>
    </w:p>
    <w:p>
      <w:pPr>
        <w:numPr>
          <w:ilvl w:val="0"/>
          <w:numId w:val="1016"/>
        </w:numPr>
      </w:pPr>
      <w:r>
        <w:t xml:space="preserve">A Party’s gross negligence, willful misconduct, or fraud;</w:t>
      </w:r>
    </w:p>
    <w:p>
      <w:pPr>
        <w:numPr>
          <w:ilvl w:val="0"/>
          <w:numId w:val="1016"/>
        </w:numPr>
      </w:pPr>
      <w:r>
        <w:t xml:space="preserve">Any liability that cannot be limited under applicable law.</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The liability cap structure (12 months’</w:t>
            </w:r>
          </w:p>
        </w:tc>
      </w:tr>
      <w:tr>
        <w:tc>
          <w:tcPr/>
          <w:p>
            <w:pPr>
              <w:pStyle w:val="Compact"/>
              <w:jc w:val="left"/>
            </w:pPr>
            <w:r>
              <w:t xml:space="preserve">Retainer) is commercially typical but relatively small for a firm</w:t>
            </w:r>
          </w:p>
        </w:tc>
      </w:tr>
      <w:tr>
        <w:tc>
          <w:tcPr/>
          <w:p>
            <w:pPr>
              <w:pStyle w:val="Compact"/>
              <w:jc w:val="left"/>
            </w:pPr>
            <w:r>
              <w:t xml:space="preserve">placing senior executives with material access to Client’s operations.</w:t>
            </w:r>
          </w:p>
        </w:tc>
      </w:tr>
      <w:tr>
        <w:tc>
          <w:tcPr/>
          <w:p>
            <w:pPr>
              <w:pStyle w:val="Compact"/>
              <w:jc w:val="left"/>
            </w:pPr>
            <w:r>
              <w:t xml:space="preserve">Counsel should evaluate whether the cap is appropriate given the firm’s</w:t>
            </w:r>
          </w:p>
        </w:tc>
      </w:tr>
      <w:tr>
        <w:tc>
          <w:tcPr/>
          <w:p>
            <w:pPr>
              <w:pStyle w:val="Compact"/>
              <w:jc w:val="left"/>
            </w:pPr>
            <w:r>
              <w:t xml:space="preserve">E&amp;O insurance coverage and the likely claim exposure. Consider whether</w:t>
            </w:r>
          </w:p>
        </w:tc>
      </w:tr>
      <w:tr>
        <w:tc>
          <w:tcPr/>
          <w:p>
            <w:pPr>
              <w:pStyle w:val="Compact"/>
              <w:jc w:val="left"/>
            </w:pPr>
            <w:r>
              <w:t xml:space="preserve">to structure as a multiple of annual Retainer (e.g., 2x) or a fixed</w:t>
            </w:r>
          </w:p>
        </w:tc>
      </w:tr>
      <w:tr>
        <w:tc>
          <w:tcPr/>
          <w:p>
            <w:pPr>
              <w:pStyle w:val="Compact"/>
              <w:jc w:val="left"/>
            </w:pPr>
            <w:r>
              <w:t xml:space="preserve">dollar floor with the Retainer cap as a ceiling.</w:t>
            </w:r>
          </w:p>
        </w:tc>
      </w:tr>
    </w:tbl>
    <w:p>
      <w:r>
        <w:pict>
          <v:rect style="width:0;height:1.5pt" o:hralign="center" o:hrstd="t" o:hr="t"/>
        </w:pict>
      </w:r>
    </w:p>
    <w:bookmarkEnd w:id="94"/>
    <w:bookmarkStart w:id="95" w:name="operator-work-product-disclaimer"/>
    <w:p>
      <w:pPr>
        <w:pStyle w:val="Heading2"/>
      </w:pPr>
      <w:r>
        <w:t xml:space="preserve">16.4 Operator work product disclaimer</w:t>
      </w:r>
    </w:p>
    <w:p>
      <w:pPr>
        <w:pStyle w:val="FirstParagraph"/>
      </w:pPr>
      <w:r>
        <w:t>Fractional Standard expressly disclaims any warranty, whether express or implied, regarding the Operator’s work product, deliverables, advice, or recommendations. Operators are independent contractors engaged by Client; the Operator, not Fractional Standard, is responsible for the substantive content and outcomes of the work performed. To the maximum extent permitted by law, Fractional Standard disclaims all warranties, express or implied, including warranties of merchantability and fitness for a particular purpose, with respect to the Operator’s work.</w:t>
      </w:r>
    </w:p>
    <w:bookmarkEnd w:id="95"/>
    <w:bookmarkEnd w:id="96"/>
    <w:bookmarkStart w:id="100" w:name="indemnification"/>
    <w:p>
      <w:pPr>
        <w:pStyle w:val="Heading1"/>
      </w:pPr>
      <w:r>
        <w:t xml:space="preserve">17. Indemnification</w:t>
      </w:r>
    </w:p>
    <w:bookmarkStart w:id="97" w:name="by-fractional-standard"/>
    <w:p>
      <w:pPr>
        <w:pStyle w:val="Heading2"/>
      </w:pPr>
      <w:r>
        <w:t xml:space="preserve">17.1 By Fractional Standard</w:t>
      </w:r>
    </w:p>
    <w:p>
      <w:pPr>
        <w:pStyle w:val="FirstParagraph"/>
      </w:pPr>
      <w:r>
        <w:t>Fractional Standard shall defend, indemnify, and hold harmless Client, its Affiliates, and their respective officers, directors, employees, and agents from and against any third-party claims, damages, liabilities, costs, and expenses (including reasonable attorneys’ fees) arising out of or related to:</w:t>
      </w:r>
    </w:p>
    <w:p>
      <w:pPr>
        <w:numPr>
          <w:ilvl w:val="0"/>
          <w:numId w:val="1017"/>
        </w:numPr>
      </w:pPr>
      <w:r>
        <w:t xml:space="preserve">Fractional Standard’s material breach of this Agreement;</w:t>
      </w:r>
    </w:p>
    <w:p>
      <w:pPr>
        <w:numPr>
          <w:ilvl w:val="0"/>
          <w:numId w:val="1017"/>
        </w:numPr>
      </w:pPr>
      <w:r>
        <w:t xml:space="preserve">Fractional Standard’s gross negligence or willful misconduct;</w:t>
      </w:r>
    </w:p>
    <w:p>
      <w:pPr>
        <w:numPr>
          <w:ilvl w:val="0"/>
          <w:numId w:val="1017"/>
        </w:numPr>
      </w:pPr>
      <w:r>
        <w:t>Fractional Standard’s violation of applicable law in performing its obligations;</w:t>
      </w:r>
    </w:p>
    <w:p>
      <w:pPr>
        <w:numPr>
          <w:ilvl w:val="0"/>
          <w:numId w:val="1017"/>
        </w:numPr>
      </w:pPr>
      <w:r>
        <w:t>Any claim that Fractional Standard’s methodology, assessment materials, or matching process (as used in accordance with this Agreement) infringes a third party’s intellectual property rights.</w:t>
      </w:r>
    </w:p>
    <w:bookmarkEnd w:id="97"/>
    <w:bookmarkStart w:id="98" w:name="by-client"/>
    <w:p>
      <w:pPr>
        <w:pStyle w:val="Heading2"/>
      </w:pPr>
      <w:r>
        <w:t xml:space="preserve">17.2 By Client</w:t>
      </w:r>
    </w:p>
    <w:p>
      <w:pPr>
        <w:pStyle w:val="FirstParagraph"/>
      </w:pPr>
      <w:r>
        <w:t>Client shall defend, indemnify, and hold harmless Fractional Standard, its Affiliates, and their respective officers, directors, employees, and agents from and against any third-party claims, damages, liabilities, costs, and expenses (including reasonable attorneys’ fees) arising out of or related to:</w:t>
      </w:r>
    </w:p>
    <w:p>
      <w:pPr>
        <w:numPr>
          <w:ilvl w:val="0"/>
          <w:numId w:val="1018"/>
        </w:numPr>
      </w:pPr>
      <w:r>
        <w:t xml:space="preserve">Client’s material breach of this Agreement;</w:t>
      </w:r>
    </w:p>
    <w:p>
      <w:pPr>
        <w:numPr>
          <w:ilvl w:val="0"/>
          <w:numId w:val="1018"/>
        </w:numPr>
      </w:pPr>
      <w:r>
        <w:t xml:space="preserve">Client’s gross negligence or willful misconduct;</w:t>
      </w:r>
    </w:p>
    <w:p>
      <w:pPr>
        <w:numPr>
          <w:ilvl w:val="0"/>
          <w:numId w:val="1018"/>
        </w:numPr>
      </w:pPr>
      <w:r>
        <w:t>Client’s direction to an Operator to perform work that violates applicable law;</w:t>
      </w:r>
    </w:p>
    <w:p>
      <w:pPr>
        <w:numPr>
          <w:ilvl w:val="0"/>
          <w:numId w:val="1018"/>
        </w:numPr>
      </w:pPr>
      <w:r>
        <w:t>Any claim by an Operator alleging that Client acted as the Operator’s employer in violation of applicable law, except to the extent such claim results from Fractional Standard’s acts or omissions;</w:t>
      </w:r>
    </w:p>
    <w:p>
      <w:pPr>
        <w:numPr>
          <w:ilvl w:val="0"/>
          <w:numId w:val="1018"/>
        </w:numPr>
      </w:pPr>
      <w:r>
        <w:t>Client’s use or distribution of any Operator’s work product in a manner outside the scope of the Engagement.</w:t>
      </w:r>
    </w:p>
    <w:bookmarkEnd w:id="98"/>
    <w:bookmarkStart w:id="99" w:name="procedure"/>
    <w:p>
      <w:pPr>
        <w:pStyle w:val="Heading2"/>
      </w:pPr>
      <w:r>
        <w:t xml:space="preserve">17.3 Procedure</w:t>
      </w:r>
    </w:p>
    <w:p>
      <w:pPr>
        <w:pStyle w:val="FirstParagraph"/>
      </w:pPr>
      <w:r>
        <w:t>The Party seeking indemnification (the “Indemnified Party”) shall (a) promptly notify the other Party (the “Indemnifying Party”) of any claim for which indemnification is sought, (b) give the Indemnifying Party sole control of the defense and settlement of the claim (provided that no settlement that imposes non-monetary obligations on the Indemnified Party may be agreed without its consent), and (c) cooperate reasonably in the defense at the Indemnifying Party’s expense.</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The Operator misclassification indemnity</w:t>
            </w:r>
          </w:p>
        </w:tc>
      </w:tr>
      <w:tr>
        <w:tc>
          <w:tcPr/>
          <w:p>
            <w:pPr>
              <w:pStyle w:val="Compact"/>
              <w:jc w:val="left"/>
            </w:pPr>
            <w:r>
              <w:t xml:space="preserve">in Section 17.2 is one of the most commercially consequential</w:t>
            </w:r>
          </w:p>
        </w:tc>
      </w:tr>
      <w:tr>
        <w:tc>
          <w:tcPr/>
          <w:p>
            <w:pPr>
              <w:pStyle w:val="Compact"/>
              <w:jc w:val="left"/>
            </w:pPr>
            <w:r>
              <w:t xml:space="preserve">provisions in this Agreement. Counsel should calibrate carefully —</w:t>
            </w:r>
          </w:p>
        </w:tc>
      </w:tr>
      <w:tr>
        <w:tc>
          <w:tcPr/>
          <w:p>
            <w:pPr>
              <w:pStyle w:val="Compact"/>
              <w:jc w:val="left"/>
            </w:pPr>
            <w:r>
              <w:t xml:space="preserve">this is the scenario where a plaintiff’s attorney could bring both</w:t>
            </w:r>
          </w:p>
        </w:tc>
      </w:tr>
      <w:tr>
        <w:tc>
          <w:tcPr/>
          <w:p>
            <w:pPr>
              <w:pStyle w:val="Compact"/>
              <w:jc w:val="left"/>
            </w:pPr>
            <w:r>
              <w:t xml:space="preserve">Parties into a worker classification lawsuit. Consider a mutual</w:t>
            </w:r>
          </w:p>
        </w:tc>
      </w:tr>
      <w:tr>
        <w:tc>
          <w:tcPr/>
          <w:p>
            <w:pPr>
              <w:pStyle w:val="Compact"/>
              <w:jc w:val="left"/>
            </w:pPr>
            <w:r>
              <w:t xml:space="preserve">carve-out, caps specific to this indemnity, or alternative</w:t>
            </w:r>
          </w:p>
        </w:tc>
      </w:tr>
      <w:tr>
        <w:tc>
          <w:tcPr/>
          <w:p>
            <w:pPr>
              <w:pStyle w:val="Compact"/>
              <w:jc w:val="left"/>
            </w:pPr>
            <w:r>
              <w:t xml:space="preserve">risk-allocation structures (e.g., E&amp;O insurance requirements).</w:t>
            </w:r>
          </w:p>
        </w:tc>
      </w:tr>
    </w:tbl>
    <w:p>
      <w:r>
        <w:pict>
          <v:rect style="width:0;height:1.5pt" o:hralign="center" o:hrstd="t" o:hr="t"/>
        </w:pict>
      </w:r>
    </w:p>
    <w:bookmarkEnd w:id="99"/>
    <w:bookmarkEnd w:id="100"/>
    <w:bookmarkStart w:id="105" w:name="ai-disclosure-data-use"/>
    <w:p>
      <w:pPr>
        <w:pStyle w:val="Heading1"/>
      </w:pPr>
      <w:r>
        <w:t xml:space="preserve">18. AI Disclosure &amp; Data Use</w:t>
      </w:r>
    </w:p>
    <w:bookmarkStart w:id="101" w:name="ai-augmented-services"/>
    <w:p>
      <w:pPr>
        <w:pStyle w:val="Heading2"/>
      </w:pPr>
      <w:r>
        <w:t xml:space="preserve">18.1 AI-augmented services</w:t>
      </w:r>
    </w:p>
    <w:p>
      <w:pPr>
        <w:pStyle w:val="FirstParagraph"/>
      </w:pPr>
      <w:r>
        <w:t>Client acknowledges that Fractional Standard uses AI-assisted processes in delivering its services, including (without limitation) AI-administered Operator simulations, AI-assisted scoring, and AI-powered semantic matching. Human oversight is applied at every classification and match decision; Fractional Standard does not rely solely on AI output for final Operator pool admission or placement decisions.</w:t>
      </w:r>
    </w:p>
    <w:bookmarkEnd w:id="101"/>
    <w:bookmarkStart w:id="102" w:name="data-practices"/>
    <w:p>
      <w:pPr>
        <w:pStyle w:val="Heading2"/>
      </w:pPr>
      <w:r>
        <w:t xml:space="preserve">18.2 Data practices</w:t>
      </w:r>
    </w:p>
    <w:p>
      <w:pPr>
        <w:pStyle w:val="FirstParagraph"/>
      </w:pPr>
      <w:r>
        <w:t>Fractional Standard collects, processes, and stores data about Client, Engagements, and placements in its proprietary systems, including the Matching Data described in Section 12.3. Client acknowledges and consents to such data collection and processing for purposes of performing this Agreement and improving Fractional Standard’s services.</w:t>
      </w:r>
    </w:p>
    <w:bookmarkEnd w:id="102"/>
    <w:bookmarkStart w:id="103" w:name="no-sensitive-data-to-ai"/>
    <w:p>
      <w:pPr>
        <w:pStyle w:val="Heading2"/>
      </w:pPr>
      <w:r>
        <w:t xml:space="preserve">18.3 No sensitive data to AI</w:t>
      </w:r>
    </w:p>
    <w:p>
      <w:pPr>
        <w:pStyle w:val="FirstParagraph"/>
      </w:pPr>
      <w:r>
        <w:t>Fractional Standard does not submit Client’s Confidential Information or Personally Identifiable Information to third-party AI providers except through providers with appropriate data-processing terms in place. Client shall not submit such information to Fractional Standard’s AI interfaces (e.g., via intake diagnostic or portal) in a manner that exceeds what is reasonably necessary for the service.</w:t>
      </w:r>
    </w:p>
    <w:bookmarkEnd w:id="103"/>
    <w:bookmarkStart w:id="104" w:name="privacy"/>
    <w:p>
      <w:pPr>
        <w:pStyle w:val="Heading2"/>
      </w:pPr>
      <w:r>
        <w:t xml:space="preserve">18.4 Privacy</w:t>
      </w:r>
    </w:p>
    <w:p>
      <w:pPr>
        <w:pStyle w:val="FirstParagraph"/>
      </w:pPr>
      <w:r>
        <w:t>Each Party shall comply with applicable data-protection and privacy laws in its handling of the other’s Personally Identifiable Information. Fractional Standard’s Privacy Policy, available at</w:t>
      </w:r>
    </w:p>
    <w:p>
      <w:pPr>
        <w:pStyle w:val="BodyText"/>
      </w:pPr>
      <w:r>
        <w:t>, governs Fractional Standard’s handling of Client’s personal information.</w:t>
      </w:r>
    </w:p>
    <w:bookmarkStart w:id="200" w:name="vendor-liability-allocation"/>
    <w:p>
      <w:pPr>
        <w:pStyle w:val="Heading2"/>
      </w:pPr>
      <w:r>
        <w:t xml:space="preserve">18.5 Vendor-Liability Allocation [PLACEHOLDER — COUNSEL TO DRAFT]</w:t>
      </w:r>
    </w:p>
    <w:p>
      <w:pPr>
        <w:pStyle w:val="FirstParagraph"/>
      </w:pPr>
      <w:r>
        <w:rPr>
          <w:i/>
          <w:iCs/>
        </w:rPr>
        <w:t xml:space="preserve">[Drafting brief for counsel: this subsection is referenced in the AI Governance Framework v2.2 §8.5.1 as the contractual mechanism for vendor-liability allocation between Fractional Standard and Client. The clause must accomplish the three objectives below. Counsel to draft compliant statutory language that fits the rest of the MSA.]</w:t>
      </w:r>
    </w:p>
    <w:p>
      <w:pPr>
        <w:pStyle w:val="FirstParagraph"/>
      </w:pPr>
      <w:r>
        <w:rPr>
          <w:b/>
          <w:bCs/>
        </w:rPr>
        <w:t xml:space="preserve">Objective 1 — No hiring decisions on Client’s behalf.</w:t>
      </w:r>
      <w:r>
        <w:t xml:space="preserve"> Confirm that Fractional Standard does not make hiring, employment, engagement, or selection decisions on behalf of Client. Operator profiles, recommendations, and shortlists provided by Fractional Standard are advisory inputs to Client’s own decision process. Client retains sole authority for selecting which Operator(s) to engage.</w:t>
      </w:r>
    </w:p>
    <w:p>
      <w:pPr>
        <w:pStyle w:val="FirstParagraph"/>
      </w:pPr>
      <w:r>
        <w:rPr>
          <w:b/>
          <w:bCs/>
        </w:rPr>
        <w:t xml:space="preserve">Objective 2 — Client-side AEDT compliance is Client’s responsibility.</w:t>
      </w:r>
      <w:r>
        <w:t xml:space="preserve"> Provide that Client is solely responsible for any automated employment decision tool (“AEDT”) compliance obligations that Client itself triggers under applicable law, including but not limited to NYC Local Law 144, Colorado SB 24-205 (CAIA), Illinois HB 3773, California FEHA ADS regulations, and California CCPA ADMT regulations. Fractional Standard’s status as a vendor providing services to Client does not extend Client’s compliance obligations to Fractional Standard, and Client’s use of any AEDT in connection with the engagement of Operators is governed by Client’s own policies and procedures, not by this Agreement.</w:t>
      </w:r>
    </w:p>
    <w:p>
      <w:pPr>
        <w:pStyle w:val="FirstParagraph"/>
      </w:pPr>
      <w:r>
        <w:rPr>
          <w:b/>
          <w:bCs/>
        </w:rPr>
        <w:t xml:space="preserve">Objective 3 — FS outputs are advisory inputs.</w:t>
      </w:r>
      <w:r>
        <w:t xml:space="preserve"> Provide that Fractional Standard’s outputs (Operator profiles, simulation results, recommendations, shortlists, and any other deliverable under this Agreement) are advisory inputs to Client’s own decision process and do not constitute employment decisions made by Fractional Standard. Client’s reliance on or rejection of any such output is at Client’s discretion, and Fractional Standard makes no representation that its outputs are or are not “automated employment decisions” within the meaning of any AEDT statute.</w:t>
      </w:r>
    </w:p>
    <w:bookmarkEnd w:id="200"/>
    <w:bookmarkStart w:id="201" w:name="independent-decision-documentation"/>
    <w:p>
      <w:pPr>
        <w:pStyle w:val="Heading2"/>
      </w:pPr>
      <w:r>
        <w:t xml:space="preserve">18.6 Independent Decision Documentation [PLACEHOLDER — COUNSEL TO DRAFT]</w:t>
      </w:r>
    </w:p>
    <w:p>
      <w:pPr>
        <w:pStyle w:val="FirstParagraph"/>
      </w:pPr>
      <w:r>
        <w:rPr>
          <w:i/>
          <w:iCs/>
        </w:rPr>
        <w:t xml:space="preserve">[Drafting brief for counsel: this subsection codifies the curatorial-not-decisional posture from AI Governance Framework v2.2 §8.5.2.]</w:t>
      </w:r>
    </w:p>
    <w:p>
      <w:pPr>
        <w:pStyle w:val="FirstParagraph"/>
      </w:pPr>
      <w:r>
        <w:t xml:space="preserve">Fractional Standard’s standard practice is to present at least two (2) Operator candidates per Engagement opportunity to enable Client’s independent selection from a curated set. Single-candidate presentations are flagged for Client review and require Client’s explicit written acknowledgment of the single-candidate nature of the presentation prior to the Engagement starting. Fractional Standard’s role under this Agreement is curatorial — presenting and recommending Operators — not decisional.</w:t>
      </w:r>
    </w:p>
    <w:bookmarkEnd w:id="201"/>
    <w:bookmarkStart w:id="202" w:name="non-endorsement-of-aedt-status"/>
    <w:p>
      <w:pPr>
        <w:pStyle w:val="Heading2"/>
      </w:pPr>
      <w:r>
        <w:t xml:space="preserve">18.7 Non-Endorsement of AEDT Status [PLACEHOLDER — COUNSEL TO DRAFT]</w:t>
      </w:r>
    </w:p>
    <w:p>
      <w:pPr>
        <w:pStyle w:val="FirstParagraph"/>
      </w:pPr>
      <w:r>
        <w:rPr>
          <w:i/>
          <w:iCs/>
        </w:rPr>
        <w:t xml:space="preserve">[Drafting brief for counsel: this subsection codifies the non-endorsement language from AI Governance Framework v2.2 §8.5.3.]</w:t>
      </w:r>
    </w:p>
    <w:p>
      <w:pPr>
        <w:pStyle w:val="FirstParagraph"/>
      </w:pPr>
      <w:r>
        <w:t xml:space="preserve">Fractional Standard does not represent that its assessment, scoring, or pool admission process is or is not an “automated employment decision” within the meaning of any AEDT statute. Fractional Standard’s position is that pool admission decisions are independent-contractor admission decisions to Fractional Standard’s own Operator pool and are not employment decisions made on behalf of any Client. The Parties acknowledge that this characterization is offered in good faith and that the application of any specific AEDT statute to Fractional Standard’s services is subject to evolving regulatory interpretation.</w:t>
      </w:r>
    </w:p>
    <w:bookmarkEnd w:id="202"/>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Section 18 covers AI disclosure, data practices, and (new in v1.1) vendor-liability allocation between Fractional Standard and Client. Sections 18.5, 18.6, and 18.7 are placeholders containing the drafting brief and the three substantive objectives the clauses must accomplish; counsel to draft compliant statutory language that fits the rest of the MSA. The drafting specifications are derived from AI Governance Framework v2.2 §8.5 and reflect Fractional Standard’s vendor-exception strategy under NYC Local Law 144, Colorado SB 24-205 (CAIA), Illinois HB 3773, California FEHA ADS, and California CCPA ADMT. Sections 18.1–18.4 (AI disclosure, data practices, no-sensitive-data-to-AI, privacy) require coordination with the firm’s Privacy Policy (forthcoming) and the AI Governance Framework v2.2. Consider whether particular jurisdictions require more specific disclosures (e.g., Illinois BIPA, Colorado CPA, California CPRA). If Client is likely to operate in regulated industries (healthcare, financial services), additional clauses about data residency, subprocessor notification, and audit rights may be needed. Counsel should also opine on whether the vendor-exception strategy is the strongest available defense or whether a different framing (e.g., statutory exemption, advisory-services carve-out) would be more durable.</w:t>
            </w:r>
          </w:p>
        </w:tc>
      </w:tr>
    </w:tbl>
    <w:p>
      <w:r>
        <w:pict>
          <v:rect style="width:0;height:1.5pt" o:hralign="center" o:hrstd="t" o:hr="t"/>
        </w:pict>
      </w:r>
    </w:p>
    <w:bookmarkEnd w:id="104"/>
    <w:bookmarkEnd w:id="105"/>
    <w:bookmarkStart w:id="111" w:name="dispute-resolution"/>
    <w:p>
      <w:pPr>
        <w:pStyle w:val="Heading1"/>
      </w:pPr>
      <w:r>
        <w:t xml:space="preserve">19. Dispute Resolution</w:t>
      </w:r>
    </w:p>
    <w:bookmarkStart w:id="106" w:name="good-faith-negotiation"/>
    <w:p>
      <w:pPr>
        <w:pStyle w:val="Heading2"/>
      </w:pPr>
      <w:r>
        <w:t xml:space="preserve">19.1 Good-faith negotiation</w:t>
      </w:r>
    </w:p>
    <w:p>
      <w:pPr>
        <w:pStyle w:val="FirstParagraph"/>
      </w:pPr>
      <w:r>
        <w:t>If a dispute arises between the Parties relating to this Agreement, the Parties shall first attempt in good faith to resolve the dispute through direct negotiation between senior representatives of each Party for a period of thirty (30) days from the date written notice of the dispute is delivered.</w:t>
      </w:r>
    </w:p>
    <w:bookmarkEnd w:id="106"/>
    <w:bookmarkStart w:id="107" w:name="mediation"/>
    <w:p>
      <w:pPr>
        <w:pStyle w:val="Heading2"/>
      </w:pPr>
      <w:r>
        <w:t xml:space="preserve">19.2 Mediation</w:t>
      </w:r>
    </w:p>
    <w:p>
      <w:pPr>
        <w:pStyle w:val="FirstParagraph"/>
      </w:pPr>
      <w:r>
        <w:t>If the dispute is not resolved through negotiation, the Parties shall attempt to resolve it through mediation before a mutually agreed mediator. Mediation shall be conducted in accordance with the Commercial Mediation Procedures of the American Arbitration Association or such other rules as the Parties may agree.</w:t>
      </w:r>
    </w:p>
    <w:bookmarkEnd w:id="107"/>
    <w:bookmarkStart w:id="108" w:name="arbitration-or-court"/>
    <w:p>
      <w:pPr>
        <w:pStyle w:val="Heading2"/>
      </w:pPr>
      <w:r>
        <w:t xml:space="preserve">19.3 Arbitration or court</w:t>
      </w:r>
    </w:p>
    <w:p>
      <w:pPr>
        <w:pStyle w:val="FirstParagraph"/>
      </w:pPr>
      <w:r>
        <w:t xml:space="preserve">If mediation fails, the dispute shall be resolved by .</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The choice between arbitration and</w:t>
            </w:r>
          </w:p>
        </w:tc>
      </w:tr>
      <w:tr>
        <w:tc>
          <w:tcPr/>
          <w:p>
            <w:pPr>
              <w:pStyle w:val="Compact"/>
              <w:jc w:val="left"/>
            </w:pPr>
            <w:r>
              <w:t xml:space="preserve">litigation is a fundamental business decision with material cost and</w:t>
            </w:r>
          </w:p>
        </w:tc>
      </w:tr>
      <w:tr>
        <w:tc>
          <w:tcPr/>
          <w:p>
            <w:pPr>
              <w:pStyle w:val="Compact"/>
              <w:jc w:val="left"/>
            </w:pPr>
            <w:r>
              <w:t xml:space="preserve">outcome implications. See Appendix F #7. Counsel will draft the</w:t>
            </w:r>
          </w:p>
        </w:tc>
      </w:tr>
      <w:tr>
        <w:tc>
          <w:tcPr/>
          <w:p>
            <w:pPr>
              <w:pStyle w:val="Compact"/>
              <w:jc w:val="left"/>
            </w:pPr>
            <w:r>
              <w:t xml:space="preserve">specific arbitration clause (forum, rules, number of arbitrators,</w:t>
            </w:r>
          </w:p>
        </w:tc>
      </w:tr>
      <w:tr>
        <w:tc>
          <w:tcPr/>
          <w:p>
            <w:pPr>
              <w:pStyle w:val="Compact"/>
              <w:jc w:val="left"/>
            </w:pPr>
            <w:r>
              <w:t xml:space="preserve">discovery scope) or litigation clause (venue, jury trial waiver) based</w:t>
            </w:r>
          </w:p>
        </w:tc>
      </w:tr>
      <w:tr>
        <w:tc>
          <w:tcPr/>
          <w:p>
            <w:pPr>
              <w:pStyle w:val="Compact"/>
              <w:jc w:val="left"/>
            </w:pPr>
            <w:r>
              <w:t xml:space="preserve">on the business decision.</w:t>
            </w:r>
          </w:p>
        </w:tc>
      </w:tr>
    </w:tbl>
    <w:p>
      <w:r>
        <w:pict>
          <v:rect style="width:0;height:1.5pt" o:hralign="center" o:hrstd="t" o:hr="t"/>
        </w:pict>
      </w:r>
    </w:p>
    <w:bookmarkEnd w:id="108"/>
    <w:bookmarkStart w:id="109" w:name="equitable-relief"/>
    <w:p>
      <w:pPr>
        <w:pStyle w:val="Heading2"/>
      </w:pPr>
      <w:r>
        <w:t xml:space="preserve">19.4 Equitable relief</w:t>
      </w:r>
    </w:p>
    <w:p>
      <w:pPr>
        <w:pStyle w:val="FirstParagraph"/>
      </w:pPr>
      <w:r>
        <w:t>Notwithstanding the dispute resolution procedures in this Section, either Party may seek preliminary or permanent injunctive relief in a court of competent jurisdiction for any actual or threatened breach of Sections 8 (Non-Solicitation), 11 (Confidentiality), or 12 (Intellectual Property).</w:t>
      </w:r>
    </w:p>
    <w:bookmarkEnd w:id="109"/>
    <w:bookmarkStart w:id="110" w:name="attorneys-fees"/>
    <w:p>
      <w:pPr>
        <w:pStyle w:val="Heading2"/>
      </w:pPr>
      <w:r>
        <w:t xml:space="preserve">19.5 Attorney’s fees</w:t>
      </w:r>
    </w:p>
    <w:p>
      <w:pPr>
        <w:pStyle w:val="FirstParagraph"/>
      </w:pPr>
      <w:r>
        <w:t>In any action to enforce this Agreement, the prevailing Party is entitled to recover its reasonable attorneys’ fees and costs.</w:t>
      </w:r>
    </w:p>
    <w:bookmarkEnd w:id="110"/>
    <w:bookmarkEnd w:id="111"/>
    <w:bookmarkStart w:id="124" w:name="general-provisions"/>
    <w:p>
      <w:pPr>
        <w:pStyle w:val="Heading1"/>
      </w:pPr>
      <w:r>
        <w:t xml:space="preserve">20. General Provisions</w:t>
      </w:r>
    </w:p>
    <w:bookmarkStart w:id="112" w:name="governing-law"/>
    <w:p>
      <w:pPr>
        <w:pStyle w:val="Heading2"/>
      </w:pPr>
      <w:r>
        <w:t xml:space="preserve">20.1 Governing law</w:t>
      </w:r>
    </w:p>
    <w:p>
      <w:pPr>
        <w:pStyle w:val="FirstParagraph"/>
      </w:pPr>
      <w:r>
        <w:t>This Agreement is governed by the laws of , without regard to conflict-of-laws principles.</w:t>
      </w:r>
    </w:p>
    <w:bookmarkEnd w:id="112"/>
    <w:bookmarkStart w:id="113" w:name="entire-agreement"/>
    <w:p>
      <w:pPr>
        <w:pStyle w:val="Heading2"/>
      </w:pPr>
      <w:r>
        <w:t xml:space="preserve">20.2 Entire agreement</w:t>
      </w:r>
    </w:p>
    <w:p>
      <w:pPr>
        <w:pStyle w:val="FirstParagraph"/>
      </w:pPr>
      <w:r>
        <w:t>This Agreement, including all Exhibits and per-Engagement confirmations, constitutes the entire agreement between the Parties regarding the subject matter hereof and supersedes all prior agreements, whether written or oral.</w:t>
      </w:r>
    </w:p>
    <w:bookmarkEnd w:id="113"/>
    <w:bookmarkStart w:id="114" w:name="amendment"/>
    <w:p>
      <w:pPr>
        <w:pStyle w:val="Heading2"/>
      </w:pPr>
      <w:r>
        <w:t xml:space="preserve">20.3 Amendment</w:t>
      </w:r>
    </w:p>
    <w:p>
      <w:pPr>
        <w:pStyle w:val="FirstParagraph"/>
      </w:pPr>
      <w:r>
        <w:t>This Agreement may be amended only by a writing signed by both Parties or by an electronic acknowledgment of a revised version issued by Fractional Standard in the portal, provided that material changes adverse to Client require Client’s affirmative consent.</w:t>
      </w:r>
    </w:p>
    <w:bookmarkEnd w:id="114"/>
    <w:bookmarkStart w:id="115" w:name="assignment"/>
    <w:p>
      <w:pPr>
        <w:pStyle w:val="Heading2"/>
      </w:pPr>
      <w:r>
        <w:t xml:space="preserve">20.4 Assignment</w:t>
      </w:r>
    </w:p>
    <w:p>
      <w:pPr>
        <w:pStyle w:val="FirstParagraph"/>
      </w:pPr>
      <w:r>
        <w:t>Neither Party may assign this Agreement without the other’s prior written consent, except that either Party may assign this Agreement to an acquirer of all or substantially all of its assets, or to an Affiliate, without consent. Any attempted assignment in violation of this Section is void.</w:t>
      </w:r>
    </w:p>
    <w:bookmarkEnd w:id="115"/>
    <w:bookmarkStart w:id="116" w:name="notices"/>
    <w:p>
      <w:pPr>
        <w:pStyle w:val="Heading2"/>
      </w:pPr>
      <w:r>
        <w:t xml:space="preserve">20.5 Notices</w:t>
      </w:r>
    </w:p>
    <w:p>
      <w:pPr>
        <w:pStyle w:val="FirstParagraph"/>
      </w:pPr>
      <w:r>
        <w:t>All notices under this Agreement shall be in writing and delivered by email to the addresses designated by each Party in the portal, or by overnight courier or certified mail to the addresses set forth in Section 1.1. Notices are deemed given upon confirmation of receipt (email) or upon delivery (courier/mail).</w:t>
      </w:r>
    </w:p>
    <w:bookmarkEnd w:id="116"/>
    <w:bookmarkStart w:id="117" w:name="independent-contractor-relationship"/>
    <w:p>
      <w:pPr>
        <w:pStyle w:val="Heading2"/>
      </w:pPr>
      <w:r>
        <w:t xml:space="preserve">20.6 Independent contractor relationship</w:t>
      </w:r>
    </w:p>
    <w:p>
      <w:pPr>
        <w:pStyle w:val="FirstParagraph"/>
      </w:pPr>
      <w:r>
        <w:t>The Parties are independent contractors. This Agreement does not create a partnership, joint venture, employment, or agency relationship. Neither Party has authority to bind the other.</w:t>
      </w:r>
    </w:p>
    <w:bookmarkEnd w:id="117"/>
    <w:bookmarkStart w:id="118" w:name="no-third-party-beneficiaries"/>
    <w:p>
      <w:pPr>
        <w:pStyle w:val="Heading2"/>
      </w:pPr>
      <w:r>
        <w:t xml:space="preserve">20.7 No third-party beneficiaries</w:t>
      </w:r>
    </w:p>
    <w:p>
      <w:pPr>
        <w:pStyle w:val="FirstParagraph"/>
      </w:pPr>
      <w:r>
        <w:t>This Agreement is for the benefit of the Parties and their permitted successors and assigns only. No third party (including any Operator) is an intended beneficiary of this Agreement.</w:t>
      </w:r>
    </w:p>
    <w:bookmarkEnd w:id="118"/>
    <w:bookmarkStart w:id="119" w:name="severability"/>
    <w:p>
      <w:pPr>
        <w:pStyle w:val="Heading2"/>
      </w:pPr>
      <w:r>
        <w:t xml:space="preserve">20.8 Severability</w:t>
      </w:r>
    </w:p>
    <w:p>
      <w:pPr>
        <w:pStyle w:val="FirstParagraph"/>
      </w:pPr>
      <w:r>
        <w:t>If any provision of this Agreement is held invalid or unenforceable, the remaining provisions continue in full force. The invalid provision shall be modified to the minimum extent necessary to make it enforceable while preserving the intent of the Parties.</w:t>
      </w:r>
    </w:p>
    <w:bookmarkEnd w:id="119"/>
    <w:bookmarkStart w:id="120" w:name="waiver"/>
    <w:p>
      <w:pPr>
        <w:pStyle w:val="Heading2"/>
      </w:pPr>
      <w:r>
        <w:t xml:space="preserve">20.9 Waiver</w:t>
      </w:r>
    </w:p>
    <w:p>
      <w:pPr>
        <w:pStyle w:val="FirstParagraph"/>
      </w:pPr>
      <w:r>
        <w:t>No waiver of any provision of this Agreement is effective unless in writing and signed by the waiving Party. A Party’s failure to enforce any right is not a waiver of that right.</w:t>
      </w:r>
    </w:p>
    <w:bookmarkEnd w:id="120"/>
    <w:bookmarkStart w:id="121" w:name="electronic-signature"/>
    <w:p>
      <w:pPr>
        <w:pStyle w:val="Heading2"/>
      </w:pPr>
      <w:r>
        <w:t xml:space="preserve">20.10 Electronic signature</w:t>
      </w:r>
    </w:p>
    <w:p>
      <w:pPr>
        <w:pStyle w:val="FirstParagraph"/>
      </w:pPr>
      <w:r>
        <w:t>This Agreement may be executed electronically or by portal acceptance with Terms of Service agreement, and such electronic execution is valid and binding as if executed manually.</w:t>
      </w:r>
    </w:p>
    <w:bookmarkEnd w:id="121"/>
    <w:bookmarkStart w:id="122" w:name="counterparts"/>
    <w:p>
      <w:pPr>
        <w:pStyle w:val="Heading2"/>
      </w:pPr>
      <w:r>
        <w:t xml:space="preserve">20.11 Counterparts</w:t>
      </w:r>
    </w:p>
    <w:p>
      <w:pPr>
        <w:pStyle w:val="FirstParagraph"/>
      </w:pPr>
      <w:r>
        <w:t>This Agreement may be executed in counterparts, each of which is an original and all of which together constitute one instrument.</w:t>
      </w:r>
    </w:p>
    <w:bookmarkEnd w:id="122"/>
    <w:bookmarkStart w:id="123" w:name="force-majeure"/>
    <w:p>
      <w:pPr>
        <w:pStyle w:val="Heading2"/>
      </w:pPr>
      <w:r>
        <w:t xml:space="preserve">20.12 Force majeure</w:t>
      </w:r>
    </w:p>
    <w:p>
      <w:pPr>
        <w:pStyle w:val="FirstParagraph"/>
      </w:pPr>
      <w:r>
        <w:t>Neither Party is liable for delays or failures caused by events beyond its reasonable control, including acts of God, war, terrorism, pandemic, government action, or infrastructure failures. The affected Party shall notify the other promptly and use reasonable efforts to mitigate. Force majeure does not excuse payment obligations.</w:t>
      </w:r>
    </w:p>
    <w:bookmarkEnd w:id="123"/>
    <w:bookmarkEnd w:id="124"/>
    <w:bookmarkStart w:id="125" w:name="signature-block"/>
    <w:p>
      <w:pPr>
        <w:pStyle w:val="Heading1"/>
      </w:pPr>
      <w:r>
        <w:t xml:space="preserve">Signature Block</w:t>
      </w:r>
    </w:p>
    <w:p>
      <w:pPr>
        <w:pStyle w:val="FirstParagraph"/>
      </w:pPr>
      <w:r>
        <w:t>IN WITNESS WHEREOF, the Parties have executed this Agreement as of the Effective Date.</w:t>
      </w:r>
    </w:p>
    <w:tbl>
      <w:tblPr>
        <w:tblStyle w:val="Table"/>
        <w:tblW w:type="pct" w:w="4932"/>
        <w:tblLook w:firstRow="1" w:lastRow="0" w:firstColumn="0" w:lastColumn="0" w:noHBand="0" w:noVBand="0" w:val="0020"/>
        <w:jc w:val="start"/>
      </w:tblPr>
      <w:tblGrid>
        <w:gridCol w:w="3906"/>
        <w:gridCol w:w="3906"/>
      </w:tblGrid>
      <w:tr>
        <w:trPr>
          <w:tblHeader w:val="true"/>
        </w:trPr>
        <w:tc>
          <w:tcPr/>
          <w:p>
            <w:pPr>
              <w:pStyle w:val="Compact"/>
              <w:jc w:val="left"/>
            </w:pPr>
            <w:r>
              <w:rPr>
                <w:bCs/>
                <w:b/>
              </w:rPr>
              <w:t xml:space="preserve">FRACTIONAL STANDARD, LLC</w:t>
            </w:r>
          </w:p>
        </w:tc>
        <w:tc>
          <w:tcPr/>
          <w:p>
            <w:pPr>
              <w:pStyle w:val="Compact"/>
              <w:jc w:val="left"/>
            </w:pPr>
            <w:r>
              <w:rPr>
                <w:bCs/>
                <w:b/>
              </w:rPr>
              <w:t xml:space="preserve">CLIENT</w:t>
            </w:r>
          </w:p>
        </w:tc>
      </w:tr>
      <w:tr>
        <w:tc>
          <w:tcPr/>
          <w:p>
            <w:pPr>
              <w:pStyle w:val="Compact"/>
              <w:jc w:val="left"/>
            </w:pPr>
            <w:r>
              <w:t>By: ___________________________________</w:t>
            </w:r>
          </w:p>
        </w:tc>
        <w:tc>
          <w:tcPr/>
          <w:p>
            <w:pPr>
              <w:pStyle w:val="Compact"/>
              <w:jc w:val="left"/>
            </w:pPr>
            <w:r>
              <w:t>By: ___________________________________</w:t>
            </w:r>
          </w:p>
        </w:tc>
      </w:tr>
      <w:tr>
        <w:tc>
          <w:tcPr/>
          <w:p>
            <w:pPr>
              <w:pStyle w:val="Compact"/>
              <w:jc w:val="left"/>
            </w:pPr>
            <w:r>
              <w:t xml:space="preserve">Name: _________________________________</w:t>
            </w:r>
          </w:p>
        </w:tc>
        <w:tc>
          <w:tcPr/>
          <w:p>
            <w:pPr>
              <w:pStyle w:val="Compact"/>
              <w:jc w:val="left"/>
            </w:pPr>
            <w:r>
              <w:t xml:space="preserve">Name: _________________________________</w:t>
            </w:r>
          </w:p>
        </w:tc>
      </w:tr>
      <w:tr>
        <w:tc>
          <w:tcPr/>
          <w:p>
            <w:pPr>
              <w:pStyle w:val="Compact"/>
              <w:jc w:val="left"/>
            </w:pPr>
            <w:r>
              <w:t>Title: _________________________________</w:t>
            </w:r>
          </w:p>
        </w:tc>
        <w:tc>
          <w:tcPr/>
          <w:p>
            <w:pPr>
              <w:pStyle w:val="Compact"/>
              <w:jc w:val="left"/>
            </w:pPr>
            <w:r>
              <w:t>Title: _________________________________</w:t>
            </w:r>
          </w:p>
        </w:tc>
      </w:tr>
      <w:tr>
        <w:tc>
          <w:tcPr/>
          <w:p>
            <w:pPr>
              <w:pStyle w:val="Compact"/>
              <w:jc w:val="left"/>
            </w:pPr>
            <w:r>
              <w:t xml:space="preserve">Date: _________________________________</w:t>
            </w:r>
          </w:p>
        </w:tc>
        <w:tc>
          <w:tcPr/>
          <w:p>
            <w:pPr>
              <w:pStyle w:val="Compact"/>
              <w:jc w:val="left"/>
            </w:pPr>
            <w:r>
              <w:t xml:space="preserve">Date: _________________________________</w:t>
            </w:r>
          </w:p>
        </w:tc>
      </w:tr>
    </w:tbl>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PORTAL ACCEPTANCE ALTERNATIVE</w:t>
            </w:r>
            <w:r>
              <w:t xml:space="preserve"> This MSA is designed to be accepted</w:t>
            </w:r>
          </w:p>
        </w:tc>
      </w:tr>
      <w:tr>
        <w:tc>
          <w:tcPr/>
          <w:p>
            <w:pPr>
              <w:pStyle w:val="Compact"/>
              <w:jc w:val="left"/>
            </w:pPr>
            <w:r>
              <w:t xml:space="preserve">electronically via portal Terms of Service acknowledgment rather than</w:t>
            </w:r>
          </w:p>
        </w:tc>
      </w:tr>
      <w:tr>
        <w:tc>
          <w:tcPr/>
          <w:p>
            <w:pPr>
              <w:pStyle w:val="Compact"/>
              <w:jc w:val="left"/>
            </w:pPr>
            <w:r>
              <w:t xml:space="preserve">signed via DocuSign. Counsel review should confirm that portal-based</w:t>
            </w:r>
          </w:p>
        </w:tc>
      </w:tr>
      <w:tr>
        <w:tc>
          <w:tcPr/>
          <w:p>
            <w:pPr>
              <w:pStyle w:val="Compact"/>
              <w:jc w:val="left"/>
            </w:pPr>
            <w:r>
              <w:t xml:space="preserve">TOS acceptance meets the applicable electronic signature statute (ESIGN</w:t>
            </w:r>
          </w:p>
        </w:tc>
      </w:tr>
      <w:tr>
        <w:tc>
          <w:tcPr/>
          <w:p>
            <w:pPr>
              <w:pStyle w:val="Compact"/>
              <w:jc w:val="left"/>
            </w:pPr>
            <w:r>
              <w:t xml:space="preserve">Act, state UETA) and that the portal captures the required</w:t>
            </w:r>
          </w:p>
        </w:tc>
      </w:tr>
      <w:tr>
        <w:tc>
          <w:tcPr/>
          <w:p>
            <w:pPr>
              <w:pStyle w:val="Compact"/>
              <w:jc w:val="left"/>
            </w:pPr>
            <w:r>
              <w:t xml:space="preserve">acknowledgment elements (clear assent, record of the accepted version,</w:t>
            </w:r>
          </w:p>
        </w:tc>
      </w:tr>
      <w:tr>
        <w:tc>
          <w:tcPr/>
          <w:p>
            <w:pPr>
              <w:pStyle w:val="Compact"/>
              <w:jc w:val="left"/>
            </w:pPr>
            <w:r>
              <w:t xml:space="preserve">timestamp, IP address, identifying information).</w:t>
            </w:r>
          </w:p>
        </w:tc>
      </w:tr>
    </w:tbl>
    <w:p>
      <w:r>
        <w:pict>
          <v:rect style="width:0;height:1.5pt" o:hralign="center" o:hrstd="t" o:hr="t"/>
        </w:pict>
      </w:r>
    </w:p>
    <w:bookmarkEnd w:id="125"/>
    <w:bookmarkStart w:id="134" w:name="exhibit-a-service-description"/>
    <w:p>
      <w:pPr>
        <w:pStyle w:val="Heading1"/>
      </w:pPr>
      <w:r>
        <w:t xml:space="preserve">Exhibit A — Service Description</w:t>
      </w:r>
    </w:p>
    <w:bookmarkStart w:id="131" w:name="a.1-scope-of-services"/>
    <w:p>
      <w:pPr>
        <w:pStyle w:val="Heading2"/>
      </w:pPr>
      <w:r>
        <w:t xml:space="preserve">A.1 Scope of Services</w:t>
      </w:r>
    </w:p>
    <w:p>
      <w:pPr>
        <w:pStyle w:val="FirstParagraph"/>
      </w:pPr>
      <w:r>
        <w:t>Fractional Standard provides the following Services to Client under this Agreement:</w:t>
      </w:r>
    </w:p>
    <w:bookmarkStart w:id="126" w:name="a.1.1-intake-and-diagnostic"/>
    <w:p>
      <w:pPr>
        <w:pStyle w:val="Heading3"/>
      </w:pPr>
      <w:r>
        <w:t xml:space="preserve">A.1.1 Intake and diagnostic</w:t>
      </w:r>
    </w:p>
    <w:p>
      <w:pPr>
        <w:numPr>
          <w:ilvl w:val="0"/>
          <w:numId w:val="1019"/>
        </w:numPr>
      </w:pPr>
      <w:r>
        <w:t>Initial diagnostic call (30–60 minutes) with Client’s leadership to understand business context, stage, role needs, and success criteria;</w:t>
      </w:r>
    </w:p>
    <w:p>
      <w:pPr>
        <w:numPr>
          <w:ilvl w:val="0"/>
          <w:numId w:val="1019"/>
        </w:numPr>
      </w:pPr>
      <w:r>
        <w:t>Structured Job Order capturing the role, scope, hours, target start date, and Operator profile requirements.</w:t>
      </w:r>
    </w:p>
    <w:bookmarkEnd w:id="126"/>
    <w:bookmarkStart w:id="127" w:name="a.1.2-matching"/>
    <w:p>
      <w:pPr>
        <w:pStyle w:val="Heading3"/>
      </w:pPr>
      <w:r>
        <w:t xml:space="preserve">A.1.2 Matching</w:t>
      </w:r>
    </w:p>
    <w:p>
      <w:pPr>
        <w:numPr>
          <w:ilvl w:val="0"/>
          <w:numId w:val="1020"/>
        </w:numPr>
      </w:pPr>
      <w:r>
        <w:t>Identification and confirmation of 3–5 Tier 1 Operator candidates matched to the Job Order;</w:t>
      </w:r>
    </w:p>
    <w:p>
      <w:pPr>
        <w:numPr>
          <w:ilvl w:val="0"/>
          <w:numId w:val="1020"/>
        </w:numPr>
      </w:pPr>
      <w:r>
        <w:t>Operator opt-in and context-sharing before candidates are presented to Client;</w:t>
      </w:r>
    </w:p>
    <w:bookmarkEnd w:id="127"/>
    <w:bookmarkStart w:id="128" w:name="a.1.3-interview-coordination"/>
    <w:p>
      <w:pPr>
        <w:pStyle w:val="Heading3"/>
      </w:pPr>
      <w:r>
        <w:t xml:space="preserve">A.1.3 Interview coordination</w:t>
      </w:r>
    </w:p>
    <w:p>
      <w:pPr>
        <w:numPr>
          <w:ilvl w:val="0"/>
          <w:numId w:val="1021"/>
        </w:numPr>
      </w:pPr>
      <w:r>
        <w:t>Optional Client interviews with shortlisted candidates, facilitated via Cal.com;</w:t>
      </w:r>
    </w:p>
    <w:p>
      <w:pPr>
        <w:numPr>
          <w:ilvl w:val="0"/>
          <w:numId w:val="1021"/>
        </w:numPr>
      </w:pPr>
      <w:r>
        <w:t>Client may elect to waive the interview and proceed directly to Placement based on the profile package.</w:t>
      </w:r>
    </w:p>
    <w:bookmarkEnd w:id="128"/>
    <w:bookmarkStart w:id="129" w:name="a.1.4-engagement-management"/>
    <w:p>
      <w:pPr>
        <w:pStyle w:val="Heading3"/>
      </w:pPr>
      <w:r>
        <w:t xml:space="preserve">A.1.4 Engagement management</w:t>
      </w:r>
    </w:p>
    <w:p>
      <w:pPr>
        <w:numPr>
          <w:ilvl w:val="0"/>
          <w:numId w:val="1022"/>
        </w:numPr>
      </w:pPr>
      <w:r>
        <w:t xml:space="preserve">Engagement kickoff coordination;</w:t>
      </w:r>
    </w:p>
    <w:p>
      <w:pPr>
        <w:numPr>
          <w:ilvl w:val="0"/>
          <w:numId w:val="1022"/>
        </w:numPr>
      </w:pPr>
      <w:r>
        <w:t>Automated pulse checks at Day 14, Day 45, and Day 75 of each placement;</w:t>
      </w:r>
    </w:p>
    <w:p>
      <w:pPr>
        <w:numPr>
          <w:ilvl w:val="0"/>
          <w:numId w:val="1022"/>
        </w:numPr>
      </w:pPr>
      <w:r>
        <w:t>Tier right-sizing conversations at Day 60 or as warranted by utilization data;</w:t>
      </w:r>
    </w:p>
    <w:p>
      <w:pPr>
        <w:numPr>
          <w:ilvl w:val="0"/>
          <w:numId w:val="1022"/>
        </w:numPr>
      </w:pPr>
      <w:r>
        <w:t>Monthly billing, payment processing, and Operator compensation administration.</w:t>
      </w:r>
    </w:p>
    <w:bookmarkEnd w:id="129"/>
    <w:bookmarkStart w:id="130" w:name="a.1.5-replacement-support"/>
    <w:p>
      <w:pPr>
        <w:pStyle w:val="Heading3"/>
      </w:pPr>
      <w:r>
        <w:t xml:space="preserve">A.1.5 Replacement support</w:t>
      </w:r>
    </w:p>
    <w:p>
      <w:pPr>
        <w:numPr>
          <w:ilvl w:val="0"/>
          <w:numId w:val="1023"/>
        </w:numPr>
        <w:pStyle w:val="Compact"/>
      </w:pPr>
      <w:r>
        <w:t>Up to one (1) replacement shortlist per Engagement in the first thirty (30) days, as set forth in Section 13.</w:t>
      </w:r>
    </w:p>
    <w:bookmarkEnd w:id="130"/>
    <w:bookmarkEnd w:id="131"/>
    <w:bookmarkStart w:id="132" w:name="a.2-service-levels"/>
    <w:p>
      <w:pPr>
        <w:pStyle w:val="Heading2"/>
      </w:pPr>
      <w:r>
        <w:t xml:space="preserve">A.2 Service Levels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Service</w:t>
            </w:r>
          </w:p>
        </w:tc>
        <w:tc>
          <w:tcPr/>
          <w:p>
            <w:pPr>
              <w:pStyle w:val="Compact"/>
              <w:jc w:val="left"/>
            </w:pPr>
            <w:r>
              <w:rPr>
                <w:bCs/>
                <w:b/>
              </w:rPr>
              <w:t xml:space="preserve">Timeline</w:t>
            </w:r>
          </w:p>
        </w:tc>
      </w:tr>
      <w:tr>
        <w:tc>
          <w:tcPr/>
          <w:p>
            <w:pPr>
              <w:pStyle w:val="Compact"/>
              <w:jc w:val="left"/>
            </w:pPr>
            <w:r>
              <w:t>Replacement shortlist (if warranted)</w:t>
            </w:r>
          </w:p>
        </w:tc>
        <w:tc>
          <w:tcPr/>
          <w:p>
            <w:pPr>
              <w:pStyle w:val="Compact"/>
              <w:jc w:val="left"/>
            </w:pPr>
            <w:r>
              <w:t>Within 10 business days of determination</w:t>
            </w:r>
          </w:p>
        </w:tc>
      </w:tr>
      <w:tr>
        <w:tc>
          <w:tcPr/>
          <w:p>
            <w:pPr>
              <w:pStyle w:val="Compact"/>
              <w:jc w:val="left"/>
            </w:pPr>
            <w:r>
              <w:t>Response to Client pulse check yellow flags</w:t>
            </w:r>
          </w:p>
        </w:tc>
        <w:tc>
          <w:tcPr/>
          <w:p>
            <w:pPr>
              <w:pStyle w:val="Compact"/>
              <w:jc w:val="left"/>
            </w:pPr>
            <w:r>
              <w:t xml:space="preserve">Within 1 business day</w:t>
            </w:r>
          </w:p>
        </w:tc>
      </w:tr>
      <w:tr>
        <w:tc>
          <w:tcPr/>
          <w:p>
            <w:pPr>
              <w:pStyle w:val="Compact"/>
              <w:jc w:val="left"/>
            </w:pPr>
            <w:r>
              <w:t>Response to Client pulse check red flags</w:t>
            </w:r>
          </w:p>
        </w:tc>
        <w:tc>
          <w:tcPr/>
          <w:p>
            <w:pPr>
              <w:pStyle w:val="Compact"/>
              <w:jc w:val="left"/>
            </w:pPr>
            <w:r>
              <w:t xml:space="preserve">Same-day response from account team</w:t>
            </w:r>
          </w:p>
        </w:tc>
      </w:tr>
      <w:tr>
        <w:tc>
          <w:tcPr/>
          <w:p>
            <w:pPr>
              <w:pStyle w:val="Compact"/>
              <w:jc w:val="left"/>
            </w:pPr>
            <w:r>
              <w:t xml:space="preserve">Monthly invoice</w:t>
            </w:r>
          </w:p>
        </w:tc>
        <w:tc>
          <w:tcPr/>
          <w:p>
            <w:pPr>
              <w:pStyle w:val="Compact"/>
              <w:jc w:val="left"/>
            </w:pPr>
            <w:r>
              <w:t>Issued monthly in advance on Engagement Start Date anniversary</w:t>
            </w:r>
          </w:p>
        </w:tc>
      </w:tr>
      <w:tr>
        <w:tc>
          <w:tcPr/>
          <w:p>
            <w:pPr>
              <w:pStyle w:val="Compact"/>
              <w:jc w:val="left"/>
            </w:pPr>
            <w:r>
              <w:t xml:space="preserve">Tier change confirmation</w:t>
            </w:r>
          </w:p>
        </w:tc>
        <w:tc>
          <w:tcPr/>
          <w:p>
            <w:pPr>
              <w:pStyle w:val="Compact"/>
              <w:jc w:val="left"/>
            </w:pPr>
            <w:r>
              <w:t>Within 2 business days of written request</w:t>
            </w:r>
          </w:p>
        </w:tc>
      </w:tr>
    </w:tbl>
    <w:bookmarkEnd w:id="132"/>
    <w:bookmarkStart w:id="133" w:name="a.3-exclusions"/>
    <w:p>
      <w:pPr>
        <w:pStyle w:val="Heading2"/>
      </w:pPr>
      <w:r>
        <w:t xml:space="preserve">A.3 Exclusions</w:t>
      </w:r>
    </w:p>
    <w:p>
      <w:pPr>
        <w:pStyle w:val="FirstParagraph"/>
      </w:pPr>
      <w:r>
        <w:t xml:space="preserve">The following are outside the scope of Services under this Agreement:</w:t>
      </w:r>
    </w:p>
    <w:p>
      <w:pPr>
        <w:numPr>
          <w:ilvl w:val="0"/>
          <w:numId w:val="1024"/>
        </w:numPr>
      </w:pPr>
      <w:r>
        <w:t xml:space="preserve">Direction, supervision, or performance management of Operators;</w:t>
      </w:r>
    </w:p>
    <w:p>
      <w:pPr>
        <w:numPr>
          <w:ilvl w:val="0"/>
          <w:numId w:val="1024"/>
        </w:numPr>
      </w:pPr>
      <w:r>
        <w:t>Warranty or indemnification of Operator work product (except as specifically provided in Section 17);</w:t>
      </w:r>
    </w:p>
    <w:p>
      <w:pPr>
        <w:numPr>
          <w:ilvl w:val="0"/>
          <w:numId w:val="1024"/>
        </w:numPr>
      </w:pPr>
      <w:r>
        <w:t xml:space="preserve">Legal, tax, accounting, or regulatory advisory services;</w:t>
      </w:r>
    </w:p>
    <w:p>
      <w:pPr>
        <w:numPr>
          <w:ilvl w:val="0"/>
          <w:numId w:val="1024"/>
        </w:numPr>
      </w:pPr>
      <w:r>
        <w:t>Background-check provision to Client (Fractional Standard conducts its own background checks on Operators prior to placement; results are not shared with Client);</w:t>
      </w:r>
    </w:p>
    <w:p>
      <w:pPr>
        <w:numPr>
          <w:ilvl w:val="0"/>
          <w:numId w:val="1024"/>
        </w:numPr>
      </w:pPr>
      <w:r>
        <w:t xml:space="preserve">Client-specific software, infrastructure, or access provisioning.</w:t>
      </w:r>
    </w:p>
    <w:bookmarkEnd w:id="133"/>
    <w:bookmarkEnd w:id="134"/>
    <w:bookmarkStart w:id="140" w:name="X29f8983a0d0e48533c3a9a5d57b111088bdeedf"/>
    <w:p>
      <w:pPr>
        <w:pStyle w:val="Heading1"/>
      </w:pPr>
      <w:r>
        <w:t xml:space="preserve">Exhibit B — Retainer Tiers &amp; Pricing Schedule</w:t>
      </w:r>
    </w:p>
    <w:p>
      <w:pPr>
        <w:pStyle w:val="FirstParagraph"/>
      </w:pPr>
      <w:r>
        <w:t>The Retainer Tiers below govern the monthly Retainer amount, hours-per-month cap, and scope for each Engagement. Client selects the Retainer Tier at the start of each Engagement.</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FILL IN BEFORE ATTORNEY REVIEW</w:t>
            </w:r>
            <w:r>
              <w:t xml:space="preserve"> Pricing in Exhibit B below is</w:t>
            </w:r>
          </w:p>
        </w:tc>
      </w:tr>
      <w:tr>
        <w:tc>
          <w:tcPr/>
          <w:p>
            <w:pPr>
              <w:pStyle w:val="Compact"/>
              <w:jc w:val="left"/>
            </w:pPr>
            <w:r>
              <w:t xml:space="preserve">illustrative and should be confirmed against the current Pricing Model</w:t>
            </w:r>
          </w:p>
        </w:tc>
      </w:tr>
      <w:tr>
        <w:tc>
          <w:tcPr/>
          <w:p>
            <w:pPr>
              <w:pStyle w:val="Compact"/>
              <w:jc w:val="left"/>
            </w:pPr>
            <w:r>
              <w:t xml:space="preserve">V6 before counsel review. Final Exhibit B will be synchronized with</w:t>
            </w:r>
          </w:p>
        </w:tc>
      </w:tr>
      <w:tr>
        <w:tc>
          <w:tcPr/>
          <w:p>
            <w:pPr>
              <w:pStyle w:val="Compact"/>
              <w:jc w:val="left"/>
            </w:pPr>
            <w:r>
              <w:t xml:space="preserve">FS-DOC-043 (V6 Pricing Model workbook).</w:t>
            </w:r>
          </w:p>
        </w:tc>
      </w:tr>
    </w:tbl>
    <w:p>
      <w:r>
        <w:pict>
          <v:rect style="width:0;height:1.5pt" o:hralign="center" o:hrstd="t" o:hr="t"/>
        </w:pict>
      </w:r>
    </w:p>
    <w:bookmarkStart w:id="135" w:name="b.1-foundation-tier"/>
    <w:p>
      <w:pPr>
        <w:pStyle w:val="Heading2"/>
      </w:pPr>
      <w:r>
        <w:t xml:space="preserve">B.1 Foundation Tier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Monthly Retainer</w:t>
            </w:r>
          </w:p>
        </w:tc>
        <w:tc>
          <w:tcPr/>
          <w:p>
            <w:pPr>
              <w:pStyle w:val="Compact"/>
              <w:jc w:val="left"/>
            </w:pPr>
            <w:r>
              <w:t>[FOUNDATION CFO RATE — from Pricing Model V6]</w:t>
            </w:r>
          </w:p>
        </w:tc>
      </w:tr>
      <w:tr>
        <w:tc>
          <w:tcPr/>
          <w:p>
            <w:pPr>
              <w:pStyle w:val="Compact"/>
              <w:jc w:val="left"/>
            </w:pPr>
            <w:r>
              <w:t xml:space="preserve">Hours cap per month</w:t>
            </w:r>
          </w:p>
        </w:tc>
        <w:tc>
          <w:tcPr/>
          <w:p>
            <w:pPr>
              <w:pStyle w:val="Compact"/>
              <w:jc w:val="left"/>
            </w:pPr>
            <w:r>
              <w:t xml:space="preserve">10–20 hours</w:t>
            </w:r>
          </w:p>
        </w:tc>
      </w:tr>
      <w:tr>
        <w:tc>
          <w:tcPr/>
          <w:p>
            <w:pPr>
              <w:pStyle w:val="Compact"/>
              <w:jc w:val="left"/>
            </w:pPr>
            <w:r>
              <w:t xml:space="preserve">Commitment Period</w:t>
            </w:r>
          </w:p>
        </w:tc>
        <w:tc>
          <w:tcPr/>
          <w:p>
            <w:pPr>
              <w:pStyle w:val="Compact"/>
              <w:jc w:val="left"/>
            </w:pPr>
            <w:r>
              <w:t xml:space="preserve">3 months</w:t>
            </w:r>
          </w:p>
        </w:tc>
      </w:tr>
      <w:tr>
        <w:tc>
          <w:tcPr/>
          <w:p>
            <w:pPr>
              <w:pStyle w:val="Compact"/>
              <w:jc w:val="left"/>
            </w:pPr>
            <w:r>
              <w:t xml:space="preserve">Billing cadence</w:t>
            </w:r>
          </w:p>
        </w:tc>
        <w:tc>
          <w:tcPr/>
          <w:p>
            <w:pPr>
              <w:pStyle w:val="Compact"/>
              <w:jc w:val="left"/>
            </w:pPr>
            <w:r>
              <w:t xml:space="preserve">Monthly in advance</w:t>
            </w:r>
          </w:p>
        </w:tc>
      </w:tr>
      <w:tr>
        <w:tc>
          <w:tcPr/>
          <w:p>
            <w:pPr>
              <w:pStyle w:val="Compact"/>
              <w:jc w:val="left"/>
            </w:pPr>
            <w:r>
              <w:t xml:space="preserve">Ideal Client profile</w:t>
            </w:r>
          </w:p>
        </w:tc>
        <w:tc>
          <w:tcPr/>
          <w:p>
            <w:pPr>
              <w:pStyle w:val="Compact"/>
              <w:jc w:val="left"/>
            </w:pPr>
            <w:r>
              <w:t>Early-growth company, first fractional executive, discovery and foundation-building</w:t>
            </w:r>
          </w:p>
        </w:tc>
      </w:tr>
      <w:tr>
        <w:tc>
          <w:tcPr/>
          <w:p>
            <w:pPr>
              <w:pStyle w:val="Compact"/>
              <w:jc w:val="left"/>
            </w:pPr>
            <w:r>
              <w:t xml:space="preserve">Overage rate</w:t>
            </w:r>
          </w:p>
        </w:tc>
        <w:tc>
          <w:tcPr/>
          <w:p>
            <w:pPr>
              <w:pStyle w:val="Compact"/>
              <w:jc w:val="left"/>
            </w:pPr>
            <w:r>
              <w:t>[OVERAGE RATE — per Pricing Model V6]</w:t>
            </w:r>
          </w:p>
        </w:tc>
      </w:tr>
    </w:tbl>
    <w:bookmarkEnd w:id="135"/>
    <w:bookmarkStart w:id="136" w:name="b.2-growth-tier"/>
    <w:p>
      <w:pPr>
        <w:pStyle w:val="Heading2"/>
      </w:pPr>
      <w:r>
        <w:t xml:space="preserve">B.2 Growth Tier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Monthly Retainer</w:t>
            </w:r>
          </w:p>
        </w:tc>
        <w:tc>
          <w:tcPr/>
          <w:p>
            <w:pPr>
              <w:pStyle w:val="Compact"/>
              <w:jc w:val="left"/>
            </w:pPr>
            <w:r>
              <w:t>[GROWTH RATE — from Pricing Model V6]</w:t>
            </w:r>
          </w:p>
        </w:tc>
      </w:tr>
      <w:tr>
        <w:tc>
          <w:tcPr/>
          <w:p>
            <w:pPr>
              <w:pStyle w:val="Compact"/>
              <w:jc w:val="left"/>
            </w:pPr>
            <w:r>
              <w:t xml:space="preserve">Hours cap per month</w:t>
            </w:r>
          </w:p>
        </w:tc>
        <w:tc>
          <w:tcPr/>
          <w:p>
            <w:pPr>
              <w:pStyle w:val="Compact"/>
              <w:jc w:val="left"/>
            </w:pPr>
            <w:r>
              <w:t xml:space="preserve">20–40 hours</w:t>
            </w:r>
          </w:p>
        </w:tc>
      </w:tr>
      <w:tr>
        <w:tc>
          <w:tcPr/>
          <w:p>
            <w:pPr>
              <w:pStyle w:val="Compact"/>
              <w:jc w:val="left"/>
            </w:pPr>
            <w:r>
              <w:t xml:space="preserve">Commitment Period</w:t>
            </w:r>
          </w:p>
        </w:tc>
        <w:tc>
          <w:tcPr/>
          <w:p>
            <w:pPr>
              <w:pStyle w:val="Compact"/>
              <w:jc w:val="left"/>
            </w:pPr>
            <w:r>
              <w:t xml:space="preserve">3 months</w:t>
            </w:r>
          </w:p>
        </w:tc>
      </w:tr>
      <w:tr>
        <w:tc>
          <w:tcPr/>
          <w:p>
            <w:pPr>
              <w:pStyle w:val="Compact"/>
              <w:jc w:val="left"/>
            </w:pPr>
            <w:r>
              <w:t xml:space="preserve">Billing cadence</w:t>
            </w:r>
          </w:p>
        </w:tc>
        <w:tc>
          <w:tcPr/>
          <w:p>
            <w:pPr>
              <w:pStyle w:val="Compact"/>
              <w:jc w:val="left"/>
            </w:pPr>
            <w:r>
              <w:t xml:space="preserve">Monthly in advance</w:t>
            </w:r>
          </w:p>
        </w:tc>
      </w:tr>
      <w:tr>
        <w:tc>
          <w:tcPr/>
          <w:p>
            <w:pPr>
              <w:pStyle w:val="Compact"/>
              <w:jc w:val="left"/>
            </w:pPr>
            <w:r>
              <w:t xml:space="preserve">Ideal Client profile</w:t>
            </w:r>
          </w:p>
        </w:tc>
        <w:tc>
          <w:tcPr/>
          <w:p>
            <w:pPr>
              <w:pStyle w:val="Compact"/>
              <w:jc w:val="left"/>
            </w:pPr>
            <w:r>
              <w:t>Mid-stage company with active project or transition, operational execution required</w:t>
            </w:r>
          </w:p>
        </w:tc>
      </w:tr>
      <w:tr>
        <w:tc>
          <w:tcPr/>
          <w:p>
            <w:pPr>
              <w:pStyle w:val="Compact"/>
              <w:jc w:val="left"/>
            </w:pPr>
            <w:r>
              <w:t xml:space="preserve">Overage rate</w:t>
            </w:r>
          </w:p>
        </w:tc>
        <w:tc>
          <w:tcPr/>
          <w:p>
            <w:pPr>
              <w:pStyle w:val="Compact"/>
              <w:jc w:val="left"/>
            </w:pPr>
            <w:r>
              <w:t>[OVERAGE RATE — per Pricing Model V6]</w:t>
            </w:r>
          </w:p>
        </w:tc>
      </w:tr>
    </w:tbl>
    <w:bookmarkEnd w:id="136"/>
    <w:bookmarkStart w:id="137" w:name="b.3-scale-tier"/>
    <w:p>
      <w:pPr>
        <w:pStyle w:val="Heading2"/>
      </w:pPr>
      <w:r>
        <w:t xml:space="preserve">B.3 Scale Tier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Monthly Retainer</w:t>
            </w:r>
          </w:p>
        </w:tc>
        <w:tc>
          <w:tcPr/>
          <w:p>
            <w:pPr>
              <w:pStyle w:val="Compact"/>
              <w:jc w:val="left"/>
            </w:pPr>
            <w:r>
              <w:t>[SCALE RATE — from Pricing Model V6]</w:t>
            </w:r>
          </w:p>
        </w:tc>
      </w:tr>
      <w:tr>
        <w:tc>
          <w:tcPr/>
          <w:p>
            <w:pPr>
              <w:pStyle w:val="Compact"/>
              <w:jc w:val="left"/>
            </w:pPr>
            <w:r>
              <w:t xml:space="preserve">Hours cap per month</w:t>
            </w:r>
          </w:p>
        </w:tc>
        <w:tc>
          <w:tcPr/>
          <w:p>
            <w:pPr>
              <w:pStyle w:val="Compact"/>
              <w:jc w:val="left"/>
            </w:pPr>
            <w:r>
              <w:t xml:space="preserve">40–60 hours</w:t>
            </w:r>
          </w:p>
        </w:tc>
      </w:tr>
      <w:tr>
        <w:tc>
          <w:tcPr/>
          <w:p>
            <w:pPr>
              <w:pStyle w:val="Compact"/>
              <w:jc w:val="left"/>
            </w:pPr>
            <w:r>
              <w:t xml:space="preserve">Commitment Period</w:t>
            </w:r>
          </w:p>
        </w:tc>
        <w:tc>
          <w:tcPr/>
          <w:p>
            <w:pPr>
              <w:pStyle w:val="Compact"/>
              <w:jc w:val="left"/>
            </w:pPr>
            <w:r>
              <w:t xml:space="preserve">3 months</w:t>
            </w:r>
          </w:p>
        </w:tc>
      </w:tr>
      <w:tr>
        <w:tc>
          <w:tcPr/>
          <w:p>
            <w:pPr>
              <w:pStyle w:val="Compact"/>
              <w:jc w:val="left"/>
            </w:pPr>
            <w:r>
              <w:t xml:space="preserve">Billing cadence</w:t>
            </w:r>
          </w:p>
        </w:tc>
        <w:tc>
          <w:tcPr/>
          <w:p>
            <w:pPr>
              <w:pStyle w:val="Compact"/>
              <w:jc w:val="left"/>
            </w:pPr>
            <w:r>
              <w:t xml:space="preserve">Monthly in advance</w:t>
            </w:r>
          </w:p>
        </w:tc>
      </w:tr>
      <w:tr>
        <w:tc>
          <w:tcPr/>
          <w:p>
            <w:pPr>
              <w:pStyle w:val="Compact"/>
              <w:jc w:val="left"/>
            </w:pPr>
            <w:r>
              <w:t xml:space="preserve">Ideal Client profile</w:t>
            </w:r>
          </w:p>
        </w:tc>
        <w:tc>
          <w:tcPr/>
          <w:p>
            <w:pPr>
              <w:pStyle w:val="Compact"/>
              <w:jc w:val="left"/>
            </w:pPr>
            <w:r>
              <w:t>High-growth company or complex transformation, quasi-full-time leadership</w:t>
            </w:r>
          </w:p>
        </w:tc>
      </w:tr>
      <w:tr>
        <w:tc>
          <w:tcPr/>
          <w:p>
            <w:pPr>
              <w:pStyle w:val="Compact"/>
              <w:jc w:val="left"/>
            </w:pPr>
            <w:r>
              <w:t xml:space="preserve">Overage rate</w:t>
            </w:r>
          </w:p>
        </w:tc>
        <w:tc>
          <w:tcPr/>
          <w:p>
            <w:pPr>
              <w:pStyle w:val="Compact"/>
              <w:jc w:val="left"/>
            </w:pPr>
            <w:r>
              <w:t>[OVERAGE RATE — per Pricing Model V6]</w:t>
            </w:r>
          </w:p>
        </w:tc>
      </w:tr>
    </w:tbl>
    <w:bookmarkEnd w:id="137"/>
    <w:bookmarkStart w:id="138" w:name="b.4-embedded-tier"/>
    <w:p>
      <w:pPr>
        <w:pStyle w:val="Heading2"/>
      </w:pPr>
      <w:r>
        <w:t xml:space="preserve">B.4 Embedded Tier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Monthly Retainer</w:t>
            </w:r>
          </w:p>
        </w:tc>
        <w:tc>
          <w:tcPr/>
          <w:p>
            <w:pPr>
              <w:pStyle w:val="Compact"/>
              <w:jc w:val="left"/>
            </w:pPr>
            <w:r>
              <w:t>[EMBEDDED RATE — from Pricing Model V6]</w:t>
            </w:r>
          </w:p>
        </w:tc>
      </w:tr>
      <w:tr>
        <w:tc>
          <w:tcPr/>
          <w:p>
            <w:pPr>
              <w:pStyle w:val="Compact"/>
              <w:jc w:val="left"/>
            </w:pPr>
            <w:r>
              <w:t xml:space="preserve">Hours cap per month</w:t>
            </w:r>
          </w:p>
        </w:tc>
        <w:tc>
          <w:tcPr/>
          <w:p>
            <w:pPr>
              <w:pStyle w:val="Compact"/>
              <w:jc w:val="left"/>
            </w:pPr>
            <w:r>
              <w:t xml:space="preserve">60–80 hours</w:t>
            </w:r>
          </w:p>
        </w:tc>
      </w:tr>
      <w:tr>
        <w:tc>
          <w:tcPr/>
          <w:p>
            <w:pPr>
              <w:pStyle w:val="Compact"/>
              <w:jc w:val="left"/>
            </w:pPr>
            <w:r>
              <w:t xml:space="preserve">Commitment Period</w:t>
            </w:r>
          </w:p>
        </w:tc>
        <w:tc>
          <w:tcPr/>
          <w:p>
            <w:pPr>
              <w:pStyle w:val="Compact"/>
              <w:jc w:val="left"/>
            </w:pPr>
            <w:r>
              <w:t xml:space="preserve">3 months</w:t>
            </w:r>
          </w:p>
        </w:tc>
      </w:tr>
      <w:tr>
        <w:tc>
          <w:tcPr/>
          <w:p>
            <w:pPr>
              <w:pStyle w:val="Compact"/>
              <w:jc w:val="left"/>
            </w:pPr>
            <w:r>
              <w:t xml:space="preserve">Billing cadence</w:t>
            </w:r>
          </w:p>
        </w:tc>
        <w:tc>
          <w:tcPr/>
          <w:p>
            <w:pPr>
              <w:pStyle w:val="Compact"/>
              <w:jc w:val="left"/>
            </w:pPr>
            <w:r>
              <w:t xml:space="preserve">Monthly in advance</w:t>
            </w:r>
          </w:p>
        </w:tc>
      </w:tr>
      <w:tr>
        <w:tc>
          <w:tcPr/>
          <w:p>
            <w:pPr>
              <w:pStyle w:val="Compact"/>
              <w:jc w:val="left"/>
            </w:pPr>
            <w:r>
              <w:t xml:space="preserve">Ideal Client profile</w:t>
            </w:r>
          </w:p>
        </w:tc>
        <w:tc>
          <w:tcPr/>
          <w:p>
            <w:pPr>
              <w:pStyle w:val="Compact"/>
              <w:jc w:val="left"/>
            </w:pPr>
            <w:r>
              <w:t>Near full-time engagement, deep operational leadership, pre-hire or interim role</w:t>
            </w:r>
          </w:p>
        </w:tc>
      </w:tr>
      <w:tr>
        <w:tc>
          <w:tcPr/>
          <w:p>
            <w:pPr>
              <w:pStyle w:val="Compact"/>
              <w:jc w:val="left"/>
            </w:pPr>
            <w:r>
              <w:t xml:space="preserve">Overage rate</w:t>
            </w:r>
          </w:p>
        </w:tc>
        <w:tc>
          <w:tcPr/>
          <w:p>
            <w:pPr>
              <w:pStyle w:val="Compact"/>
              <w:jc w:val="left"/>
            </w:pPr>
            <w:r>
              <w:t>[OVERAGE RATE — per Pricing Model V6]</w:t>
            </w:r>
          </w:p>
        </w:tc>
      </w:tr>
    </w:tbl>
    <w:bookmarkEnd w:id="138"/>
    <w:bookmarkStart w:id="139" w:name="b.5-tier-change-rules"/>
    <w:p>
      <w:pPr>
        <w:pStyle w:val="Heading2"/>
      </w:pPr>
      <w:r>
        <w:t xml:space="preserve">B.5 Tier change rules</w:t>
      </w:r>
    </w:p>
    <w:p>
      <w:pPr>
        <w:numPr>
          <w:ilvl w:val="0"/>
          <w:numId w:val="1025"/>
        </w:numPr>
      </w:pPr>
      <w:r>
        <w:t xml:space="preserve">Upgrades take effect on the next billing cycle;</w:t>
      </w:r>
    </w:p>
    <w:p>
      <w:pPr>
        <w:numPr>
          <w:ilvl w:val="0"/>
          <w:numId w:val="1025"/>
        </w:numPr>
      </w:pPr>
      <w:r>
        <w:t>Downgrades take effect at the end of the then-current calendar month, with at least seven (7) days’ written notice;</w:t>
      </w:r>
    </w:p>
    <w:p>
      <w:pPr>
        <w:numPr>
          <w:ilvl w:val="0"/>
          <w:numId w:val="1025"/>
        </w:numPr>
      </w:pPr>
      <w:r>
        <w:t>Tier changes during the initial Commitment Period require mutual agreement.</w:t>
      </w:r>
    </w:p>
    <w:bookmarkEnd w:id="139"/>
    <w:bookmarkEnd w:id="140"/>
    <w:bookmarkStart w:id="148" w:name="exhibit-d-direct-hire-placement-addendum"/>
    <w:p>
      <w:pPr>
        <w:pStyle w:val="Heading1"/>
      </w:pPr>
      <w:r>
        <w:t xml:space="preserve">Exhibit D — Direct-Hire Placement Addendum</w:t>
      </w:r>
    </w:p>
    <w:p>
      <w:pPr>
        <w:pStyle w:val="FirstParagraph"/>
      </w:pPr>
      <w:r>
        <w:t>This Addendum governs FTE Conversion as described in Section 9. It supplements and is incorporated into the MSA. In the event of any conflict between this Addendum and the MSA, this Addendum controls with respect to FTE Conversion matters.</w:t>
      </w:r>
    </w:p>
    <w:bookmarkStart w:id="141" w:name="d.1-scope"/>
    <w:p>
      <w:pPr>
        <w:pStyle w:val="Heading2"/>
      </w:pPr>
      <w:r>
        <w:t xml:space="preserve">D.1 Scope</w:t>
      </w:r>
    </w:p>
    <w:p>
      <w:pPr>
        <w:pStyle w:val="FirstParagraph"/>
      </w:pPr>
      <w:r>
        <w:t>This Addendum applies when Client elects to convert an Operator originally placed under a fractional Engagement to a full-time employee, long-term contractor, or executive of Client. The conversion is effective on the first business day the converted Operator begins full-time work for Client (the “Conversion Date”).</w:t>
      </w:r>
    </w:p>
    <w:bookmarkEnd w:id="141"/>
    <w:bookmarkStart w:id="142" w:name="d.2-conversion-fee-tenure-tiers"/>
    <w:p>
      <w:pPr>
        <w:pStyle w:val="Heading2"/>
      </w:pPr>
      <w:r>
        <w:t xml:space="preserve">D.2 Conversion fee — Tenure tiers</w:t>
      </w:r>
    </w:p>
    <w:p>
      <w:pPr>
        <w:pStyle w:val="FirstParagraph"/>
      </w:pPr>
      <w:r>
        <w:rPr>
          <w:highlight w:val="yellow"/>
        </w:rPr>
        <w:t>The conversion fee is calculated as a percentage of the Operator’s FY1 Base Salary, determined by the Operator’s Tenure as of the Conversion Date:</w:t>
      </w:r>
    </w:p>
    <w:p>
      <w:pPr>
        <w:pStyle w:val="BodyText"/>
      </w:pPr>
      <w:r>
        <w:rPr>
          <w:highlight w:val="yellow"/>
        </w:rPr>
        <w:t xml:space="preserve">| </w:t>
      </w:r>
      <w:r>
        <w:rPr>
          <w:bCs/>
          <w:b/>
          <w:highlight w:val="yellow"/>
        </w:rPr>
        <w:t xml:space="preserve">Tenure at Conversion</w:t>
      </w:r>
      <w:r>
        <w:rPr>
          <w:highlight w:val="yellow"/>
        </w:rPr>
        <w:t xml:space="preserve"> | </w:t>
      </w:r>
      <w:r>
        <w:rPr>
          <w:bCs/>
          <w:b/>
          <w:highlight w:val="yellow"/>
        </w:rPr>
        <w:t xml:space="preserve">Conversion Fee</w:t>
      </w:r>
      <w:r>
        <w:rPr>
          <w:highlight w:val="yellow"/>
        </w:rPr>
        <w:t xml:space="preserve"> | </w:t>
      </w:r>
      <w:r>
        <w:rPr>
          <w:bCs/>
          <w:b/>
          <w:highlight w:val="yellow"/>
        </w:rPr>
        <w:t xml:space="preserve">Notes</w:t>
      </w:r>
      <w:r>
        <w:rPr>
          <w:highlight w:val="yellow"/>
        </w:rPr>
        <w:t xml:space="preserve"> |</w:t>
      </w:r>
      <w:r>
        <w:t xml:space="preserve"> </w:t>
      </w:r>
      <w:r>
        <w:rPr>
          <w:highlight w:val="yellow"/>
        </w:rPr>
        <w:t xml:space="preserve">| — | — | — |</w:t>
      </w:r>
      <w:r>
        <w:t xml:space="preserve"> </w:t>
      </w:r>
      <w:r>
        <w:rPr>
          <w:highlight w:val="yellow"/>
        </w:rPr>
        <w:t xml:space="preserve">| 0–3 months | </w:t>
      </w:r>
      <w:r>
        <w:rPr>
          <w:bCs/>
          <w:b/>
          <w:highlight w:val="yellow"/>
        </w:rPr>
        <w:t>20% of FY1 Base Salary</w:t>
      </w:r>
      <w:r>
        <w:rPr>
          <w:highlight w:val="yellow"/>
        </w:rPr>
        <w:t xml:space="preserve"> | Highest tier; subject to additional 3-Month Minimum Buyout (see D.2.1) |</w:t>
      </w:r>
      <w:r>
        <w:t xml:space="preserve"> </w:t>
      </w:r>
      <w:r>
        <w:rPr>
          <w:highlight w:val="yellow"/>
        </w:rPr>
        <w:t xml:space="preserve">| 3–6 months | </w:t>
      </w:r>
      <w:r>
        <w:rPr>
          <w:bCs/>
          <w:b/>
          <w:highlight w:val="yellow"/>
        </w:rPr>
        <w:t xml:space="preserve">17% of FY1 Base Salary</w:t>
      </w:r>
      <w:r>
        <w:rPr>
          <w:highlight w:val="yellow"/>
        </w:rPr>
        <w:t xml:space="preserve"> | Mid-tier; no buyout |</w:t>
      </w:r>
      <w:r>
        <w:t xml:space="preserve"> </w:t>
      </w:r>
      <w:r>
        <w:rPr>
          <w:highlight w:val="yellow"/>
        </w:rPr>
        <w:t xml:space="preserve">| 6–12 months | </w:t>
      </w:r>
      <w:r>
        <w:rPr>
          <w:bCs/>
          <w:b/>
          <w:highlight w:val="yellow"/>
        </w:rPr>
        <w:t xml:space="preserve">13% of FY1 Base Salary</w:t>
      </w:r>
      <w:r>
        <w:rPr>
          <w:highlight w:val="yellow"/>
        </w:rPr>
        <w:t xml:space="preserve"> | Reduced tier |</w:t>
      </w:r>
      <w:r>
        <w:t xml:space="preserve"> </w:t>
      </w:r>
      <w:r>
        <w:rPr>
          <w:highlight w:val="yellow"/>
        </w:rPr>
        <w:t xml:space="preserve">| 12+ months | </w:t>
      </w:r>
      <w:r>
        <w:rPr>
          <w:bCs/>
          <w:b/>
          <w:highlight w:val="yellow"/>
        </w:rPr>
        <w:t xml:space="preserve">10% of FY1 Base Salary</w:t>
      </w:r>
      <w:r>
        <w:rPr>
          <w:highlight w:val="yellow"/>
        </w:rPr>
        <w:t xml:space="preserve"> | Lowest tier |</w:t>
      </w:r>
    </w:p>
    <w:p>
      <w:pPr>
        <w:pStyle w:val="BodyText"/>
      </w:pPr>
      <w:r>
        <w:rPr>
          <w:bCs/>
          <w:b/>
          <w:highlight w:val="yellow"/>
        </w:rPr>
        <w:t xml:space="preserve">FY1 Base Salary</w:t>
      </w:r>
      <w:r>
        <w:rPr>
          <w:highlight w:val="yellow"/>
        </w:rPr>
        <w:t xml:space="preserve"> means the Operator’s first-year annualized base compensation in their direct-hire role with Client. Bonuses, commissions, and benefits are excluded; equity granted within the first 12 months following the Conversion Date is included at grant-date fair market value.</w:t>
      </w:r>
    </w:p>
    <w:p>
      <w:pPr>
        <w:pStyle w:val="BodyText"/>
      </w:pPr>
      <w:r>
        <w:rPr>
          <w:bCs/>
          <w:b/>
          <w:highlight w:val="yellow"/>
        </w:rPr>
        <w:t xml:space="preserve">Tenure</w:t>
      </w:r>
      <w:r>
        <w:rPr>
          <w:highlight w:val="yellow"/>
        </w:rPr>
        <w:t xml:space="preserve"> is measured from the Engagement start date (the first day on which the Operator provided services under the Engagement) through the Conversion Date, in completed calendar months.</w:t>
      </w:r>
    </w:p>
    <w:p>
      <w:pPr>
        <w:pStyle w:val="BodyText"/>
      </w:pPr>
      <w:r>
        <w:rPr>
          <w:bCs/>
          <w:b/>
          <w:highlight w:val="yellow"/>
        </w:rPr>
        <w:t xml:space="preserve">Payment Terms:</w:t>
      </w:r>
      <w:r>
        <w:rPr>
          <w:highlight w:val="yellow"/>
        </w:rPr>
        <w:t xml:space="preserve"> Net-30 after the Conversion Date. Invoice issued via Stripe on or after the Conversion Date.</w:t>
      </w:r>
    </w:p>
    <w:bookmarkEnd w:id="142"/>
    <w:bookmarkStart w:id="143" w:name="d.2.1-three-month-minimum-buyout"/>
    <w:p>
      <w:pPr>
        <w:pStyle w:val="Heading2"/>
      </w:pPr>
      <w:r>
        <w:t xml:space="preserve">D.2.1 Three-Month Minimum Buyout</w:t>
      </w:r>
    </w:p>
    <w:p>
      <w:pPr>
        <w:pStyle w:val="FirstParagraph"/>
      </w:pPr>
      <w:r>
        <w:rPr>
          <w:highlight w:val="yellow"/>
        </w:rPr>
        <w:t>If a Conversion occurs before the Operator has completed three (3) full calendar months of Tenure, Client shall pay, in addition to the conversion fee under Section D.2, a Three-Month Minimum Buyout calculated as:</w:t>
      </w:r>
    </w:p>
    <w:p>
      <w:pPr>
        <w:pStyle w:val="BodyText"/>
      </w:pPr>
      <w:r>
        <w:rPr>
          <w:highlight w:val="yellow"/>
          <w:bCs/>
          <w:b/>
        </w:rPr>
        <w:t xml:space="preserve">Buyout = Monthly Retainer × (3 − Tenure in months)</w:t>
      </w:r>
    </w:p>
    <w:p>
      <w:pPr>
        <w:pStyle w:val="BodyText"/>
      </w:pPr>
      <w:r>
        <w:rPr>
          <w:highlight w:val="yellow"/>
        </w:rPr>
        <w:t>Where Monthly Retainer is the monthly retainer fee in effect for the applicable Engagement immediately prior to the Conversion Date. No Buyout is owed if Tenure is 3 months or more.</w:t>
      </w:r>
    </w:p>
    <w:bookmarkEnd w:id="143"/>
    <w:bookmarkStart w:id="144" w:name="d.2.2-tail-period"/>
    <w:p>
      <w:pPr>
        <w:pStyle w:val="Heading2"/>
      </w:pPr>
      <w:r>
        <w:t xml:space="preserve">D.2.2 Tail Period</w:t>
      </w:r>
    </w:p>
    <w:p>
      <w:pPr>
        <w:pStyle w:val="FirstParagraph"/>
      </w:pPr>
      <w:r>
        <w:rPr>
          <w:highlight w:val="yellow"/>
        </w:rPr>
        <w:t>If, at any time during the twelve (12) calendar month period following the end of an Engagement (the “Tail Period”), Client (or any of its affiliates, parent companies, or subsidiaries) engages any Operator who was previously placed by Fractional Standard in any active Engagement under the MSA, such engagement shall be deemed an FTE Conversion subject to this Exhibit D and the Conversion Fee Policy. Tenure shall be measured from the original Engagement start date through the date the Engagement ended (excluding the Tail Period itself); the resulting Tenure determines the applicable tier. The Tail Period applies regardless of how the original Engagement ended, including termination by Client for convenience, termination by Fractional Standard, voluntary departure of the Operator, or expiration of the Engagement term.</w:t>
      </w:r>
    </w:p>
    <w:bookmarkEnd w:id="144"/>
    <w:bookmarkStart w:id="145" w:name="d.2.3-worked-examples"/>
    <w:p>
      <w:pPr>
        <w:pStyle w:val="Heading2"/>
      </w:pPr>
      <w:r>
        <w:t xml:space="preserve">D.2.3 Worked examples</w:t>
      </w:r>
    </w:p>
    <w:p>
      <w:pPr>
        <w:pStyle w:val="FirstParagraph"/>
      </w:pPr>
      <w:r>
        <w:rPr>
          <w:highlight w:val="yellow"/>
        </w:rPr>
        <w:t>The following examples are illustrative only and do not modify the operative provisions above. In the event of any conflict between an example and the operative language, the operative language controls.</w:t>
      </w:r>
    </w:p>
    <w:p>
      <w:pPr>
        <w:pStyle w:val="BodyText"/>
      </w:pPr>
      <w:r>
        <w:rPr>
          <w:highlight w:val="yellow"/>
        </w:rPr>
        <w:t xml:space="preserve">| </w:t>
      </w:r>
      <w:r>
        <w:rPr>
          <w:bCs/>
          <w:b/>
          <w:highlight w:val="yellow"/>
        </w:rPr>
        <w:t xml:space="preserve">Scenario</w:t>
      </w:r>
      <w:r>
        <w:rPr>
          <w:highlight w:val="yellow"/>
        </w:rPr>
        <w:t xml:space="preserve"> | </w:t>
      </w:r>
      <w:r>
        <w:rPr>
          <w:bCs/>
          <w:b/>
          <w:highlight w:val="yellow"/>
        </w:rPr>
        <w:t xml:space="preserve">Role</w:t>
      </w:r>
      <w:r>
        <w:rPr>
          <w:highlight w:val="yellow"/>
        </w:rPr>
        <w:t xml:space="preserve"> | </w:t>
      </w:r>
      <w:r>
        <w:rPr>
          <w:bCs/>
          <w:b/>
          <w:highlight w:val="yellow"/>
        </w:rPr>
        <w:t xml:space="preserve">FY1 Base Salary</w:t>
      </w:r>
      <w:r>
        <w:rPr>
          <w:highlight w:val="yellow"/>
        </w:rPr>
        <w:t xml:space="preserve"> | </w:t>
      </w:r>
      <w:r>
        <w:rPr>
          <w:bCs/>
          <w:b/>
          <w:highlight w:val="yellow"/>
        </w:rPr>
        <w:t xml:space="preserve">Tenure</w:t>
      </w:r>
      <w:r>
        <w:rPr>
          <w:highlight w:val="yellow"/>
        </w:rPr>
        <w:t xml:space="preserve"> | </w:t>
      </w:r>
      <w:r>
        <w:rPr>
          <w:bCs/>
          <w:b/>
          <w:highlight w:val="yellow"/>
        </w:rPr>
        <w:t xml:space="preserve">Tier %</w:t>
      </w:r>
      <w:r>
        <w:rPr>
          <w:highlight w:val="yellow"/>
        </w:rPr>
        <w:t xml:space="preserve"> | </w:t>
      </w:r>
      <w:r>
        <w:rPr>
          <w:bCs/>
          <w:b/>
          <w:highlight w:val="yellow"/>
        </w:rPr>
        <w:t xml:space="preserve">Buyout</w:t>
      </w:r>
      <w:r>
        <w:rPr>
          <w:highlight w:val="yellow"/>
        </w:rPr>
        <w:t xml:space="preserve"> | </w:t>
      </w:r>
      <w:r>
        <w:rPr>
          <w:bCs/>
          <w:b/>
          <w:highlight w:val="yellow"/>
        </w:rPr>
        <w:t xml:space="preserve">Total Fee</w:t>
      </w:r>
      <w:r>
        <w:rPr>
          <w:highlight w:val="yellow"/>
        </w:rPr>
        <w:t xml:space="preserve"> |</w:t>
      </w:r>
      <w:r>
        <w:t xml:space="preserve"> </w:t>
      </w:r>
      <w:r>
        <w:rPr>
          <w:highlight w:val="yellow"/>
        </w:rPr>
        <w:t>| — | — | — | — | — | — | — |</w:t>
      </w:r>
      <w:r>
        <w:t xml:space="preserve"> </w:t>
      </w:r>
      <w:r>
        <w:rPr>
          <w:highlight w:val="yellow"/>
        </w:rPr>
        <w:t xml:space="preserve">| Early conversion | CFO Growth | $200,000 | 2 months | 20% | 1 × $11,850 = $11,850 | </w:t>
      </w:r>
      <w:r>
        <w:rPr>
          <w:bCs/>
          <w:b/>
          <w:highlight w:val="yellow"/>
        </w:rPr>
        <w:t xml:space="preserve">$51,850</w:t>
      </w:r>
      <w:r>
        <w:rPr>
          <w:highlight w:val="yellow"/>
        </w:rPr>
        <w:t xml:space="preserve"> |</w:t>
      </w:r>
      <w:r>
        <w:t xml:space="preserve"> </w:t>
      </w:r>
      <w:r>
        <w:rPr>
          <w:highlight w:val="yellow"/>
        </w:rPr>
        <w:t xml:space="preserve">| Modest tenure | COO Scale | $250,000 | 4 months | 17% | $0 | </w:t>
      </w:r>
      <w:r>
        <w:rPr>
          <w:bCs/>
          <w:b/>
          <w:highlight w:val="yellow"/>
        </w:rPr>
        <w:t xml:space="preserve">$42,500</w:t>
      </w:r>
      <w:r>
        <w:rPr>
          <w:highlight w:val="yellow"/>
        </w:rPr>
        <w:t xml:space="preserve"> |</w:t>
      </w:r>
      <w:r>
        <w:t xml:space="preserve"> </w:t>
      </w:r>
      <w:r>
        <w:rPr>
          <w:highlight w:val="yellow"/>
        </w:rPr>
        <w:t xml:space="preserve">| Established | CFO Scale | $250,000 | 8 months | 13% | $0 | </w:t>
      </w:r>
      <w:r>
        <w:rPr>
          <w:bCs/>
          <w:b/>
          <w:highlight w:val="yellow"/>
        </w:rPr>
        <w:t xml:space="preserve">$32,500</w:t>
      </w:r>
      <w:r>
        <w:rPr>
          <w:highlight w:val="yellow"/>
        </w:rPr>
        <w:t xml:space="preserve"> |</w:t>
      </w:r>
      <w:r>
        <w:t xml:space="preserve"> </w:t>
      </w:r>
      <w:r>
        <w:rPr>
          <w:highlight w:val="yellow"/>
        </w:rPr>
        <w:t xml:space="preserve">| Long tenure | CMO Foundation | $160,000 | 14 months | 10% | $0 | </w:t>
      </w:r>
      <w:r>
        <w:rPr>
          <w:bCs/>
          <w:b/>
          <w:highlight w:val="yellow"/>
        </w:rPr>
        <w:t xml:space="preserve">$16,000</w:t>
      </w:r>
      <w:r>
        <w:rPr>
          <w:highlight w:val="yellow"/>
        </w:rPr>
        <w:t xml:space="preserve"> |</w:t>
      </w:r>
      <w:r>
        <w:t xml:space="preserve"> </w:t>
      </w:r>
      <w:r>
        <w:rPr>
          <w:highlight w:val="yellow"/>
        </w:rPr>
        <w:t xml:space="preserve">| Tail-period hire (engaged 3 months after Engagement ended; original Tenure 5 months) | COO Growth | $190,000 | 5 months (orig) | 17% | $0 | </w:t>
      </w:r>
      <w:r>
        <w:rPr>
          <w:bCs/>
          <w:b/>
          <w:highlight w:val="yellow"/>
        </w:rPr>
        <w:t xml:space="preserve">$32,300</w:t>
      </w:r>
      <w:r>
        <w:rPr>
          <w:highlight w:val="yellow"/>
        </w:rPr>
        <w:t xml:space="preserve"> |</w:t>
      </w:r>
    </w:p>
    <w:bookmarkEnd w:id="145"/>
    <w:bookmarkStart w:id="146" w:name="d.4-non-exclusivity"/>
    <w:p>
      <w:pPr>
        <w:pStyle w:val="Heading2"/>
      </w:pPr>
      <w:r>
        <w:t xml:space="preserve">D.4 Non-exclusivity</w:t>
      </w:r>
    </w:p>
    <w:p>
      <w:pPr>
        <w:pStyle w:val="FirstParagraph"/>
      </w:pPr>
      <w:r>
        <w:t>The FTE Conversion right is non-exclusive. Client is free to source candidates from other channels, and Fractional Standard retains the right to engage the converted Operator for other clients once the Operator’s exclusivity period under the ICA expires.</w:t>
      </w:r>
    </w:p>
    <w:bookmarkEnd w:id="146"/>
    <w:bookmarkStart w:id="147" w:name="d.5-effect-on-retainer"/>
    <w:p>
      <w:pPr>
        <w:pStyle w:val="Heading2"/>
      </w:pPr>
      <w:r>
        <w:t xml:space="preserve">D.5 Effect on Retainer</w:t>
      </w:r>
    </w:p>
    <w:p>
      <w:pPr>
        <w:pStyle w:val="FirstParagraph"/>
      </w:pPr>
      <w:r>
        <w:t>Upon Conversion Date, the active Retainer terminates. Fractional Standard issues a pro-rata refund (if any) for prepaid Retainer extending past the Conversion Date.</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ATTORNEY REVIEW REQUIRED</w:t>
            </w:r>
            <w:r>
              <w:t xml:space="preserve"> The FTE Conversion fee structure (tiered</w:t>
            </w:r>
          </w:p>
        </w:tc>
      </w:tr>
      <w:tr>
        <w:tc>
          <w:tcPr/>
          <w:p>
            <w:pPr>
              <w:pStyle w:val="Compact"/>
              <w:jc w:val="left"/>
            </w:pPr>
            <w:r>
              <w:t xml:space="preserve">10–20% of first-year base based on Tenure) is consistent with</w:t>
            </w:r>
          </w:p>
        </w:tc>
      </w:tr>
      <w:tr>
        <w:tc>
          <w:tcPr/>
          <w:p>
            <w:pPr>
              <w:pStyle w:val="Compact"/>
              <w:jc w:val="left"/>
            </w:pPr>
            <w:r>
              <w:t xml:space="preserve">industry-standard contingency search practice but has specific</w:t>
            </w:r>
          </w:p>
        </w:tc>
      </w:tr>
      <w:tr>
        <w:tc>
          <w:tcPr/>
          <w:p>
            <w:pPr>
              <w:pStyle w:val="Compact"/>
              <w:jc w:val="left"/>
            </w:pPr>
            <w:r>
              <w:t xml:space="preserve">interactions with the MSA’s non-solicitation provisions (Section 8).</w:t>
            </w:r>
          </w:p>
        </w:tc>
      </w:tr>
      <w:tr>
        <w:tc>
          <w:tcPr/>
          <w:p>
            <w:pPr>
              <w:pStyle w:val="Compact"/>
              <w:jc w:val="left"/>
            </w:pPr>
            <w:r>
              <w:t xml:space="preserve">Counsel should verify that the conversion-fee mechanism is a valid</w:t>
            </w:r>
          </w:p>
        </w:tc>
      </w:tr>
      <w:tr>
        <w:tc>
          <w:tcPr/>
          <w:p>
            <w:pPr>
              <w:pStyle w:val="Compact"/>
              <w:jc w:val="left"/>
            </w:pPr>
            <w:r>
              <w:t xml:space="preserve">exception to the non-solicit and does not trigger any fee-splitting or</w:t>
            </w:r>
          </w:p>
        </w:tc>
      </w:tr>
      <w:tr>
        <w:tc>
          <w:tcPr/>
          <w:p>
            <w:pPr>
              <w:pStyle w:val="Compact"/>
              <w:jc w:val="left"/>
            </w:pPr>
            <w:r>
              <w:t xml:space="preserve">licensing requirements under applicable employment-agency statutes.</w:t>
            </w:r>
          </w:p>
        </w:tc>
      </w:tr>
      <w:tr>
        <w:tc>
          <w:tcPr/>
          <w:p>
            <w:pPr>
              <w:pStyle w:val="Compact"/>
              <w:jc w:val="left"/>
            </w:pPr>
            <w:r>
              <w:t xml:space="preserve">Counsel should also review the Three-Month Minimum Buyout (D.2.1) and</w:t>
            </w:r>
          </w:p>
        </w:tc>
      </w:tr>
      <w:tr>
        <w:tc>
          <w:tcPr/>
          <w:p>
            <w:pPr>
              <w:pStyle w:val="Compact"/>
              <w:jc w:val="left"/>
            </w:pPr>
            <w:r>
              <w:t xml:space="preserve">Tail Period (D.2.2) for enforceability under Georgia contract law.</w:t>
            </w:r>
          </w:p>
        </w:tc>
      </w:tr>
    </w:tbl>
    <w:p>
      <w:r>
        <w:pict>
          <v:rect style="width:0;height:1.5pt" o:hralign="center" o:hrstd="t" o:hr="t"/>
        </w:pict>
      </w:r>
    </w:p>
    <w:bookmarkEnd w:id="147"/>
    <w:bookmarkEnd w:id="148"/>
    <w:bookmarkStart w:id="157" w:name="exhibit-e-direct-hire-accommodation"/>
    <w:p>
      <w:pPr>
        <w:pStyle w:val="Heading1"/>
      </w:pPr>
      <w:r>
        <w:t xml:space="preserve">Exhibit E — Direct-Hire Accommodation</w:t>
      </w:r>
    </w:p>
    <w:p>
      <w:pPr>
        <w:pStyle w:val="FirstParagraph"/>
      </w:pPr>
      <w:r>
        <w:rPr>
          <w:highlight w:val="yellow"/>
        </w:rPr>
        <w:t>This Exhibit governs Direct-Hire Placements as described below. It supplements and is incorporated into the MSA. In the event of any conflict between this Exhibit and the MSA body, this Exhibit controls with respect to Direct-Hire Placement matters.</w:t>
      </w:r>
    </w:p>
    <w:p>
      <w:pPr>
        <w:pStyle w:val="BodyText"/>
      </w:pPr>
      <w:r>
        <w:rPr>
          <w:highlight w:val="yellow"/>
        </w:rPr>
        <w:t>This Exhibit applies only when Client elects to retain Fractional Standard for direct-hire (i.e., contingent search) placement of a permanent full-time employee, separate and apart from any fractional Engagement. Fractional Standard’s primary service offering remains fractional executive placement under this Agreement; this Exhibit is provided as an accommodation only.</w:t>
      </w:r>
    </w:p>
    <w:bookmarkStart w:id="149" w:name="e.1-scope"/>
    <w:p>
      <w:pPr>
        <w:pStyle w:val="Heading2"/>
      </w:pPr>
      <w:r>
        <w:t xml:space="preserve">E.1 Scope</w:t>
      </w:r>
    </w:p>
    <w:p>
      <w:pPr>
        <w:pStyle w:val="FirstParagraph"/>
      </w:pPr>
      <w:r>
        <w:rPr>
          <w:highlight w:val="yellow"/>
        </w:rPr>
        <w:t>This Exhibit governs Direct-Hire Placements (as defined below) and is distinct from the FTE Conversion process governed by Section 9 of this Agreement and Exhibit D. A Direct-Hire Placement involves a candidate sourced and presented by Fractional Standard for direct hire by Client without prior placement under a fractional Engagement.</w:t>
      </w:r>
    </w:p>
    <w:p>
      <w:pPr>
        <w:pStyle w:val="BodyText"/>
      </w:pPr>
      <w:r>
        <w:rPr>
          <w:highlight w:val="yellow"/>
        </w:rPr>
        <w:t>Direct-Hire Placements are offered as a contingency-fee accommodation. Client is under no obligation to engage Fractional Standard for direct-hire searches, and Fractional Standard is under no obligation to accept any direct-hire engagement request from Client.</w:t>
      </w:r>
    </w:p>
    <w:bookmarkEnd w:id="149"/>
    <w:bookmarkStart w:id="150" w:name="e.2-definitions"/>
    <w:p>
      <w:pPr>
        <w:pStyle w:val="Heading2"/>
      </w:pPr>
      <w:r>
        <w:t xml:space="preserve">E.2 Definitions</w:t>
      </w:r>
    </w:p>
    <w:p>
      <w:pPr>
        <w:pStyle w:val="FirstParagraph"/>
      </w:pPr>
      <w:r>
        <w:rPr>
          <w:highlight w:val="yellow"/>
        </w:rPr>
        <w:t xml:space="preserve">As used in this Exhibit:</w:t>
      </w:r>
    </w:p>
    <w:p>
      <w:pPr>
        <w:pStyle w:val="BodyText"/>
      </w:pPr>
      <w:r>
        <w:t xml:space="preserve">==</w:t>
      </w:r>
      <w:r>
        <w:rPr>
          <w:bCs/>
          <w:b/>
        </w:rPr>
        <w:t>“Direct-Hire Placement”</w:t>
      </w:r>
      <w:r>
        <w:t xml:space="preserve"> </w:t>
      </w:r>
      <w:r>
        <w:rPr>
          <w:highlight w:val="yellow"/>
        </w:rPr>
        <w:t>means the engagement by Client of a candidate originally sourced and presented by Fractional Standard as a full-time employee or executive of Client, in a role that was not preceded by a fractional Engagement of that candidate.</w:t>
      </w:r>
    </w:p>
    <w:p>
      <w:pPr>
        <w:pStyle w:val="BodyText"/>
      </w:pPr>
      <w:r>
        <w:t xml:space="preserve">==</w:t>
      </w:r>
      <w:r>
        <w:rPr>
          <w:bCs/>
          <w:b/>
        </w:rPr>
        <w:t>“Candidate Start Date”</w:t>
      </w:r>
      <w:r>
        <w:t xml:space="preserve"> </w:t>
      </w:r>
      <w:r>
        <w:rPr>
          <w:highlight w:val="yellow"/>
        </w:rPr>
        <w:t>means the first business day on which the candidate begins providing services to Client (or any of its affiliates) as a full-time employee.</w:t>
      </w:r>
    </w:p>
    <w:p>
      <w:pPr>
        <w:pStyle w:val="BodyText"/>
      </w:pPr>
      <w:r>
        <w:t xml:space="preserve">==</w:t>
      </w:r>
      <w:r>
        <w:rPr>
          <w:bCs/>
          <w:b/>
        </w:rPr>
        <w:t>“FY1 Base Salary”</w:t>
      </w:r>
      <w:r>
        <w:t xml:space="preserve"> </w:t>
      </w:r>
      <w:r>
        <w:rPr>
          <w:highlight w:val="yellow"/>
        </w:rPr>
        <w:t>(for purposes of this Exhibit) means the candidate’s first-year annualized base compensation in their direct-hire role with Client. Bonuses, commissions, equity grants, and benefits are excluded from FY1 Base Salary; provided, however, that any equity granted to the candidate within the first twelve (12) months following the Candidate Start Date shall be added to FY1 Base Salary at its grant-date fair market value.</w:t>
      </w:r>
    </w:p>
    <w:p>
      <w:pPr>
        <w:pStyle w:val="BodyText"/>
      </w:pPr>
      <w:r>
        <w:t xml:space="preserve">==</w:t>
      </w:r>
      <w:r>
        <w:rPr>
          <w:bCs/>
          <w:b/>
        </w:rPr>
        <w:t>“Guarantee Period”</w:t>
      </w:r>
      <w:r>
        <w:t xml:space="preserve"> </w:t>
      </w:r>
      <w:r>
        <w:rPr>
          <w:highlight w:val="yellow"/>
        </w:rPr>
        <w:t>(for purposes of this Exhibit) means the thirty (30) calendar day period beginning on the Candidate Start Date.</w:t>
      </w:r>
    </w:p>
    <w:bookmarkEnd w:id="150"/>
    <w:bookmarkStart w:id="151" w:name="e.3-engagement-model"/>
    <w:p>
      <w:pPr>
        <w:pStyle w:val="Heading2"/>
      </w:pPr>
      <w:r>
        <w:t xml:space="preserve">E.3 Engagement model</w:t>
      </w:r>
    </w:p>
    <w:p>
      <w:pPr>
        <w:pStyle w:val="FirstParagraph"/>
      </w:pPr>
      <w:r>
        <w:rPr>
          <w:highlight w:val="yellow"/>
        </w:rPr>
        <w:t xml:space="preserve">Direct-Hire Placements operate on a contingency model. Specifically:</w:t>
      </w:r>
    </w:p>
    <w:p>
      <w:pPr>
        <w:pStyle w:val="BodyText"/>
      </w:pPr>
      <w:r>
        <w:rPr>
          <w:highlight w:val="yellow"/>
        </w:rPr>
        <w:t xml:space="preserve">- </w:t>
      </w:r>
      <w:r>
        <w:rPr>
          <w:bCs/>
          <w:b/>
          <w:highlight w:val="yellow"/>
        </w:rPr>
        <w:t xml:space="preserve">Contingency-Based:</w:t>
      </w:r>
      <w:r>
        <w:rPr>
          <w:highlight w:val="yellow"/>
        </w:rPr>
        <w:t xml:space="preserve"> Fractional Standard is paid only upon successful placement; no fees are owed if Client does not hire any candidate Fractional Standard presents.</w:t>
      </w:r>
    </w:p>
    <w:p>
      <w:pPr>
        <w:pStyle w:val="BodyText"/>
      </w:pPr>
      <w:r>
        <w:rPr>
          <w:highlight w:val="yellow"/>
        </w:rPr>
        <w:t xml:space="preserve">- </w:t>
      </w:r>
      <w:r>
        <w:rPr>
          <w:bCs/>
          <w:b/>
          <w:highlight w:val="yellow"/>
        </w:rPr>
        <w:t xml:space="preserve">Non-Exclusive:</w:t>
      </w:r>
      <w:r>
        <w:rPr>
          <w:highlight w:val="yellow"/>
        </w:rPr>
        <w:t xml:space="preserve"> Client may engage other recruiting firms or source candidates independently. Fractional Standard’s claim to a placement fee under this Exhibit attaches only to candidates Fractional Standard sourced and presented to Client.</w:t>
      </w:r>
    </w:p>
    <w:bookmarkEnd w:id="151"/>
    <w:bookmarkStart w:id="152" w:name="e.4-placement-fee"/>
    <w:p>
      <w:pPr>
        <w:pStyle w:val="Heading2"/>
      </w:pPr>
      <w:r>
        <w:t xml:space="preserve">E.4 Placement fee</w:t>
      </w:r>
    </w:p>
    <w:p>
      <w:pPr>
        <w:pStyle w:val="FirstParagraph"/>
      </w:pPr>
      <w:r>
        <w:rPr>
          <w:highlight w:val="yellow"/>
        </w:rPr>
        <w:t>The placement fee payable upon a Direct-Hire Placement is as follows:</w:t>
      </w:r>
    </w:p>
    <w:p>
      <w:pPr>
        <w:pStyle w:val="BodyText"/>
      </w:pPr>
      <w:r>
        <w:rPr>
          <w:highlight w:val="yellow"/>
        </w:rPr>
        <w:t xml:space="preserve">| </w:t>
      </w:r>
      <w:r>
        <w:rPr>
          <w:bCs/>
          <w:b/>
          <w:highlight w:val="yellow"/>
        </w:rPr>
        <w:t xml:space="preserve">Term</w:t>
      </w:r>
      <w:r>
        <w:rPr>
          <w:highlight w:val="yellow"/>
        </w:rPr>
        <w:t xml:space="preserve"> | </w:t>
      </w:r>
      <w:r>
        <w:rPr>
          <w:bCs/>
          <w:b/>
          <w:highlight w:val="yellow"/>
        </w:rPr>
        <w:t xml:space="preserve">Value</w:t>
      </w:r>
      <w:r>
        <w:rPr>
          <w:highlight w:val="yellow"/>
        </w:rPr>
        <w:t xml:space="preserve"> |</w:t>
      </w:r>
      <w:r>
        <w:t xml:space="preserve"> </w:t>
      </w:r>
      <w:r>
        <w:rPr>
          <w:highlight w:val="yellow"/>
        </w:rPr>
        <w:t xml:space="preserve">| — | — |</w:t>
      </w:r>
      <w:r>
        <w:t xml:space="preserve"> </w:t>
      </w:r>
      <w:r>
        <w:rPr>
          <w:highlight w:val="yellow"/>
        </w:rPr>
        <w:t xml:space="preserve">| </w:t>
      </w:r>
      <w:r>
        <w:rPr>
          <w:bCs/>
          <w:b/>
          <w:highlight w:val="yellow"/>
        </w:rPr>
        <w:t xml:space="preserve">Fee Range</w:t>
      </w:r>
      <w:r>
        <w:rPr>
          <w:highlight w:val="yellow"/>
        </w:rPr>
        <w:t xml:space="preserve"> | </w:t>
      </w:r>
      <w:r>
        <w:rPr>
          <w:bCs/>
          <w:b/>
          <w:highlight w:val="yellow"/>
        </w:rPr>
        <w:t xml:space="preserve">20–25% of FY1 Base Salary.</w:t>
      </w:r>
      <w:r>
        <w:rPr>
          <w:highlight w:val="yellow"/>
        </w:rPr>
        <w:t xml:space="preserve"> Specific percentage to be agreed in writing on a per-engagement basis prior to candidate presentation. Default fee is 20% absent written agreement otherwise. |</w:t>
      </w:r>
      <w:r>
        <w:t xml:space="preserve"> </w:t>
      </w:r>
      <w:r>
        <w:rPr>
          <w:highlight w:val="yellow"/>
        </w:rPr>
        <w:t xml:space="preserve">| </w:t>
      </w:r>
      <w:r>
        <w:rPr>
          <w:bCs/>
          <w:b/>
          <w:highlight w:val="yellow"/>
        </w:rPr>
        <w:t xml:space="preserve">Calculation Base</w:t>
      </w:r>
      <w:r>
        <w:rPr>
          <w:highlight w:val="yellow"/>
        </w:rPr>
        <w:t xml:space="preserve"> | Candidate’s FY1 Base Salary as defined in Section E.2 |</w:t>
      </w:r>
      <w:r>
        <w:t xml:space="preserve"> </w:t>
      </w:r>
      <w:r>
        <w:rPr>
          <w:highlight w:val="yellow"/>
        </w:rPr>
        <w:t xml:space="preserve">| </w:t>
      </w:r>
      <w:r>
        <w:rPr>
          <w:bCs/>
          <w:b/>
          <w:highlight w:val="yellow"/>
        </w:rPr>
        <w:t xml:space="preserve">Payment Trigger</w:t>
      </w:r>
      <w:r>
        <w:rPr>
          <w:highlight w:val="yellow"/>
        </w:rPr>
        <w:t xml:space="preserve"> | Candidate Start Date — i.e., the candidate must actually commence employment with Client |</w:t>
      </w:r>
      <w:r>
        <w:t xml:space="preserve"> </w:t>
      </w:r>
      <w:r>
        <w:rPr>
          <w:highlight w:val="yellow"/>
        </w:rPr>
        <w:t xml:space="preserve">| </w:t>
      </w:r>
      <w:r>
        <w:rPr>
          <w:bCs/>
          <w:b/>
          <w:highlight w:val="yellow"/>
        </w:rPr>
        <w:t xml:space="preserve">Payment Terms</w:t>
      </w:r>
      <w:r>
        <w:rPr>
          <w:highlight w:val="yellow"/>
        </w:rPr>
        <w:t xml:space="preserve"> | Net thirty (30) days from Candidate Start Date |</w:t>
      </w:r>
      <w:r>
        <w:t xml:space="preserve"> </w:t>
      </w:r>
      <w:r>
        <w:rPr>
          <w:highlight w:val="yellow"/>
        </w:rPr>
        <w:t xml:space="preserve">| </w:t>
      </w:r>
      <w:r>
        <w:rPr>
          <w:bCs/>
          <w:b/>
          <w:highlight w:val="yellow"/>
        </w:rPr>
        <w:t xml:space="preserve">Currency</w:t>
      </w:r>
      <w:r>
        <w:rPr>
          <w:highlight w:val="yellow"/>
        </w:rPr>
        <w:t xml:space="preserve"> | U.S. dollars |</w:t>
      </w:r>
      <w:r>
        <w:t xml:space="preserve"> </w:t>
      </w:r>
      <w:r>
        <w:rPr>
          <w:highlight w:val="yellow"/>
        </w:rPr>
        <w:t xml:space="preserve">| </w:t>
      </w:r>
      <w:r>
        <w:rPr>
          <w:bCs/>
          <w:b/>
          <w:highlight w:val="yellow"/>
        </w:rPr>
        <w:t>If Candidate Does Not Start</w:t>
      </w:r>
      <w:r>
        <w:rPr>
          <w:highlight w:val="yellow"/>
        </w:rPr>
        <w:t xml:space="preserve"> | </w:t>
      </w:r>
      <w:r>
        <w:rPr>
          <w:bCs/>
          <w:b/>
          <w:highlight w:val="yellow"/>
        </w:rPr>
        <w:t xml:space="preserve">No fee owed.</w:t>
      </w:r>
      <w:r>
        <w:rPr>
          <w:highlight w:val="yellow"/>
        </w:rPr>
        <w:t xml:space="preserve"> If candidate accepts Client’s offer but never commences work (e.g., declines or otherwise fails to start), Client owes no placement fee under this Exhibit. |</w:t>
      </w:r>
    </w:p>
    <w:bookmarkEnd w:id="152"/>
    <w:bookmarkStart w:id="153" w:name="e.5-replacement-guarantee"/>
    <w:p>
      <w:pPr>
        <w:pStyle w:val="Heading2"/>
      </w:pPr>
      <w:r>
        <w:t xml:space="preserve">E.5 Replacement guarantee</w:t>
      </w:r>
    </w:p>
    <w:p>
      <w:pPr>
        <w:pStyle w:val="FirstParagraph"/>
      </w:pPr>
      <w:r>
        <w:rPr>
          <w:highlight w:val="yellow"/>
        </w:rPr>
        <w:t>Fractional Standard provides the following replacement guarantee for any Direct-Hire Placement:</w:t>
      </w:r>
    </w:p>
    <w:p>
      <w:pPr>
        <w:pStyle w:val="BodyText"/>
      </w:pPr>
      <w:r>
        <w:rPr>
          <w:highlight w:val="yellow"/>
        </w:rPr>
        <w:t xml:space="preserve">| </w:t>
      </w:r>
      <w:r>
        <w:rPr>
          <w:bCs/>
          <w:b/>
          <w:highlight w:val="yellow"/>
        </w:rPr>
        <w:t xml:space="preserve">Term</w:t>
      </w:r>
      <w:r>
        <w:rPr>
          <w:highlight w:val="yellow"/>
        </w:rPr>
        <w:t xml:space="preserve"> | </w:t>
      </w:r>
      <w:r>
        <w:rPr>
          <w:bCs/>
          <w:b/>
          <w:highlight w:val="yellow"/>
        </w:rPr>
        <w:t xml:space="preserve">Value</w:t>
      </w:r>
      <w:r>
        <w:rPr>
          <w:highlight w:val="yellow"/>
        </w:rPr>
        <w:t xml:space="preserve"> |</w:t>
      </w:r>
      <w:r>
        <w:t xml:space="preserve"> </w:t>
      </w:r>
      <w:r>
        <w:rPr>
          <w:highlight w:val="yellow"/>
        </w:rPr>
        <w:t xml:space="preserve">| — | — |</w:t>
      </w:r>
      <w:r>
        <w:t xml:space="preserve"> </w:t>
      </w:r>
      <w:r>
        <w:rPr>
          <w:highlight w:val="yellow"/>
        </w:rPr>
        <w:t xml:space="preserve">| </w:t>
      </w:r>
      <w:r>
        <w:rPr>
          <w:bCs/>
          <w:b/>
          <w:highlight w:val="yellow"/>
        </w:rPr>
        <w:t>Guarantee Period</w:t>
      </w:r>
      <w:r>
        <w:rPr>
          <w:highlight w:val="yellow"/>
        </w:rPr>
        <w:t xml:space="preserve"> | </w:t>
      </w:r>
      <w:r>
        <w:rPr>
          <w:bCs/>
          <w:b/>
          <w:highlight w:val="yellow"/>
        </w:rPr>
        <w:t xml:space="preserve">30 calendar days from Candidate Start Date</w:t>
      </w:r>
      <w:r>
        <w:rPr>
          <w:highlight w:val="yellow"/>
        </w:rPr>
        <w:t xml:space="preserve"> (uniform for all role levels) |</w:t>
      </w:r>
      <w:r>
        <w:t xml:space="preserve"> </w:t>
      </w:r>
      <w:r>
        <w:rPr>
          <w:highlight w:val="yellow"/>
        </w:rPr>
        <w:t xml:space="preserve">| </w:t>
      </w:r>
      <w:r>
        <w:rPr>
          <w:bCs/>
          <w:b/>
          <w:highlight w:val="yellow"/>
        </w:rPr>
        <w:t xml:space="preserve">Trigger</w:t>
      </w:r>
      <w:r>
        <w:rPr>
          <w:highlight w:val="yellow"/>
        </w:rPr>
        <w:t xml:space="preserve"> | Candidate separates from Client within the Guarantee Period for reasons other than Client’s termination without cause, Client’s elimination of the position, or material change in role scope after the Candidate Start Date |</w:t>
      </w:r>
      <w:r>
        <w:t xml:space="preserve"> </w:t>
      </w:r>
      <w:r>
        <w:rPr>
          <w:highlight w:val="yellow"/>
        </w:rPr>
        <w:t xml:space="preserve">| </w:t>
      </w:r>
      <w:r>
        <w:rPr>
          <w:bCs/>
          <w:b/>
          <w:highlight w:val="yellow"/>
        </w:rPr>
        <w:t xml:space="preserve">Remedy</w:t>
      </w:r>
      <w:r>
        <w:rPr>
          <w:highlight w:val="yellow"/>
        </w:rPr>
        <w:t xml:space="preserve"> | One (1) replacement candidate search at no additional placement fee |</w:t>
      </w:r>
      <w:r>
        <w:t xml:space="preserve"> </w:t>
      </w:r>
      <w:r>
        <w:rPr>
          <w:highlight w:val="yellow"/>
        </w:rPr>
        <w:t xml:space="preserve">| </w:t>
      </w:r>
      <w:r>
        <w:rPr>
          <w:bCs/>
          <w:b/>
          <w:highlight w:val="yellow"/>
        </w:rPr>
        <w:t xml:space="preserve">Replacement Timeline</w:t>
      </w:r>
      <w:r>
        <w:rPr>
          <w:highlight w:val="yellow"/>
        </w:rPr>
        <w:t xml:space="preserve"> | Fractional Standard will commence the replacement search within five (5) business days of Client’s written notice of separation, and will use commercially reasonable efforts to present a qualified replacement shortlist within thirty (30) calendar days thereafter |</w:t>
      </w:r>
      <w:r>
        <w:t xml:space="preserve"> </w:t>
      </w:r>
      <w:r>
        <w:rPr>
          <w:highlight w:val="yellow"/>
        </w:rPr>
        <w:t xml:space="preserve">| </w:t>
      </w:r>
      <w:r>
        <w:rPr>
          <w:bCs/>
          <w:b/>
          <w:highlight w:val="yellow"/>
        </w:rPr>
        <w:t xml:space="preserve">Limit</w:t>
      </w:r>
      <w:r>
        <w:rPr>
          <w:highlight w:val="yellow"/>
        </w:rPr>
        <w:t xml:space="preserve"> | One (1) replacement search per Direct-Hire Placement. A second replacement request constitutes a new engagement subject to a new placement fee |</w:t>
      </w:r>
      <w:r>
        <w:t xml:space="preserve"> </w:t>
      </w:r>
      <w:r>
        <w:rPr>
          <w:highlight w:val="yellow"/>
        </w:rPr>
        <w:t xml:space="preserve">| </w:t>
      </w:r>
      <w:r>
        <w:rPr>
          <w:bCs/>
          <w:b/>
          <w:highlight w:val="yellow"/>
        </w:rPr>
        <w:t xml:space="preserve">Negotiation</w:t>
      </w:r>
      <w:r>
        <w:rPr>
          <w:highlight w:val="yellow"/>
        </w:rPr>
        <w:t xml:space="preserve"> | Client and Fractional Standard may, by mutual written agreement, negotiate an extended Guarantee Period (e.g., 60 days, 90 days) on a per-engagement basis. Any such extension must be agreed in writing prior to candidate presentation |</w:t>
      </w:r>
    </w:p>
    <w:bookmarkEnd w:id="153"/>
    <w:bookmarkStart w:id="154" w:name="e.6-exclusions"/>
    <w:p>
      <w:pPr>
        <w:pStyle w:val="Heading2"/>
      </w:pPr>
      <w:r>
        <w:t xml:space="preserve">E.6 Exclusions</w:t>
      </w:r>
    </w:p>
    <w:p>
      <w:pPr>
        <w:pStyle w:val="FirstParagraph"/>
      </w:pPr>
      <w:r>
        <w:rPr>
          <w:highlight w:val="yellow"/>
        </w:rPr>
        <w:t>The Replacement Guarantee shall not apply, and no replacement obligation shall arise, in any of the following circumstances:</w:t>
      </w:r>
    </w:p>
    <w:p>
      <w:pPr>
        <w:pStyle w:val="BodyText"/>
      </w:pPr>
      <w:r>
        <w:rPr>
          <w:highlight w:val="yellow"/>
        </w:rPr>
        <w:t xml:space="preserve">- Client terminates the candidate’s employment without cause.</w:t>
      </w:r>
    </w:p>
    <w:p>
      <w:pPr>
        <w:pStyle w:val="BodyText"/>
      </w:pPr>
      <w:r>
        <w:rPr>
          <w:highlight w:val="yellow"/>
        </w:rPr>
        <w:t>- Client eliminates the position or restructures the role in a material way after the Candidate Start Date.</w:t>
      </w:r>
    </w:p>
    <w:p>
      <w:pPr>
        <w:pStyle w:val="BodyText"/>
      </w:pPr>
      <w:r>
        <w:rPr>
          <w:highlight w:val="yellow"/>
        </w:rPr>
        <w:t>- Client materially changes the candidate’s scope of responsibilities, reporting structure, or compensation after the Candidate Start Date.</w:t>
      </w:r>
    </w:p>
    <w:p>
      <w:pPr>
        <w:pStyle w:val="BodyText"/>
      </w:pPr>
      <w:r>
        <w:rPr>
          <w:highlight w:val="yellow"/>
        </w:rPr>
        <w:t>- Candidate separates due to a Client breach of any employment agreement or applicable law.</w:t>
      </w:r>
    </w:p>
    <w:p>
      <w:pPr>
        <w:pStyle w:val="BodyText"/>
      </w:pPr>
      <w:r>
        <w:rPr>
          <w:highlight w:val="yellow"/>
        </w:rPr>
        <w:t>- The placement fee remains unpaid past its due date at the time of separation.</w:t>
      </w:r>
    </w:p>
    <w:bookmarkEnd w:id="154"/>
    <w:bookmarkStart w:id="155" w:name="e.7-relationship-to-msa-and-exhibit-d"/>
    <w:p>
      <w:pPr>
        <w:pStyle w:val="Heading2"/>
      </w:pPr>
      <w:r>
        <w:t xml:space="preserve">E.7 Relationship to MSA and Exhibit D</w:t>
      </w:r>
    </w:p>
    <w:p>
      <w:pPr>
        <w:pStyle w:val="FirstParagraph"/>
      </w:pPr>
      <w:r>
        <w:rPr>
          <w:highlight w:val="yellow"/>
        </w:rPr>
        <w:t>This Exhibit is independent of and does not modify Section 9 of the MSA (FTE Conversion) or Exhibit D (Direct-Hire Placement Addendum governing FTE Conversion). Specifically:</w:t>
      </w:r>
    </w:p>
    <w:p>
      <w:pPr>
        <w:pStyle w:val="BodyText"/>
      </w:pPr>
      <w:r>
        <w:rPr>
          <w:highlight w:val="yellow"/>
        </w:rPr>
        <w:t>- This Exhibit applies only to candidates sourced for direct hire from the outset, not to Operators previously placed under a fractional Engagement.</w:t>
      </w:r>
    </w:p>
    <w:p>
      <w:pPr>
        <w:pStyle w:val="BodyText"/>
      </w:pPr>
      <w:r>
        <w:rPr>
          <w:highlight w:val="yellow"/>
        </w:rPr>
        <w:t>- If Client wishes to convert an Operator who was previously placed under a fractional Engagement, the FTE Conversion process under MSA Section 9 and Exhibit D controls.</w:t>
      </w:r>
    </w:p>
    <w:p>
      <w:pPr>
        <w:pStyle w:val="BodyText"/>
      </w:pPr>
      <w:r>
        <w:rPr>
          <w:highlight w:val="yellow"/>
        </w:rPr>
        <w:t>- Direct-Hire Placements made under this Exhibit are not subject to the MSA’s non-solicitation provisions in Section 8 with respect to the placed candidate.</w:t>
      </w:r>
    </w:p>
    <w:bookmarkEnd w:id="155"/>
    <w:bookmarkStart w:id="156" w:name="e.8-modification"/>
    <w:p>
      <w:pPr>
        <w:pStyle w:val="Heading2"/>
      </w:pPr>
      <w:r>
        <w:t xml:space="preserve">E.8 Modification</w:t>
      </w:r>
    </w:p>
    <w:p>
      <w:pPr>
        <w:pStyle w:val="FirstParagraph"/>
      </w:pPr>
      <w:r>
        <w:rPr>
          <w:highlight w:val="yellow"/>
        </w:rPr>
        <w:t>This Exhibit may be modified only by a written amendment signed by both Fractional Standard and Client. Per-engagement variations to the fee percentage or Guarantee Period must be documented in writing prior to candidate presentation.</w:t>
      </w:r>
    </w:p>
    <w:bookmarkEnd w:id="156"/>
    <w:bookmarkEnd w:id="157"/>
    <w:bookmarkStart w:id="163" w:name="appendix-f-pre-attorney-review-checklist"/>
    <w:p>
      <w:pPr>
        <w:pStyle w:val="Heading1"/>
      </w:pPr>
      <w:r>
        <w:t xml:space="preserve">Appendix F — Pre-Attorney-Review Checklist</w:t>
      </w:r>
    </w:p>
    <w:tbl>
      <w:tblPr>
        <w:tblStyle w:val="Table"/>
        <w:tblW w:type="auto" w:w="0"/>
        <w:tblLook w:firstRow="0" w:lastRow="0" w:firstColumn="0" w:lastColumn="0" w:noHBand="0" w:noVBand="0" w:val="0000"/>
        <w:jc w:val="start"/>
      </w:tblPr>
      <w:tblGrid>
        <w:gridCol w:w="7920"/>
      </w:tblGrid>
      <w:tr>
        <w:tc>
          <w:tcPr/>
          <w:p>
            <w:pPr>
              <w:pStyle w:val="Compact"/>
              <w:jc w:val="left"/>
            </w:pPr>
            <w:r>
              <w:rPr>
                <w:bCs/>
                <w:b/>
              </w:rPr>
              <w:t xml:space="preserve">PURPOSE</w:t>
            </w:r>
            <w:r>
              <w:t xml:space="preserve"> This appendix identifies the business decisions Kevin and</w:t>
            </w:r>
          </w:p>
        </w:tc>
      </w:tr>
      <w:tr>
        <w:tc>
          <w:tcPr/>
          <w:p>
            <w:pPr>
              <w:pStyle w:val="Compact"/>
              <w:jc w:val="left"/>
            </w:pPr>
            <w:r>
              <w:t xml:space="preserve">Chris must resolve before engaging counsel on this MSA. Resolving these</w:t>
            </w:r>
          </w:p>
        </w:tc>
      </w:tr>
      <w:tr>
        <w:tc>
          <w:tcPr/>
          <w:p>
            <w:pPr>
              <w:pStyle w:val="Compact"/>
              <w:jc w:val="left"/>
            </w:pPr>
            <w:r>
              <w:t xml:space="preserve">in advance reduces billable hours, sharpens counsel’s scope of work,</w:t>
            </w:r>
          </w:p>
        </w:tc>
      </w:tr>
      <w:tr>
        <w:tc>
          <w:tcPr/>
          <w:p>
            <w:pPr>
              <w:pStyle w:val="Compact"/>
              <w:jc w:val="left"/>
            </w:pPr>
            <w:r>
              <w:t xml:space="preserve">and produces a more defensible first-pass counsel revision. Several</w:t>
            </w:r>
          </w:p>
        </w:tc>
      </w:tr>
      <w:tr>
        <w:tc>
          <w:tcPr/>
          <w:p>
            <w:pPr>
              <w:pStyle w:val="Compact"/>
              <w:jc w:val="left"/>
            </w:pPr>
            <w:r>
              <w:t xml:space="preserve">items overlap with ICA Appendix F — work the ICA and MSA checklists</w:t>
            </w:r>
          </w:p>
        </w:tc>
      </w:tr>
      <w:tr>
        <w:tc>
          <w:tcPr/>
          <w:p>
            <w:pPr>
              <w:pStyle w:val="Compact"/>
              <w:jc w:val="left"/>
            </w:pPr>
            <w:r>
              <w:t xml:space="preserve">together for the combined attorney engagement.</w:t>
            </w:r>
          </w:p>
        </w:tc>
      </w:tr>
    </w:tbl>
    <w:p>
      <w:r>
        <w:pict>
          <v:rect style="width:0;height:1.5pt" o:hralign="center" o:hrstd="t" o:hr="t"/>
        </w:pict>
      </w:r>
    </w:p>
    <w:bookmarkStart w:id="158" w:name="f.1-business-decisions-to-resolve"/>
    <w:p>
      <w:pPr>
        <w:pStyle w:val="Heading2"/>
      </w:pPr>
      <w:r>
        <w:t xml:space="preserve">F.1 Business decisions to resolve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Decision</w:t>
            </w:r>
          </w:p>
        </w:tc>
        <w:tc>
          <w:tcPr/>
          <w:p>
            <w:pPr>
              <w:pStyle w:val="Compact"/>
              <w:jc w:val="left"/>
            </w:pPr>
            <w:r>
              <w:rPr>
                <w:bCs/>
                <w:b/>
              </w:rPr>
              <w:t xml:space="preserve">Context &amp;</w:t>
            </w:r>
            <w:r>
              <w:t xml:space="preserve">** Options**</w:t>
            </w:r>
          </w:p>
        </w:tc>
      </w:tr>
      <w:tr>
        <w:tc>
          <w:tcPr/>
          <w:p>
            <w:pPr>
              <w:pStyle w:val="Compact"/>
              <w:jc w:val="left"/>
            </w:pPr>
            <w:r>
              <w:t xml:space="preserve">1. Governing law</w:t>
            </w:r>
          </w:p>
        </w:tc>
        <w:tc>
          <w:tcPr/>
          <w:p>
            <w:pPr>
              <w:pStyle w:val="Compact"/>
              <w:jc w:val="left"/>
            </w:pPr>
            <w:r>
              <w:t>Which state’s law governs this Agreement? Options: Delaware (standard for commercial agreements, neutral forum), Georgia (Kevin’s home state, ties to operating location), or the client’s home state (client-friendly but creates state-by-state variability). Same decision as ICA #1 — should match.</w:t>
            </w:r>
          </w:p>
        </w:tc>
      </w:tr>
      <w:tr>
        <w:tc>
          <w:tcPr/>
          <w:p>
            <w:pPr>
              <w:pStyle w:val="Compact"/>
              <w:jc w:val="left"/>
            </w:pPr>
            <w:r>
              <w:t xml:space="preserve">2. Non-solicit duration</w:t>
            </w:r>
          </w:p>
        </w:tc>
        <w:tc>
          <w:tcPr/>
          <w:p>
            <w:pPr>
              <w:pStyle w:val="Compact"/>
              <w:jc w:val="left"/>
            </w:pPr>
            <w:r>
              <w:t>Current draft: 12 months. Shorter (6 months) is more enforceable in restrictive states. Longer (18-24 months) is more protective but less enforceable. Same decision as ICA — should match.</w:t>
            </w:r>
          </w:p>
        </w:tc>
      </w:tr>
      <w:tr>
        <w:tc>
          <w:tcPr/>
          <w:p>
            <w:pPr>
              <w:pStyle w:val="Compact"/>
              <w:jc w:val="left"/>
            </w:pPr>
            <w:r>
              <w:t xml:space="preserve">5. Liability cap structure</w:t>
            </w:r>
          </w:p>
        </w:tc>
        <w:tc>
          <w:tcPr/>
          <w:p>
            <w:pPr>
              <w:pStyle w:val="Compact"/>
              <w:jc w:val="left"/>
            </w:pPr>
            <w:r>
              <w:t>Current draft: 12 months’ Retainer. Alternatives: 2x annual Retainer; fixed dollar cap with Retainer floor; separate caps for different claim types. Counsel will advise based on E&amp;O coverage.</w:t>
            </w:r>
          </w:p>
        </w:tc>
      </w:tr>
      <w:tr>
        <w:tc>
          <w:tcPr/>
          <w:p>
            <w:pPr>
              <w:pStyle w:val="Compact"/>
              <w:jc w:val="left"/>
            </w:pPr>
            <w:r>
              <w:t>6. Indemnification scope — worker classification</w:t>
            </w:r>
          </w:p>
        </w:tc>
        <w:tc>
          <w:tcPr/>
          <w:p>
            <w:pPr>
              <w:pStyle w:val="Compact"/>
              <w:jc w:val="left"/>
            </w:pPr>
            <w:r>
              <w:t>Client-side indemnity for worker misclassification claims (Section 17.2) is potentially the highest-exposure provision. Should this be mutual with carve-outs, capped separately, or restructured via insurance requirements? Counsel review essential.</w:t>
            </w:r>
          </w:p>
        </w:tc>
      </w:tr>
      <w:tr>
        <w:tc>
          <w:tcPr/>
          <w:p>
            <w:pPr>
              <w:pStyle w:val="Compact"/>
              <w:jc w:val="left"/>
            </w:pPr>
            <w:r>
              <w:t xml:space="preserve">7. Arbitration vs. litigation</w:t>
            </w:r>
          </w:p>
        </w:tc>
        <w:tc>
          <w:tcPr/>
          <w:p>
            <w:pPr>
              <w:pStyle w:val="Compact"/>
              <w:jc w:val="left"/>
            </w:pPr>
            <w:r>
              <w:t>Current draft: placeholder. Arbitration = faster, private, limited appeal rights. Litigation = more formal, appealable, jury trial possible. Same decision as ICA — should match for consistency.</w:t>
            </w:r>
          </w:p>
        </w:tc>
      </w:tr>
      <w:tr>
        <w:tc>
          <w:tcPr/>
          <w:p>
            <w:pPr>
              <w:pStyle w:val="Compact"/>
              <w:jc w:val="left"/>
            </w:pPr>
            <w:r>
              <w:t xml:space="preserve">8. FTE conversion fee percentage</w:t>
            </w:r>
          </w:p>
        </w:tc>
        <w:tc>
          <w:tcPr/>
          <w:p>
            <w:pPr>
              <w:pStyle w:val="Compact"/>
              <w:jc w:val="left"/>
            </w:pPr>
            <w:r>
              <w:t>Current draft: 20–25% range. Pick one: 20% (market entry), 22.5% (mid-market), 25% (premium positioning). Memory indicates this is a settled policy at 20–25% — confirm the exact number.</w:t>
            </w:r>
          </w:p>
        </w:tc>
      </w:tr>
      <w:tr>
        <w:tc>
          <w:tcPr/>
          <w:p>
            <w:pPr>
              <w:pStyle w:val="Compact"/>
              <w:jc w:val="left"/>
            </w:pPr>
            <w:r>
              <w:t xml:space="preserve">9. Matching data license scope</w:t>
            </w:r>
          </w:p>
        </w:tc>
        <w:tc>
          <w:tcPr/>
          <w:p>
            <w:pPr>
              <w:pStyle w:val="Compact"/>
              <w:jc w:val="left"/>
            </w:pPr>
            <w:r>
              <w:t>Current draft (Section 12.3) grants Fractional Standard a perpetual, worldwide license for anonymized/aggregated matching data. Does this language support the Phase 2 data moat use case, including algorithmic training? Is there an opt-out for regulated-industry clients?</w:t>
            </w:r>
          </w:p>
        </w:tc>
      </w:tr>
      <w:tr>
        <w:tc>
          <w:tcPr/>
          <w:p>
            <w:pPr>
              <w:pStyle w:val="Compact"/>
              <w:jc w:val="left"/>
            </w:pPr>
            <w:r>
              <w:t>10. Portal-based TOS acceptance vs. signed MSA</w:t>
            </w:r>
          </w:p>
        </w:tc>
        <w:tc>
          <w:tcPr/>
          <w:p>
            <w:pPr>
              <w:pStyle w:val="Compact"/>
              <w:jc w:val="left"/>
            </w:pPr>
            <w:r>
              <w:t>Current draft supports both signed execution and portal TOS acceptance. Is portal acceptance a viable path for all client types, or do enterprise clients require signed MSAs? Does counsel recommend a signed master with click-accept addendums for tier changes?</w:t>
            </w:r>
          </w:p>
        </w:tc>
      </w:tr>
      <w:tr>
        <w:tc>
          <w:tcPr/>
          <w:p>
            <w:pPr>
              <w:pStyle w:val="Compact"/>
              <w:jc w:val="left"/>
            </w:pPr>
            <w:r>
              <w:t xml:space="preserve">11. Late fee / interest rate</w:t>
            </w:r>
          </w:p>
        </w:tc>
        <w:tc>
          <w:tcPr/>
          <w:p>
            <w:pPr>
              <w:pStyle w:val="Compact"/>
              <w:jc w:val="left"/>
            </w:pPr>
            <w:r>
              <w:t>Current draft: 1.5% per month (18% annualized). Check against governing state’s usury laws. Counsel will adjust.</w:t>
            </w:r>
          </w:p>
        </w:tc>
      </w:tr>
      <w:tr>
        <w:tc>
          <w:tcPr/>
          <w:p>
            <w:pPr>
              <w:pStyle w:val="Compact"/>
              <w:jc w:val="left"/>
            </w:pPr>
            <w:r>
              <w:t xml:space="preserve">12. Replacement guarantee terms</w:t>
            </w:r>
          </w:p>
        </w:tc>
        <w:tc>
          <w:tcPr/>
          <w:p>
            <w:pPr>
              <w:pStyle w:val="Compact"/>
              <w:jc w:val="left"/>
            </w:pPr>
            <w:r>
              <w:t>Current draft (Section 13): 30-day replacement window, one replacement per Engagement. Is this sufficient? Should there be an ‘exit fee’ structure for clients who repeatedly request replacements?</w:t>
            </w:r>
          </w:p>
        </w:tc>
      </w:tr>
      <w:tr>
        <w:tc>
          <w:tcPr/>
          <w:p>
            <w:pPr>
              <w:pStyle w:val="Compact"/>
              <w:jc w:val="left"/>
            </w:pPr>
            <w:r>
              <w:t>13. AI disclosure — state-specific requirements</w:t>
            </w:r>
          </w:p>
        </w:tc>
        <w:tc>
          <w:tcPr/>
          <w:p>
            <w:pPr>
              <w:pStyle w:val="Compact"/>
              <w:jc w:val="left"/>
            </w:pPr>
            <w:r>
              <w:t>Current draft (Section 18) includes general AI disclosure (18.1–18.4) plus drafting placeholders for Vendor-Liability Allocation (18.5), Independent Decision Documentation (18.6), and Non-Endorsement of AEDT Status (18.7) per AI Governance Framework v2.2 §8.5. Counsel to draft compliant statutory language for 18.5–18.7, and to calibrate state-specific disclosures (Illinois BIPA, Colorado CPA, California CPRA) for 18.1–18.4.</w:t>
            </w:r>
          </w:p>
        </w:tc>
      </w:tr>
      <w:tr>
        <w:tc>
          <w:tcPr/>
          <w:p>
            <w:pPr>
              <w:pStyle w:val="Compact"/>
              <w:jc w:val="left"/>
            </w:pPr>
            <w:r>
              <w:t xml:space="preserve">14. Survival periods</w:t>
            </w:r>
          </w:p>
        </w:tc>
        <w:tc>
          <w:tcPr/>
          <w:p>
            <w:pPr>
              <w:pStyle w:val="Compact"/>
              <w:jc w:val="left"/>
            </w:pPr>
            <w:r>
              <w:t>Section 14.5 lists sections that survive termination. Are the survival periods correct? Confidentiality at 3 years, indemnification at the applicable statute of limitations, non-solicit at the Restricted Period duration?</w:t>
            </w:r>
          </w:p>
        </w:tc>
      </w:tr>
      <w:tr>
        <w:tc>
          <w:tcPr/>
          <w:p>
            <w:pPr>
              <w:pStyle w:val="Compact"/>
              <w:jc w:val="left"/>
            </w:pPr>
            <w:r>
              <w:t>15. Exhibits — synchronization with V6 Pricing Model</w:t>
            </w:r>
          </w:p>
        </w:tc>
        <w:tc>
          <w:tcPr/>
          <w:p>
            <w:pPr>
              <w:pStyle w:val="Compact"/>
              <w:jc w:val="left"/>
            </w:pPr>
            <w:r>
              <w:t>Exhibit B pricing must match FS-DOC-043 (V6 Pricing Model workbook) exactly. Overage rates, tier amounts, and scope descriptions need to be reconciled with the current pricing source of truth before counsel review.</w:t>
            </w:r>
          </w:p>
        </w:tc>
      </w:tr>
    </w:tbl>
    <w:bookmarkEnd w:id="158"/>
    <w:bookmarkStart w:id="159" w:name="f.2-counsel-selection-guidance"/>
    <w:p>
      <w:pPr>
        <w:pStyle w:val="Heading2"/>
      </w:pPr>
      <w:r>
        <w:t xml:space="preserve">F.2 Counsel selection guidance</w:t>
      </w:r>
    </w:p>
    <w:p>
      <w:pPr>
        <w:pStyle w:val="FirstParagraph"/>
      </w:pPr>
      <w:r>
        <w:t xml:space="preserve">Attorney qualifications for this MSA review:</w:t>
      </w:r>
    </w:p>
    <w:p>
      <w:pPr>
        <w:numPr>
          <w:ilvl w:val="0"/>
          <w:numId w:val="1026"/>
        </w:numPr>
      </w:pPr>
      <w:r>
        <w:t>Business contracts attorney (B2B commercial agreements), not a general-practice attorney;</w:t>
      </w:r>
    </w:p>
    <w:p>
      <w:pPr>
        <w:numPr>
          <w:ilvl w:val="0"/>
          <w:numId w:val="1026"/>
        </w:numPr>
      </w:pPr>
      <w:r>
        <w:t>Ideally, prior experience with staffing, talent-placement, or professional-services firms;</w:t>
      </w:r>
    </w:p>
    <w:p>
      <w:pPr>
        <w:numPr>
          <w:ilvl w:val="0"/>
          <w:numId w:val="1026"/>
        </w:numPr>
      </w:pPr>
      <w:r>
        <w:t>Licensed in the governing jurisdiction (determined by Appendix F #1);</w:t>
      </w:r>
    </w:p>
    <w:p>
      <w:pPr>
        <w:numPr>
          <w:ilvl w:val="0"/>
          <w:numId w:val="1026"/>
        </w:numPr>
      </w:pPr>
      <w:r>
        <w:t>Experience with SaaS or subscription-revenue-model contracts is a plus (for the Retainer structure);</w:t>
      </w:r>
    </w:p>
    <w:p>
      <w:pPr>
        <w:numPr>
          <w:ilvl w:val="0"/>
          <w:numId w:val="1026"/>
        </w:numPr>
      </w:pPr>
      <w:r>
        <w:t xml:space="preserve">Experience with worker classification issues (for Section 7 and 17);</w:t>
      </w:r>
    </w:p>
    <w:p>
      <w:pPr>
        <w:numPr>
          <w:ilvl w:val="0"/>
          <w:numId w:val="1026"/>
        </w:numPr>
      </w:pPr>
      <w:r>
        <w:t>Budget guidance: $4K–$8K for initial review and revision of MSA draft; combined ICA + MSA engagement: $8K–$12K is typical for this scope.</w:t>
      </w:r>
    </w:p>
    <w:bookmarkEnd w:id="159"/>
    <w:bookmarkStart w:id="160" w:name="X0521d732cb93e19c7490a20348d049b25c44e83"/>
    <w:p>
      <w:pPr>
        <w:pStyle w:val="Heading2"/>
      </w:pPr>
      <w:r>
        <w:t xml:space="preserve">F.3 Combined ICA + MSA engagement recommendation</w:t>
      </w:r>
    </w:p>
    <w:p>
      <w:pPr>
        <w:pStyle w:val="FirstParagraph"/>
      </w:pPr>
      <w:r>
        <w:t>Many decisions in Appendix F overlap between the ICA and MSA (governing law, non-solicit duration, arbitration vs. litigation). Engaging counsel to review both documents together in a single engagement produces:</w:t>
      </w:r>
    </w:p>
    <w:p>
      <w:pPr>
        <w:numPr>
          <w:ilvl w:val="0"/>
          <w:numId w:val="1027"/>
        </w:numPr>
      </w:pPr>
      <w:r>
        <w:t>Consistency across the two contracts (same governing law, same dispute resolution, same non-solicit framework);</w:t>
      </w:r>
    </w:p>
    <w:p>
      <w:pPr>
        <w:numPr>
          <w:ilvl w:val="0"/>
          <w:numId w:val="1027"/>
        </w:numPr>
      </w:pPr>
      <w:r>
        <w:t xml:space="preserve">Lower billable hours (counsel learns the business context once);</w:t>
      </w:r>
    </w:p>
    <w:p>
      <w:pPr>
        <w:numPr>
          <w:ilvl w:val="0"/>
          <w:numId w:val="1027"/>
        </w:numPr>
      </w:pPr>
      <w:r>
        <w:t>Better risk-allocation calibration between the client-facing MSA and operator-facing ICA;</w:t>
      </w:r>
    </w:p>
    <w:p>
      <w:pPr>
        <w:numPr>
          <w:ilvl w:val="0"/>
          <w:numId w:val="1027"/>
        </w:numPr>
      </w:pPr>
      <w:r>
        <w:t xml:space="preserve">Synchronized Phase 1 contract package ready before placement #1.</w:t>
      </w:r>
    </w:p>
    <w:p>
      <w:pPr>
        <w:pStyle w:val="FirstParagraph"/>
      </w:pPr>
      <w:r>
        <w:t>Recommended approach: finalize both Appendix F checklists (ICA and MSA), engage counsel with both drafts simultaneously.</w:t>
      </w:r>
    </w:p>
    <w:bookmarkEnd w:id="160"/>
    <w:bookmarkStart w:id="161" w:name="f.4-post-review-workflow"/>
    <w:p>
      <w:pPr>
        <w:pStyle w:val="Heading2"/>
      </w:pPr>
      <w:r>
        <w:t xml:space="preserve">F.4 Post-review workflow</w:t>
      </w:r>
    </w:p>
    <w:p>
      <w:pPr>
        <w:numPr>
          <w:ilvl w:val="0"/>
          <w:numId w:val="1028"/>
        </w:numPr>
      </w:pPr>
      <w:r>
        <w:t>Counsel returns revised MSA with redlines and comments. Budget one (1) week for turnaround.</w:t>
      </w:r>
    </w:p>
    <w:p>
      <w:pPr>
        <w:numPr>
          <w:ilvl w:val="0"/>
          <w:numId w:val="1028"/>
        </w:numPr>
      </w:pPr>
      <w:r>
        <w:t>Kevin and Chris review redlines with counsel (60–90 minutes). Resolve any outstanding questions or counsel recommendations requiring business decisions.</w:t>
      </w:r>
    </w:p>
    <w:p>
      <w:pPr>
        <w:numPr>
          <w:ilvl w:val="0"/>
          <w:numId w:val="1028"/>
        </w:numPr>
      </w:pPr>
      <w:r>
        <w:t>Counsel finalizes the MSA. The final version stays under FS-DOC-049 — Status changes from Draft to Active, Version bumps from “Draft v1.0” to v1.0. No new Doc ID is created.</w:t>
      </w:r>
    </w:p>
    <w:p>
      <w:pPr>
        <w:numPr>
          <w:ilvl w:val="0"/>
          <w:numId w:val="1028"/>
        </w:numPr>
      </w:pPr>
      <w:r>
        <w:t>Portal TOS acceptance flow is built using the final MSA text. Verify that portal acceptance captures the required elements (clear assent, accepted version record, timestamp, IP address, client identifier).</w:t>
      </w:r>
    </w:p>
    <w:p>
      <w:pPr>
        <w:numPr>
          <w:ilvl w:val="0"/>
          <w:numId w:val="1028"/>
        </w:numPr>
      </w:pPr>
      <w:r>
        <w:t>Kevin and Chris track any amendments or side-letter variations in a central log. MSA changes over time become Version 2, etc., with Change Log maintained.</w:t>
      </w:r>
    </w:p>
    <w:bookmarkEnd w:id="161"/>
    <w:bookmarkStart w:id="162" w:name="f.5-version-log"/>
    <w:p>
      <w:pPr>
        <w:pStyle w:val="Heading2"/>
      </w:pPr>
      <w:r>
        <w:t xml:space="preserve">F.5 Version log</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Changes</w:t>
            </w:r>
          </w:p>
        </w:tc>
      </w:tr>
      <w:tr>
        <w:tc>
          <w:tcPr/>
          <w:p>
            <w:pPr>
              <w:pStyle w:val="Compact"/>
              <w:jc w:val="left"/>
            </w:pPr>
            <w:r>
              <w:t xml:space="preserve">v1.0 DRAFT</w:t>
            </w:r>
          </w:p>
        </w:tc>
        <w:tc>
          <w:tcPr/>
          <w:p>
            <w:pPr>
              <w:pStyle w:val="Compact"/>
              <w:jc w:val="left"/>
            </w:pPr>
            <w:r>
              <w:t xml:space="preserve">April 20, 2026</w:t>
            </w:r>
          </w:p>
        </w:tc>
        <w:tc>
          <w:tcPr/>
          <w:p>
            <w:pPr>
              <w:pStyle w:val="Compact"/>
              <w:jc w:val="left"/>
            </w:pPr>
            <w:r>
              <w:t xml:space="preserve">Kevin</w:t>
            </w:r>
          </w:p>
        </w:tc>
        <w:tc>
          <w:tcPr/>
          <w:p>
            <w:pPr>
              <w:pStyle w:val="Compact"/>
              <w:jc w:val="left"/>
            </w:pPr>
            <w:r>
              <w:t>Initial draft for attorney review. 20 sections, 4 Exhibits, Appendix F with 15 business decisions.</w:t>
            </w:r>
          </w:p>
        </w:tc>
      </w:tr>
    </w:tbl>
    <w:p>
      <w:pPr>
        <w:pStyle w:val="BodyText"/>
      </w:pPr>
      <w:r>
        <w:t xml:space="preserve">Page 1</w:t>
      </w:r>
    </w:p>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2026-05-04T18:55:22Z</dcterms:created>
  <dcterms:modified xsi:type="dcterms:W3CDTF">2026-05-04T18:55:22Z</dcterms:modified>
</cp:coreProperties>
</file>

<file path=docProps/custom.xml><?xml version="1.0" encoding="utf-8"?>
<Properties xmlns="http://schemas.openxmlformats.org/officeDocument/2006/custom-properties" xmlns:vt="http://schemas.openxmlformats.org/officeDocument/2006/docPropsVTypes"/>
</file>