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DRAFT — Attorney review required</w:t>
      </w:r>
      <w:r>
        <w:t xml:space="preserve"> </w:t>
      </w:r>
      <w:r>
        <w:t xml:space="preserve">Fractional Standard ICA • v1.1 DRAFT • May 2026</w:t>
      </w:r>
    </w:p>
    <w:p>
      <w:pPr>
        <w:pStyle w:val="BodyText"/>
      </w:pPr>
      <w:r>
        <w:rPr>
          <w:bCs/>
          <w:b/>
        </w:rPr>
        <w:t xml:space="preserve">DRAFT — FOR ATTORNEY REVIEW</w:t>
      </w:r>
    </w:p>
    <w:p>
      <w:pPr>
        <w:pStyle w:val="BodyText"/>
      </w:pPr>
      <w:r>
        <w:rPr>
          <w:iCs/>
          <w:i/>
        </w:rPr>
        <w:t xml:space="preserve">Not for execution until counsel reviews</w:t>
      </w:r>
    </w:p>
    <w:p>
      <w:pPr>
        <w:pStyle w:val="BodyText"/>
      </w:pPr>
      <w:r>
        <w:rPr>
          <w:bCs/>
          <w:b/>
        </w:rPr>
        <w:t xml:space="preserve">INDEPENDENT CONTRACTOR AGREEMENT</w:t>
      </w:r>
    </w:p>
    <w:p>
      <w:pPr>
        <w:pStyle w:val="BodyText"/>
      </w:pPr>
      <w:r>
        <w:t xml:space="preserve">Fractional Standard LLC and Operator</w:t>
      </w:r>
    </w:p>
    <w:p>
      <w:pPr>
        <w:pStyle w:val="BodyText"/>
      </w:pPr>
      <w:r>
        <w:rPr>
          <w:iCs/>
          <w:i/>
        </w:rPr>
        <w:t xml:space="preserve">Draft v1.0 • April 17, 2026</w:t>
      </w:r>
    </w:p>
    <w:p>
      <w:pPr>
        <w:pStyle w:val="BodyText"/>
      </w:pPr>
      <w:r>
        <w:t xml:space="preserve">Fractional Standard</w:t>
      </w:r>
    </w:p>
    <w:bookmarkStart w:id="24" w:name="read-this-first"/>
    <w:p>
      <w:pPr>
        <w:pStyle w:val="Heading1"/>
      </w:pPr>
      <w:r>
        <w:t xml:space="preserve">Read This First</w:t>
      </w:r>
    </w:p>
    <w:p>
      <w:pPr>
        <w:pStyle w:val="FirstParagraph"/>
      </w:pPr>
      <w:r>
        <w:t xml:space="preserve">This document is a</w:t>
      </w:r>
      <w:r>
        <w:t xml:space="preserve"> </w:t>
      </w:r>
      <w:r>
        <w:rPr>
          <w:bCs/>
          <w:b/>
        </w:rPr>
        <w:t xml:space="preserve">structured first draft</w:t>
      </w:r>
      <w:r>
        <w:t xml:space="preserve"> </w:t>
      </w:r>
      <w:r>
        <w:t xml:space="preserve">of the Independent Contractor Agreement that will govern the relationship between Fractional Standard LLC and each operator placed through the firm. It is not legal advice, and it is not ready for execution. A licensed attorney in the appropriate jurisdiction must review and revise this draft before any operator signs it.</w:t>
      </w:r>
    </w:p>
    <w:bookmarkStart w:id="20" w:name="what-this-draft-is-for"/>
    <w:p>
      <w:pPr>
        <w:pStyle w:val="Heading2"/>
      </w:pPr>
      <w:r>
        <w:t xml:space="preserve">What this draft is for</w:t>
      </w:r>
    </w:p>
    <w:p>
      <w:pPr>
        <w:numPr>
          <w:ilvl w:val="0"/>
          <w:numId w:val="1001"/>
        </w:numPr>
      </w:pPr>
      <w:r>
        <w:t xml:space="preserve">Giving Kevin and Chris a concrete starting point for the ICA conversation with counsel</w:t>
      </w:r>
    </w:p>
    <w:p>
      <w:pPr>
        <w:numPr>
          <w:ilvl w:val="0"/>
          <w:numId w:val="1001"/>
        </w:numPr>
      </w:pPr>
      <w:r>
        <w:t xml:space="preserve">Capturing Fractional Standard’s specific operational model (hour-cap retainers, AI-assisted assessment, matching-data moat) in contract terms, rather than paying an attorney to learn these from scratch</w:t>
      </w:r>
    </w:p>
    <w:p>
      <w:pPr>
        <w:numPr>
          <w:ilvl w:val="0"/>
          <w:numId w:val="1001"/>
        </w:numPr>
      </w:pPr>
      <w:r>
        <w:t xml:space="preserve">Flagging the ~15 areas where Fractional Standard needs to make substantive business decisions before counsel can finalize language</w:t>
      </w:r>
    </w:p>
    <w:p>
      <w:pPr>
        <w:numPr>
          <w:ilvl w:val="0"/>
          <w:numId w:val="1001"/>
        </w:numPr>
      </w:pPr>
      <w:r>
        <w:t xml:space="preserve">Serving as the template that, once lawyered up, becomes FS-DOC-048 (final ICA — status changes from Draft to Active) in the Catalog</w:t>
      </w:r>
    </w:p>
    <w:bookmarkEnd w:id="20"/>
    <w:bookmarkStart w:id="21" w:name="what-this-draft-is-not"/>
    <w:p>
      <w:pPr>
        <w:pStyle w:val="Heading2"/>
      </w:pPr>
      <w:r>
        <w:t xml:space="preserve">What this draft is NOT</w:t>
      </w:r>
    </w:p>
    <w:p>
      <w:pPr>
        <w:numPr>
          <w:ilvl w:val="0"/>
          <w:numId w:val="1002"/>
        </w:numPr>
      </w:pPr>
      <w:r>
        <w:t xml:space="preserve">Legal advice. I am not a lawyer. This document should not be treated as counsel.</w:t>
      </w:r>
    </w:p>
    <w:p>
      <w:pPr>
        <w:numPr>
          <w:ilvl w:val="0"/>
          <w:numId w:val="1002"/>
        </w:numPr>
      </w:pPr>
      <w:r>
        <w:t xml:space="preserve">Jurisdiction-specific. Georgia law is referenced as the likely governing law based on Kevin’s location, but this needs to be confirmed by counsel and may need state-specific provisions for operators in other states.</w:t>
      </w:r>
    </w:p>
    <w:p>
      <w:pPr>
        <w:numPr>
          <w:ilvl w:val="0"/>
          <w:numId w:val="1002"/>
        </w:numPr>
      </w:pPr>
      <w:r>
        <w:t xml:space="preserve">Exhaustive. Some standard clauses (force majeure, electronic signatures, entire agreement boilerplate) are represented in brief form; counsel will expand.</w:t>
      </w:r>
    </w:p>
    <w:p>
      <w:pPr>
        <w:numPr>
          <w:ilvl w:val="0"/>
          <w:numId w:val="1002"/>
        </w:numPr>
      </w:pPr>
      <w:r>
        <w:t xml:space="preserve">Ready to sign. Do not send this to an operator as-is, even as a</w:t>
      </w:r>
      <w:r>
        <w:t xml:space="preserve"> </w:t>
      </w:r>
      <w:r>
        <w:t xml:space="preserve">‘</w:t>
      </w:r>
      <w:r>
        <w:t xml:space="preserve">draft for discussion.</w:t>
      </w:r>
      <w:r>
        <w:t xml:space="preserv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w:t>
            </w:r>
            <w:r>
              <w:t xml:space="preserve">** ATTORNEY REVIEW REQUIRED** Before sending to counsel, Kevin should review the</w:t>
            </w:r>
            <w:r>
              <w:t xml:space="preserve"> </w:t>
            </w:r>
            <w:r>
              <w:t xml:space="preserve">‘</w:t>
            </w:r>
            <w:r>
              <w:t xml:space="preserve">Pre-Attorney-Review Checklist</w:t>
            </w:r>
            <w:r>
              <w:t xml:space="preserve">’</w:t>
            </w:r>
            <w:r>
              <w:t xml:space="preserve"> </w:t>
            </w:r>
            <w:r>
              <w:t xml:space="preserve">at the end of this document (Appendix F). It lists the ~15 business decisions Kevin needs to make before the lawyer can turn this draft into a final agreement. Examples: non-solicit duration, IP licensing specifics for matching-data moat, insurance requirements, choice of jurisdiction, arbitration vs. court.</w:t>
            </w:r>
          </w:p>
        </w:tc>
      </w:tr>
    </w:tbl>
    <w:bookmarkEnd w:id="21"/>
    <w:bookmarkStart w:id="22" w:name="visual-conventions-in-this-draft"/>
    <w:p>
      <w:pPr>
        <w:pStyle w:val="Heading2"/>
      </w:pPr>
      <w:r>
        <w:t xml:space="preserve">Visual conventions in this draft</w:t>
      </w:r>
    </w:p>
    <w:p>
      <w:pPr>
        <w:pStyle w:val="FirstParagraph"/>
      </w:pPr>
      <w:r>
        <w:t xml:space="preserve">Throughout this draft, three visual conventions flag items that require attention:</w:t>
      </w:r>
    </w:p>
    <w:p>
      <w:pPr>
        <w:numPr>
          <w:ilvl w:val="0"/>
          <w:numId w:val="1003"/>
        </w:numPr>
      </w:pPr>
      <w:r>
        <w:rPr>
          <w:bCs/>
          <w:b/>
        </w:rPr>
        <w:t xml:space="preserve">⚠</w:t>
      </w:r>
      <w:r>
        <w:t xml:space="preserve">** Red-bordered **callouts: items that specifically need attorney input (legal standard, jurisdictional, regulatory)</w:t>
      </w:r>
    </w:p>
    <w:p>
      <w:pPr>
        <w:numPr>
          <w:ilvl w:val="0"/>
          <w:numId w:val="1003"/>
        </w:numPr>
      </w:pPr>
      <w:r>
        <w:rPr>
          <w:bCs/>
          <w:b/>
        </w:rPr>
        <w:t xml:space="preserve">Amber-bordered</w:t>
      </w:r>
      <w:r>
        <w:rPr>
          <w:bCs/>
          <w:b/>
        </w:rPr>
        <w:t xml:space="preserve"> </w:t>
      </w:r>
      <w:r>
        <w:t xml:space="preserve">callouts: items Kevin fills in (company details, specific dollar amounts, dates, operator information)</w:t>
      </w:r>
    </w:p>
    <w:p>
      <w:pPr>
        <w:numPr>
          <w:ilvl w:val="0"/>
          <w:numId w:val="1003"/>
        </w:numPr>
      </w:pPr>
      <w:r>
        <w:rPr>
          <w:bCs/>
          <w:b/>
        </w:rPr>
        <w:t xml:space="preserve">Italic amber text in</w:t>
      </w:r>
      <w:r>
        <w:rPr>
          <w:bCs/>
          <w:b/>
        </w:rPr>
        <w:t xml:space="preserve"> </w:t>
      </w:r>
      <w:r>
        <w:rPr>
          <w:iCs/>
          <w:i/>
        </w:rPr>
        <w:t xml:space="preserve">[square brackets]</w:t>
      </w:r>
      <w:r>
        <w:t xml:space="preserve">: inline placeholders to be replaced with specific values</w:t>
      </w:r>
    </w:p>
    <w:p>
      <w:pPr>
        <w:pStyle w:val="FirstParagraph"/>
      </w:pPr>
      <w:r>
        <w:rPr>
          <w:bCs/>
          <w:b/>
        </w:rPr>
        <w:t xml:space="preserve">INDEPENDENT CONTRACTOR AGREEMENT</w:t>
      </w:r>
    </w:p>
    <w:p>
      <w:pPr>
        <w:pStyle w:val="BodyText"/>
      </w:pPr>
      <w:r>
        <w:t xml:space="preserve">This Independent Contractor Agreement (the</w:t>
      </w:r>
      <w:r>
        <w:t xml:space="preserve"> </w:t>
      </w:r>
      <w:r>
        <w:t xml:space="preserve">“</w:t>
      </w:r>
      <w:r>
        <w:rPr>
          <w:bCs/>
          <w:b/>
        </w:rPr>
        <w:t xml:space="preserve">Agreement</w:t>
      </w:r>
      <w:r>
        <w:t xml:space="preserve">”</w:t>
      </w:r>
      <w:r>
        <w:t xml:space="preserve">) is entered into as of</w:t>
      </w:r>
      <w:r>
        <w:t xml:space="preserve"> </w:t>
      </w:r>
      <w:r>
        <w:rPr>
          <w:iCs/>
          <w:i/>
        </w:rPr>
        <w:t xml:space="preserve">[Effective Date]</w:t>
      </w:r>
      <w:r>
        <w:t xml:space="preserve"> </w:t>
      </w:r>
      <w:r>
        <w:t xml:space="preserve">(the</w:t>
      </w:r>
      <w:r>
        <w:t xml:space="preserve"> </w:t>
      </w:r>
      <w:r>
        <w:t xml:space="preserve">“</w:t>
      </w:r>
      <w:r>
        <w:t xml:space="preserve">Effective Date</w:t>
      </w:r>
      <w:r>
        <w:t xml:space="preserve">”</w:t>
      </w:r>
      <w:r>
        <w:t xml:space="preserve">) by and between:</w:t>
      </w:r>
    </w:p>
    <w:p>
      <w:pPr>
        <w:pStyle w:val="BodyText"/>
      </w:pPr>
      <w:r>
        <w:rPr>
          <w:bCs/>
          <w:b/>
        </w:rPr>
        <w:t xml:space="preserve">Fractional Standard LLC,</w:t>
      </w:r>
      <w:r>
        <w:rPr>
          <w:bCs/>
          <w:b/>
        </w:rPr>
        <w:t xml:space="preserve"> </w:t>
      </w:r>
      <w:r>
        <w:t xml:space="preserve">a</w:t>
      </w:r>
      <w:r>
        <w:t xml:space="preserve"> </w:t>
      </w:r>
      <w:r>
        <w:rPr>
          <w:iCs/>
          <w:i/>
        </w:rPr>
        <w:t xml:space="preserve">[Delaware / Georgia / state of formation]</w:t>
      </w:r>
      <w:r>
        <w:t xml:space="preserve"> </w:t>
      </w:r>
      <w:r>
        <w:t xml:space="preserve">limited liability company with its principal place of business at</w:t>
      </w:r>
      <w:r>
        <w:t xml:space="preserve"> </w:t>
      </w:r>
      <w:r>
        <w:rPr>
          <w:iCs/>
          <w:i/>
        </w:rPr>
        <w:t xml:space="preserve">[Company address]</w:t>
      </w:r>
      <w:r>
        <w:t xml:space="preserve"> </w:t>
      </w:r>
      <w:r>
        <w:t xml:space="preserve">(the</w:t>
      </w:r>
      <w:r>
        <w:t xml:space="preserve"> </w:t>
      </w:r>
      <w:r>
        <w:t xml:space="preserve">“</w:t>
      </w:r>
      <w:r>
        <w:rPr>
          <w:bCs/>
          <w:b/>
        </w:rPr>
        <w:t xml:space="preserve">Company</w:t>
      </w:r>
      <w:r>
        <w:t xml:space="preserve">”</w:t>
      </w:r>
      <w:r>
        <w:t xml:space="preserve">); and</w:t>
      </w:r>
    </w:p>
    <w:p>
      <w:pPr>
        <w:pStyle w:val="BodyText"/>
      </w:pPr>
      <w:r>
        <w:rPr>
          <w:iCs/>
          <w:i/>
        </w:rPr>
        <w:t xml:space="preserve">[Operator Full Legal Name]</w:t>
      </w:r>
      <w:r>
        <w:t xml:space="preserve">,</w:t>
      </w:r>
      <w:r>
        <w:t xml:space="preserve"> </w:t>
      </w:r>
      <w:r>
        <w:rPr>
          <w:iCs/>
          <w:i/>
        </w:rPr>
        <w:t xml:space="preserve">[individual / LLC / other entity type]</w:t>
      </w:r>
      <w:r>
        <w:t xml:space="preserve"> </w:t>
      </w:r>
      <w:r>
        <w:t xml:space="preserve">with a principal address at</w:t>
      </w:r>
      <w:r>
        <w:t xml:space="preserve"> </w:t>
      </w:r>
      <w:r>
        <w:rPr>
          <w:iCs/>
          <w:i/>
        </w:rPr>
        <w:t xml:space="preserve">[Operator address]</w:t>
      </w:r>
      <w:r>
        <w:t xml:space="preserve"> </w:t>
      </w:r>
      <w:r>
        <w:t xml:space="preserve">(the</w:t>
      </w:r>
      <w:r>
        <w:t xml:space="preserve"> </w:t>
      </w:r>
      <w:r>
        <w:t xml:space="preserve">“</w:t>
      </w:r>
      <w:r>
        <w:rPr>
          <w:bCs/>
          <w:b/>
        </w:rPr>
        <w:t xml:space="preserve">Operator</w:t>
      </w:r>
      <w:r>
        <w:t xml:space="preserve">”</w:t>
      </w:r>
      <w:r>
        <w:t xml:space="preserve">).</w:t>
      </w:r>
    </w:p>
    <w:p>
      <w:pPr>
        <w:pStyle w:val="BodyText"/>
      </w:pPr>
      <w:r>
        <w:rPr>
          <w:iCs/>
          <w:i/>
        </w:rPr>
        <w:t xml:space="preserve">The Company and the Operator are each a</w:t>
      </w:r>
      <w:r>
        <w:rPr>
          <w:iCs/>
          <w:i/>
        </w:rPr>
        <w:t xml:space="preserve"> </w:t>
      </w:r>
      <w:r>
        <w:rPr>
          <w:iCs/>
          <w:i/>
        </w:rPr>
        <w:t xml:space="preserve">“</w:t>
      </w:r>
      <w:r>
        <w:rPr>
          <w:iCs/>
          <w:i/>
        </w:rPr>
        <w:t xml:space="preserve">Party</w:t>
      </w:r>
      <w:r>
        <w:rPr>
          <w:iCs/>
          <w:i/>
        </w:rPr>
        <w:t xml:space="preserve">”</w:t>
      </w:r>
      <w:r>
        <w:rPr>
          <w:iCs/>
          <w:i/>
        </w:rPr>
        <w:t xml:space="preserve"> </w:t>
      </w:r>
      <w:r>
        <w:rPr>
          <w:iCs/>
          <w:i/>
        </w:rPr>
        <w:t xml:space="preserve">and, together, the</w:t>
      </w:r>
      <w:r>
        <w:rPr>
          <w:iCs/>
          <w:i/>
        </w:rPr>
        <w:t xml:space="preserve"> </w:t>
      </w:r>
      <w:r>
        <w:rPr>
          <w:iCs/>
          <w:i/>
        </w:rPr>
        <w:t xml:space="preserve">“</w:t>
      </w:r>
      <w:r>
        <w:rPr>
          <w:iCs/>
          <w:i/>
        </w:rPr>
        <w:t xml:space="preserve">Parties.</w:t>
      </w:r>
      <w:r>
        <w:rPr>
          <w:iCs/>
          <w:i/>
        </w:rPr>
        <w:t xml:space="preserv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w:t>
            </w:r>
            <w:r>
              <w:t xml:space="preserve">** ATTORNEY REVIEW REQUIRED** Counsel to confirm: (1) state of LLC formation — Kevin plans Delaware or Georgia based on Operating Agreement; (2) whether operators outside the US are permitted and, if so, what additional provisions apply; (3) whether operator can execute as an individual or must execute through an LLC/PLLC (common for fractional executives for tax reasons).</w:t>
            </w:r>
          </w:p>
        </w:tc>
      </w:tr>
    </w:tbl>
    <w:bookmarkEnd w:id="22"/>
    <w:bookmarkStart w:id="23" w:name="recitals"/>
    <w:p>
      <w:pPr>
        <w:pStyle w:val="Heading2"/>
      </w:pPr>
      <w:r>
        <w:t xml:space="preserve">Recitals</w:t>
      </w:r>
    </w:p>
    <w:p>
      <w:pPr>
        <w:pStyle w:val="FirstParagraph"/>
      </w:pPr>
      <w:r>
        <w:t xml:space="preserve">WHEREAS, the Company operates a managed fractional executive placement firm that matches independently verified operators to client engagements;</w:t>
      </w:r>
    </w:p>
    <w:p>
      <w:pPr>
        <w:pStyle w:val="BodyText"/>
      </w:pPr>
      <w:r>
        <w:t xml:space="preserve">WHEREAS, the Operator has completed the Company’s independent-contractor assessment process, including a scenario-based simulation, artifact submission, reference checks, and human validation;</w:t>
      </w:r>
    </w:p>
    <w:p>
      <w:pPr>
        <w:pStyle w:val="BodyText"/>
      </w:pPr>
      <w:r>
        <w:t xml:space="preserve">WHEREAS, the Operator wishes to accept engagements placed through the Company on an independent-contractor basis;</w:t>
      </w:r>
    </w:p>
    <w:p>
      <w:pPr>
        <w:pStyle w:val="BodyText"/>
      </w:pPr>
      <w:r>
        <w:t xml:space="preserve">WHEREAS, the Company wishes to engage the Operator on the terms set forth in this Agreement and in one or more Statements of Work substantially in the form of Exhibit A;</w:t>
      </w:r>
    </w:p>
    <w:p>
      <w:pPr>
        <w:pStyle w:val="BodyText"/>
      </w:pPr>
      <w:r>
        <w:t xml:space="preserve">NOW, THEREFORE, in consideration of the mutual promises and covenants contained herein, and for other good and valuable consideration, the receipt and sufficiency of which are hereby acknowledged, the Parties agree as follows:</w:t>
      </w:r>
    </w:p>
    <w:bookmarkEnd w:id="23"/>
    <w:bookmarkEnd w:id="24"/>
    <w:bookmarkStart w:id="25" w:name="definitions"/>
    <w:p>
      <w:pPr>
        <w:pStyle w:val="Heading1"/>
      </w:pPr>
      <w:r>
        <w:t xml:space="preserve">1. Definitions</w:t>
      </w:r>
    </w:p>
    <w:p>
      <w:pPr>
        <w:pStyle w:val="FirstParagraph"/>
      </w:pPr>
      <w:r>
        <w:t xml:space="preserve">Capitalized terms used in this Agreement have the meanings set forth below. Additional terms defined elsewhere in this Agreement have the meanings given in the context where they first appear.</w:t>
      </w:r>
    </w:p>
    <w:p>
      <w:pPr>
        <w:pStyle w:val="BodyText"/>
      </w:pPr>
      <w:r>
        <w:rPr>
          <w:bCs/>
          <w:b/>
        </w:rPr>
        <w:t xml:space="preserve">1.1</w:t>
      </w:r>
      <w:r>
        <w:rPr>
          <w:bCs/>
          <w:b/>
        </w:rPr>
        <w:t xml:space="preserve"> </w:t>
      </w:r>
      <w:r>
        <w:rPr>
          <w:bCs/>
          <w:b/>
        </w:rPr>
        <w:t xml:space="preserve">“</w:t>
      </w:r>
      <w:r>
        <w:rPr>
          <w:bCs/>
          <w:b/>
        </w:rPr>
        <w:t xml:space="preserve">Client</w:t>
      </w:r>
      <w:r>
        <w:rPr>
          <w:bCs/>
          <w:b/>
        </w:rPr>
        <w:t xml:space="preserve">”</w:t>
      </w:r>
      <w:r>
        <w:rPr>
          <w:bCs/>
          <w:b/>
        </w:rPr>
        <w:t xml:space="preserve"> </w:t>
      </w:r>
      <w:r>
        <w:t xml:space="preserve">means any company, organization, or individual that has engaged the Company to receive fractional executive services, whether under an active or completed engagement.</w:t>
      </w:r>
    </w:p>
    <w:p>
      <w:pPr>
        <w:pStyle w:val="BodyText"/>
      </w:pPr>
      <w:r>
        <w:rPr>
          <w:bCs/>
          <w:b/>
        </w:rPr>
        <w:t xml:space="preserve">1.2</w:t>
      </w:r>
      <w:r>
        <w:rPr>
          <w:bCs/>
          <w:b/>
        </w:rPr>
        <w:t xml:space="preserve"> </w:t>
      </w:r>
      <w:r>
        <w:rPr>
          <w:bCs/>
          <w:b/>
        </w:rPr>
        <w:t xml:space="preserve">“</w:t>
      </w:r>
      <w:r>
        <w:rPr>
          <w:bCs/>
          <w:b/>
        </w:rPr>
        <w:t xml:space="preserve">Confidential Information</w:t>
      </w:r>
      <w:r>
        <w:rPr>
          <w:bCs/>
          <w:b/>
        </w:rPr>
        <w:t xml:space="preserve">”</w:t>
      </w:r>
      <w:r>
        <w:rPr>
          <w:bCs/>
          <w:b/>
        </w:rPr>
        <w:t xml:space="preserve"> </w:t>
      </w:r>
      <w:r>
        <w:t xml:space="preserve">means all non-public information disclosed by one Party to the other, whether in oral, written, or electronic form, that is designated as confidential or that a reasonable person would understand to be confidential given the nature of the information and the circumstances of disclosure. Confidential Information includes, but is not limited to, Client financial information, strategic plans, trade secrets, customer lists, financial models, proprietary methodologies, and the Company’s operator pool data, matching data, and assessment data.</w:t>
      </w:r>
    </w:p>
    <w:p>
      <w:pPr>
        <w:pStyle w:val="BodyText"/>
      </w:pPr>
      <w:r>
        <w:rPr>
          <w:bCs/>
          <w:b/>
        </w:rPr>
        <w:t xml:space="preserve">1.3</w:t>
      </w:r>
      <w:r>
        <w:rPr>
          <w:bCs/>
          <w:b/>
        </w:rPr>
        <w:t xml:space="preserve"> </w:t>
      </w:r>
      <w:r>
        <w:rPr>
          <w:bCs/>
          <w:b/>
        </w:rPr>
        <w:t xml:space="preserve">“</w:t>
      </w:r>
      <w:r>
        <w:rPr>
          <w:bCs/>
          <w:b/>
        </w:rPr>
        <w:t xml:space="preserve">Engagement</w:t>
      </w:r>
      <w:r>
        <w:rPr>
          <w:bCs/>
          <w:b/>
        </w:rPr>
        <w:t xml:space="preserve">”</w:t>
      </w:r>
      <w:r>
        <w:rPr>
          <w:bCs/>
          <w:b/>
        </w:rPr>
        <w:t xml:space="preserve"> </w:t>
      </w:r>
      <w:r>
        <w:t xml:space="preserve">means a specific placement of the Operator with a Client under a signed Statement of Work in the form of Exhibit A.</w:t>
      </w:r>
    </w:p>
    <w:p>
      <w:pPr>
        <w:pStyle w:val="BodyText"/>
      </w:pPr>
      <w:r>
        <w:rPr>
          <w:bCs/>
          <w:b/>
        </w:rPr>
        <w:t xml:space="preserve">1.4</w:t>
      </w:r>
      <w:r>
        <w:rPr>
          <w:bCs/>
          <w:b/>
        </w:rPr>
        <w:t xml:space="preserve"> </w:t>
      </w:r>
      <w:r>
        <w:rPr>
          <w:bCs/>
          <w:b/>
        </w:rPr>
        <w:t xml:space="preserve">“</w:t>
      </w:r>
      <w:r>
        <w:rPr>
          <w:bCs/>
          <w:b/>
        </w:rPr>
        <w:t xml:space="preserve">Retainer Tier</w:t>
      </w:r>
      <w:r>
        <w:rPr>
          <w:bCs/>
          <w:b/>
        </w:rPr>
        <w:t xml:space="preserve">”</w:t>
      </w:r>
      <w:r>
        <w:rPr>
          <w:bCs/>
          <w:b/>
        </w:rPr>
        <w:t xml:space="preserve"> </w:t>
      </w:r>
      <w:r>
        <w:t xml:space="preserve">means the pricing structure under which an Engagement operates (Foundation, Growth, Scale, or Embedded), as specified in the applicable Statement of Work.</w:t>
      </w:r>
    </w:p>
    <w:p>
      <w:pPr>
        <w:pStyle w:val="BodyText"/>
      </w:pPr>
      <w:r>
        <w:rPr>
          <w:bCs/>
          <w:b/>
        </w:rPr>
        <w:t xml:space="preserve">1.5</w:t>
      </w:r>
      <w:r>
        <w:rPr>
          <w:bCs/>
          <w:b/>
        </w:rPr>
        <w:t xml:space="preserve"> </w:t>
      </w:r>
      <w:r>
        <w:rPr>
          <w:bCs/>
          <w:b/>
        </w:rPr>
        <w:t xml:space="preserve">“</w:t>
      </w:r>
      <w:r>
        <w:rPr>
          <w:bCs/>
          <w:b/>
        </w:rPr>
        <w:t xml:space="preserve">Statement of Work</w:t>
      </w:r>
      <w:r>
        <w:rPr>
          <w:bCs/>
          <w:b/>
        </w:rPr>
        <w:t xml:space="preserve">”</w:t>
      </w:r>
      <w:r>
        <w:rPr>
          <w:bCs/>
          <w:b/>
        </w:rPr>
        <w:t xml:space="preserve"> </w:t>
      </w:r>
      <w:r>
        <w:t xml:space="preserve">or</w:t>
      </w:r>
      <w:r>
        <w:t xml:space="preserve"> </w:t>
      </w:r>
      <w:r>
        <w:t xml:space="preserve">“</w:t>
      </w:r>
      <w:r>
        <w:rPr>
          <w:bCs/>
          <w:b/>
        </w:rPr>
        <w:t xml:space="preserve">SOW</w:t>
      </w:r>
      <w:r>
        <w:t xml:space="preserve">”</w:t>
      </w:r>
      <w:r>
        <w:t xml:space="preserve"> </w:t>
      </w:r>
      <w:r>
        <w:t xml:space="preserve">means an engagement-specific document substantially in the form of Exhibit A, signed by both Parties and, where applicable, the Client, that specifies the scope, duration, compensation, and other terms of a particular Engagement.</w:t>
      </w:r>
    </w:p>
    <w:p>
      <w:pPr>
        <w:pStyle w:val="BodyText"/>
      </w:pPr>
      <w:r>
        <w:rPr>
          <w:bCs/>
          <w:b/>
        </w:rPr>
        <w:t xml:space="preserve">1.6</w:t>
      </w:r>
      <w:r>
        <w:rPr>
          <w:bCs/>
          <w:b/>
        </w:rPr>
        <w:t xml:space="preserve"> </w:t>
      </w:r>
      <w:r>
        <w:rPr>
          <w:bCs/>
          <w:b/>
        </w:rPr>
        <w:t xml:space="preserve">“</w:t>
      </w:r>
      <w:r>
        <w:rPr>
          <w:bCs/>
          <w:b/>
        </w:rPr>
        <w:t xml:space="preserve">Work Product</w:t>
      </w:r>
      <w:r>
        <w:rPr>
          <w:bCs/>
          <w:b/>
        </w:rPr>
        <w:t xml:space="preserve">”</w:t>
      </w:r>
      <w:r>
        <w:rPr>
          <w:bCs/>
          <w:b/>
        </w:rPr>
        <w:t xml:space="preserve"> </w:t>
      </w:r>
      <w:r>
        <w:t xml:space="preserve">means all deliverables, reports, analyses, presentations, models, code, designs, and other work product created by the Operator in the course of performing services under an Engagement.</w:t>
      </w:r>
    </w:p>
    <w:bookmarkEnd w:id="25"/>
    <w:bookmarkStart w:id="26" w:name="X5f3a54f7191f5241dba08aa6fe960c565ade0dd"/>
    <w:p>
      <w:pPr>
        <w:pStyle w:val="Heading1"/>
      </w:pPr>
      <w:r>
        <w:t xml:space="preserve">2. Engagement Structure and Scope of Services</w:t>
      </w:r>
    </w:p>
    <w:p>
      <w:pPr>
        <w:pStyle w:val="FirstParagraph"/>
      </w:pPr>
      <w:r>
        <w:rPr>
          <w:bCs/>
          <w:b/>
        </w:rPr>
        <w:t xml:space="preserve">2.1</w:t>
      </w:r>
      <w:r>
        <w:rPr>
          <w:bCs/>
          <w:b/>
        </w:rPr>
        <w:t xml:space="preserve"> </w:t>
      </w:r>
      <w:r>
        <w:t xml:space="preserve">Project-by-project basis. This Agreement establishes the general terms under which the Operator may accept Engagements placed by the Company. Each Engagement is separate and requires a signed Statement of Work. This Agreement does not guarantee any particular Engagement, any minimum number of Engagements, or any minimum compensation to the Operator.</w:t>
      </w:r>
    </w:p>
    <w:p>
      <w:pPr>
        <w:pStyle w:val="BodyText"/>
      </w:pPr>
      <w:r>
        <w:rPr>
          <w:bCs/>
          <w:b/>
        </w:rPr>
        <w:t xml:space="preserve">2.2</w:t>
      </w:r>
      <w:r>
        <w:rPr>
          <w:bCs/>
          <w:b/>
        </w:rPr>
        <w:t xml:space="preserve"> </w:t>
      </w:r>
      <w:r>
        <w:t xml:space="preserve">Acceptance of Engagements. The Company will present potential Engagements to the Operator based on the Operator’s availability, role, and fit to Client needs. The Operator is not obligated to accept any particular Engagement, and the Company is not obligated to offer any particular Engagement. Acceptance of an Engagement occurs upon the Operator’s execution of the applicable Statement of Work.</w:t>
      </w:r>
    </w:p>
    <w:p>
      <w:pPr>
        <w:pStyle w:val="BodyText"/>
      </w:pPr>
      <w:r>
        <w:rPr>
          <w:bCs/>
          <w:b/>
        </w:rPr>
        <w:t xml:space="preserve">2.3</w:t>
      </w:r>
      <w:r>
        <w:rPr>
          <w:bCs/>
          <w:b/>
        </w:rPr>
        <w:t xml:space="preserve"> </w:t>
      </w:r>
      <w:r>
        <w:t xml:space="preserve">Scope of services. The specific services to be performed under each Engagement are set forth in the applicable Statement of Work. Services will generally relate to fractional C-level executive work (CFO, COO, CMO, or similar role as specified in the SOW) provided to the Client.</w:t>
      </w:r>
    </w:p>
    <w:p>
      <w:pPr>
        <w:pStyle w:val="BodyText"/>
      </w:pPr>
      <w:r>
        <w:rPr>
          <w:bCs/>
          <w:b/>
        </w:rPr>
        <w:t xml:space="preserve">2.4</w:t>
      </w:r>
      <w:r>
        <w:rPr>
          <w:bCs/>
          <w:b/>
        </w:rPr>
        <w:t xml:space="preserve"> </w:t>
      </w:r>
      <w:r>
        <w:t xml:space="preserve">Tier allocation. Each Engagement operates under a Retainer Tier with an associated Operator allocation — a defined level of capacity, expressed as approximate weekly or monthly hours, as specified in the applicable Statement of Work (for example, ~20 hours per month / ~5 hours per week for the Foundation tier;</w:t>
      </w:r>
      <w:r>
        <w:t xml:space="preserve"> </w:t>
      </w:r>
      <w:r>
        <w:rPr>
          <w:vertAlign w:val="subscript"/>
        </w:rPr>
        <w:t xml:space="preserve">40/</w:t>
      </w:r>
      <w:r>
        <w:t xml:space="preserve">10 for Growth;</w:t>
      </w:r>
      <w:r>
        <w:t xml:space="preserve"> </w:t>
      </w:r>
      <w:r>
        <w:rPr>
          <w:vertAlign w:val="subscript"/>
        </w:rPr>
        <w:t xml:space="preserve">60/</w:t>
      </w:r>
      <w:r>
        <w:t xml:space="preserve">15 for Scale;</w:t>
      </w:r>
      <w:r>
        <w:t xml:space="preserve"> </w:t>
      </w:r>
      <w:r>
        <w:rPr>
          <w:vertAlign w:val="subscript"/>
        </w:rPr>
        <w:t xml:space="preserve">80/</w:t>
      </w:r>
      <w:r>
        <w:t xml:space="preserve">20 for Embedded). The allocation is the Operator’s contractual commitment of capacity. Within any given month, actual Operator hours may flex based on Client needs, Operator availability, and project rhythm. The Operator is responsible for logging hours worked weekly in the Company’s time-tracking system (currently Clockify) for the Company’s internal capacity-management purposes. If sustained Engagement scope materially exceeds the Tier allocation across two or more consecutive months, the Operator will notify the Company so that the Company may initiate a tier-upgrade or scope-expansion conversation with the Client. The Operator is not authorized to bill the Client directly for any hours worked above the Tier allocation; the Client’s monthly retainer is a fixed-fee subscription, not time-and-materials billing.</w:t>
      </w:r>
    </w:p>
    <w:p>
      <w:pPr>
        <w:pStyle w:val="BodyText"/>
      </w:pPr>
      <w:r>
        <w:rPr>
          <w:bCs/>
          <w:b/>
        </w:rPr>
        <w:t xml:space="preserve">2.5</w:t>
      </w:r>
      <w:r>
        <w:rPr>
          <w:bCs/>
          <w:b/>
        </w:rPr>
        <w:t xml:space="preserve"> </w:t>
      </w:r>
      <w:r>
        <w:t xml:space="preserve">Performance standards. The Operator will perform services with the professional skill, diligence, and quality customarily expected of a senior executive at the Operator’s Tier level, in compliance with the performance expectations set forth in the applicable Statement of Work, and in accordance with applicable professional standards.</w:t>
      </w:r>
    </w:p>
    <w:p>
      <w:pPr>
        <w:pStyle w:val="BodyText"/>
      </w:pPr>
      <w:r>
        <w:rPr>
          <w:bCs/>
          <w:b/>
        </w:rPr>
        <w:t xml:space="preserve">2.6</w:t>
      </w:r>
      <w:r>
        <w:rPr>
          <w:bCs/>
          <w:b/>
        </w:rPr>
        <w:t xml:space="preserve"> </w:t>
      </w:r>
      <w:r>
        <w:t xml:space="preserve">Independent judgment. Consistent with the Operator’s status as an independent contractor (see Section 6), the Operator exercises independent professional judgment in the manner and method of performing services, subject to the scope, deliverables, and timeline set forth in the applicable Statement of Work.</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w:t>
            </w:r>
            <w:r>
              <w:t xml:space="preserve">** ATTORNEY REVIEW REQUIRED** Counsel to review Section 2.6 carefully in light of the current IRS and DOL independent-contractor classification tests (including the 2024 DOL rule). The fractional-executive model sits near the boundary of the economic-reality and ABC tests; counsel should advise on factual and drafting changes needed to strengthen the independent-contractor classification, particularly: operator’s ability to work for other clients, operator’s investment in their own business, operator’s control over how services are delivered, and whether services are an</w:t>
            </w:r>
            <w:r>
              <w:t xml:space="preserve"> </w:t>
            </w:r>
            <w:r>
              <w:t xml:space="preserve">‘</w:t>
            </w:r>
            <w:r>
              <w:t xml:space="preserve">integral part</w:t>
            </w:r>
            <w:r>
              <w:t xml:space="preserve">’</w:t>
            </w:r>
            <w:r>
              <w:t xml:space="preserve"> </w:t>
            </w:r>
            <w:r>
              <w:t xml:space="preserve">of the Company’s business.</w:t>
            </w:r>
          </w:p>
        </w:tc>
      </w:tr>
    </w:tbl>
    <w:bookmarkEnd w:id="26"/>
    <w:bookmarkStart w:id="27" w:name="compensation-and-payment"/>
    <w:p>
      <w:pPr>
        <w:pStyle w:val="Heading1"/>
      </w:pPr>
      <w:r>
        <w:t xml:space="preserve">3. Compensation and Payment</w:t>
      </w:r>
    </w:p>
    <w:p>
      <w:pPr>
        <w:pStyle w:val="FirstParagraph"/>
      </w:pPr>
      <w:r>
        <w:rPr>
          <w:bCs/>
          <w:b/>
        </w:rPr>
        <w:t xml:space="preserve">3.1</w:t>
      </w:r>
      <w:r>
        <w:rPr>
          <w:bCs/>
          <w:b/>
        </w:rPr>
        <w:t xml:space="preserve"> </w:t>
      </w:r>
      <w:r>
        <w:t xml:space="preserve">Compensation per Engagement. The Operator’s compensation for each Engagement is a fixed monthly fee specified in the applicable Statement of Work and calculated in accordance with the methodology set forth in the Compensation Schedule attached as Exhibit B. The fixed monthly fee is the same amount each calendar month for the duration of the Engagement, regardless of the actual number of hours worked in that month, subject to the Engagement remaining active and the underlying Client retainer being paid.</w:t>
      </w:r>
    </w:p>
    <w:p>
      <w:pPr>
        <w:pStyle w:val="BodyText"/>
      </w:pPr>
      <w:r>
        <w:rPr>
          <w:bCs/>
          <w:b/>
        </w:rPr>
        <w:t xml:space="preserve">3.2</w:t>
      </w:r>
      <w:r>
        <w:rPr>
          <w:bCs/>
          <w:b/>
        </w:rPr>
        <w:t xml:space="preserve"> </w:t>
      </w:r>
      <w:r>
        <w:t xml:space="preserve">Payment cadence. Unless otherwise specified in a Statement of Work, the Company will pay the Operator monthly. Payment is due on the 15th day of each calendar month for services performed during the preceding calendar month. The Company’s monthly payment to the Operator is contingent upon receipt of the corresponding monthly retainer payment from the Client.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CADENCE NOTE — SETTLED</w:t>
            </w:r>
            <w:r>
              <w:t xml:space="preserve"> </w:t>
            </w:r>
            <w:r>
              <w:t xml:space="preserve">The Company’s billing cadence is monthly: Clients are billed monthly, and Operators are paid monthly on the 15th for the prior month’s services (12 payments per year per Engagement). The Operator’s monthly fee is calculated on a quad-normalized basis — weekly hours target multiplied by hourly rate, multiplied by 52 and divided by 12, rounded to the nearest $25 — so that monthly compensation does not vary based on the number of work-weeks falling within any given calendar month. See Exhibit B for the calculation methodology and current rate schedule.</w:t>
            </w:r>
          </w:p>
        </w:tc>
      </w:tr>
    </w:tbl>
    <w:p>
      <w:pPr>
        <w:pStyle w:val="BodyText"/>
      </w:pPr>
      <w:r>
        <w:rPr>
          <w:bCs/>
          <w:b/>
        </w:rPr>
        <w:t xml:space="preserve">3.3</w:t>
      </w:r>
      <w:r>
        <w:rPr>
          <w:bCs/>
          <w:b/>
        </w:rPr>
        <w:t xml:space="preserve"> </w:t>
      </w:r>
      <w:r>
        <w:t xml:space="preserve">Time tracking. The Operator will log hours worked for each Engagement weekly using the time-tracking system specified by the Company (currently Clockify). Logged hours are used by the Company for internal capacity-management, margin-accounting, and tier-fit purposes; they are not the basis for the Operator’s compensation, which is a fixed monthly fee under Section 3.1. Accurate hour logging is a condition of continued participation in the Engagement, and persistent failure to log hours may, at the Company’s discretion, be treated as a material breach. The Operator agrees to submit logged hours no later than the fifth (5th) business day of the month following the month in which services were performed.</w:t>
      </w:r>
    </w:p>
    <w:p>
      <w:pPr>
        <w:pStyle w:val="BodyText"/>
      </w:pPr>
      <w:r>
        <w:rPr>
          <w:bCs/>
          <w:b/>
        </w:rPr>
        <w:t xml:space="preserve">3.4</w:t>
      </w:r>
      <w:r>
        <w:rPr>
          <w:bCs/>
          <w:b/>
        </w:rPr>
        <w:t xml:space="preserve"> </w:t>
      </w:r>
      <w:r>
        <w:t xml:space="preserve">Payment method. Payments will be made by electronic funds transfer (ACH, Stripe, or equivalent) to an account designated by the Operator. The Operator is responsible for providing and maintaining accurate payment information.</w:t>
      </w:r>
    </w:p>
    <w:p>
      <w:pPr>
        <w:pStyle w:val="BodyText"/>
      </w:pPr>
      <w:r>
        <w:rPr>
          <w:bCs/>
          <w:b/>
        </w:rPr>
        <w:t xml:space="preserve">3.5</w:t>
      </w:r>
      <w:r>
        <w:rPr>
          <w:bCs/>
          <w:b/>
        </w:rPr>
        <w:t xml:space="preserve"> </w:t>
      </w:r>
      <w:r>
        <w:t xml:space="preserve">Expenses. Unless pre-approved in writing by the Company and, where applicable, the Client, the Operator is not entitled to reimbursement of expenses incurred in the performance of services. Any pre-approved expenses will be reimbursed upon submission of reasonable documentation.</w:t>
      </w:r>
    </w:p>
    <w:p>
      <w:pPr>
        <w:pStyle w:val="BodyText"/>
      </w:pPr>
      <w:r>
        <w:rPr>
          <w:bCs/>
          <w:b/>
        </w:rPr>
        <w:t xml:space="preserve">3.6</w:t>
      </w:r>
      <w:r>
        <w:rPr>
          <w:bCs/>
          <w:b/>
        </w:rPr>
        <w:t xml:space="preserve"> </w:t>
      </w:r>
      <w:r>
        <w:t xml:space="preserve">Taxes. The Operator is responsible for all federal, state, and local income taxes, self-employment taxes, and any other taxes arising from the Operator’s performance of services under this Agreement. The Company will not withhold any taxes from payments made to the Operator. The Company will issue IRS Form 1099-NEC (or equivalent applicable form) to the Operator at year-end.</w:t>
      </w:r>
    </w:p>
    <w:p>
      <w:pPr>
        <w:pStyle w:val="BodyText"/>
      </w:pPr>
      <w:r>
        <w:rPr>
          <w:bCs/>
          <w:b/>
        </w:rPr>
        <w:t xml:space="preserve">3.7</w:t>
      </w:r>
      <w:r>
        <w:rPr>
          <w:bCs/>
          <w:b/>
        </w:rPr>
        <w:t xml:space="preserve"> </w:t>
      </w:r>
      <w:r>
        <w:t xml:space="preserve">No guarantee of work. The Operator acknowledges that the compensation under this Agreement is contingent on accepted and active Engagements. The Company makes no guarantee of work, minimum compensation, benefits, or continued engagement.</w:t>
      </w:r>
    </w:p>
    <w:p>
      <w:pPr>
        <w:pStyle w:val="BodyText"/>
      </w:pPr>
      <w:r>
        <w:rPr>
          <w:bCs/>
          <w:b/>
        </w:rPr>
        <w:t xml:space="preserve">3.8</w:t>
      </w:r>
      <w:r>
        <w:rPr>
          <w:bCs/>
          <w:b/>
        </w:rPr>
        <w:t xml:space="preserve"> </w:t>
      </w:r>
      <w:r>
        <w:t xml:space="preserve">Termination of an Engagement by Client — Operator compensation.</w:t>
      </w:r>
    </w:p>
    <w:p>
      <w:pPr>
        <w:numPr>
          <w:ilvl w:val="0"/>
          <w:numId w:val="1004"/>
        </w:numPr>
        <w:pStyle w:val="Compact"/>
      </w:pPr>
      <w:r>
        <w:rPr>
          <w:iCs/>
          <w:i/>
        </w:rPr>
        <w:t xml:space="preserve">Pay through last day of services.</w:t>
      </w:r>
      <w:r>
        <w:t xml:space="preserve"> </w:t>
      </w:r>
      <w:r>
        <w:t xml:space="preserve">If the Client terminates an Engagement (whether by exercising the 30-Day Engagement-Phase Replacement Right under Section 6.6, by terminating the underlying Master Services Agreement with the Company, or by mutual agreement to end the Engagement), the Operator is compensated for services performed through the last day on which the Operator provided services under the Engagement (the</w:t>
      </w:r>
      <w:r>
        <w:t xml:space="preserve"> </w:t>
      </w:r>
      <w:r>
        <w:t xml:space="preserve">“</w:t>
      </w:r>
      <w:r>
        <w:t xml:space="preserve">Last Service Date</w:t>
      </w:r>
      <w:r>
        <w:t xml:space="preserve">”</w:t>
      </w:r>
      <w:r>
        <w:t xml:space="preserve">). Compensation is calculated on a strict calendar-day proration basis using the following formula:</w:t>
      </w:r>
    </w:p>
    <w:p>
      <w:pPr>
        <w:pStyle w:val="FirstParagraph"/>
      </w:pPr>
      <w:r>
        <w:rPr>
          <w:bCs/>
          <w:b/>
        </w:rPr>
        <w:t xml:space="preserve">Termination Compensation = (Operator Monthly Fee ÷ number of calendar days in the month containing the Last Service Date) × number of calendar days in that month on which the Operator provided services under the Engagement, prorated for any prior month-portions not yet paid under the standard 15th-of-the-month cycle.</w:t>
      </w:r>
    </w:p>
    <w:p>
      <w:pPr>
        <w:numPr>
          <w:ilvl w:val="0"/>
          <w:numId w:val="1005"/>
        </w:numPr>
      </w:pPr>
      <w:r>
        <w:rPr>
          <w:iCs/>
          <w:i/>
        </w:rPr>
        <w:t xml:space="preserve">No additional severance.</w:t>
      </w:r>
      <w:r>
        <w:t xml:space="preserve"> </w:t>
      </w:r>
      <w:r>
        <w:t xml:space="preserve">Other than the prorated compensation described in subsection (a), the Operator is not entitled to any additional payment, severance, notice pay, or compensation in connection with the Client’s termination of an Engagement. The Operator’s Operator Monthly Fee for the calendar month in which the Last Service Date occurs is not paid in full unless the Operator provided services through the end of that calendar month.</w:t>
      </w:r>
    </w:p>
    <w:p>
      <w:pPr>
        <w:numPr>
          <w:ilvl w:val="0"/>
          <w:numId w:val="1005"/>
        </w:numPr>
      </w:pPr>
      <w:r>
        <w:rPr>
          <w:iCs/>
          <w:i/>
        </w:rPr>
        <w:t xml:space="preserve">Pool-priority commitment.</w:t>
      </w:r>
      <w:r>
        <w:t xml:space="preserve"> </w:t>
      </w:r>
      <w:r>
        <w:t xml:space="preserve">If the Client terminates an Engagement and the Operator is otherwise in good standing under this Agreement, the Company will prioritize the Operator in its matching queue for sixty (60) calendar days following the Last Service Date for any new Engagement for which the Operator is a fit (in the Company’s reasonable judgment) based on role, stage, industry, and availability. This pool-priority commitment is a good-faith effort by the Company; it does not guarantee any specific Engagement, minimum number of Engagements, or minimum compensation, and is not enforceable as a binding placement obligation.</w:t>
      </w:r>
    </w:p>
    <w:p>
      <w:pPr>
        <w:numPr>
          <w:ilvl w:val="0"/>
          <w:numId w:val="1005"/>
        </w:numPr>
      </w:pPr>
      <w:r>
        <w:rPr>
          <w:iCs/>
          <w:i/>
        </w:rPr>
        <w:t xml:space="preserve">Discretionary accommodation.</w:t>
      </w:r>
      <w:r>
        <w:t xml:space="preserve"> </w:t>
      </w:r>
      <w:r>
        <w:t xml:space="preserve">The Company may, at its sole discretion and on a case-by-case basis, provide additional compensation, transition support, or other accommodation to the Operator beyond what is required under this Section 3.8. Any such accommodation is not a precedent and creates no obligation for the Company in any future termination.</w:t>
      </w:r>
    </w:p>
    <w:p>
      <w:pPr>
        <w:numPr>
          <w:ilvl w:val="0"/>
          <w:numId w:val="1005"/>
        </w:numPr>
      </w:pPr>
      <w:r>
        <w:rPr>
          <w:iCs/>
          <w:i/>
        </w:rPr>
        <w:t xml:space="preserve">Payment timing.</w:t>
      </w:r>
      <w:r>
        <w:t xml:space="preserve"> </w:t>
      </w:r>
      <w:r>
        <w:t xml:space="preserve">Termination Compensation is paid on the standard 15th-of-the-month cycle for the month containing the Last Service Date.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 ATTORNEY REVIEW REQUIRED</w:t>
            </w:r>
            <w:r>
              <w:t xml:space="preserve"> </w:t>
            </w:r>
            <w:r>
              <w:t xml:space="preserve">Counsel to confirm: (1) the strict calendar-day proration formula in subsection (a) is enforceable and clear; (2) the explicit disclaimer of additional severance in subsection (b) is appropriate given the Operator’s independent-contractor status and is not at risk of being recharacterized as evidence of an employment-like relationship; (3) the pool-priority commitment in subsection (c) is appropriately scoped as good-faith effort rather than enforceable obligation; (4) discretionary accommodation language in subsection (d) does not undermine the strict proration baseline.</w:t>
            </w:r>
          </w:p>
        </w:tc>
      </w:tr>
    </w:tbl>
    <w:bookmarkEnd w:id="27"/>
    <w:bookmarkStart w:id="28" w:name="term-and-termination"/>
    <w:p>
      <w:pPr>
        <w:pStyle w:val="Heading1"/>
      </w:pPr>
      <w:r>
        <w:t xml:space="preserve">4. Term and Termination</w:t>
      </w:r>
    </w:p>
    <w:p>
      <w:pPr>
        <w:pStyle w:val="FirstParagraph"/>
      </w:pPr>
      <w:r>
        <w:rPr>
          <w:bCs/>
          <w:b/>
        </w:rPr>
        <w:t xml:space="preserve">4.1 Term.</w:t>
      </w:r>
      <w:r>
        <w:rPr>
          <w:bCs/>
          <w:b/>
        </w:rPr>
        <w:t xml:space="preserve"> </w:t>
      </w:r>
      <w:r>
        <w:t xml:space="preserve">This Agreement commences on the Effective Date and continues until terminated in accordance with this Section 4.</w:t>
      </w:r>
    </w:p>
    <w:p>
      <w:pPr>
        <w:pStyle w:val="BodyText"/>
      </w:pPr>
      <w:r>
        <w:rPr>
          <w:bCs/>
          <w:b/>
        </w:rPr>
        <w:t xml:space="preserve">4.2 Termination without cause.</w:t>
      </w:r>
      <w:r>
        <w:rPr>
          <w:bCs/>
          <w:b/>
        </w:rPr>
        <w:t xml:space="preserve"> </w:t>
      </w:r>
      <w:r>
        <w:t xml:space="preserve">Either Party may terminate this Agreement without cause by providing</w:t>
      </w:r>
      <w:r>
        <w:t xml:space="preserve"> </w:t>
      </w:r>
      <w:r>
        <w:rPr>
          <w:iCs/>
          <w:i/>
        </w:rPr>
        <w:t xml:space="preserve">[thirty (30) days’]</w:t>
      </w:r>
      <w:r>
        <w:t xml:space="preserve"> </w:t>
      </w:r>
      <w:r>
        <w:t xml:space="preserve">written notice to the other Party. Active Engagements in progress at the time of termination will continue under the applicable Statement of Work through the Engagement’s end date or until separately terminated per the SOW.</w:t>
      </w:r>
    </w:p>
    <w:p>
      <w:pPr>
        <w:pStyle w:val="BodyText"/>
      </w:pPr>
      <w:r>
        <w:rPr>
          <w:bCs/>
          <w:b/>
        </w:rPr>
        <w:t xml:space="preserve">4.3 Termination for cause.</w:t>
      </w:r>
      <w:r>
        <w:rPr>
          <w:bCs/>
          <w:b/>
        </w:rPr>
        <w:t xml:space="preserve"> </w:t>
      </w:r>
      <w:r>
        <w:t xml:space="preserve">Either Party may terminate this Agreement immediately upon written notice if the other Party (a) materially breaches this Agreement and fails to cure within</w:t>
      </w:r>
      <w:r>
        <w:t xml:space="preserve"> </w:t>
      </w:r>
      <w:r>
        <w:rPr>
          <w:iCs/>
          <w:i/>
        </w:rPr>
        <w:t xml:space="preserve">[fifteen (15) days]</w:t>
      </w:r>
      <w:r>
        <w:t xml:space="preserve"> </w:t>
      </w:r>
      <w:r>
        <w:t xml:space="preserve">after receiving written notice of the breach, (b) engages in willful misconduct, fraud, or gross negligence, or (c) becomes insolvent, files for bankruptcy, or makes an assignment for the benefit of creditors.</w:t>
      </w:r>
    </w:p>
    <w:p>
      <w:pPr>
        <w:pStyle w:val="BodyText"/>
      </w:pPr>
      <w:r>
        <w:rPr>
          <w:bCs/>
          <w:b/>
        </w:rPr>
        <w:t xml:space="preserve">4.4</w:t>
      </w:r>
      <w:r>
        <w:rPr>
          <w:bCs/>
          <w:b/>
        </w:rPr>
        <w:t xml:space="preserve"> </w:t>
      </w:r>
      <w:r>
        <w:t xml:space="preserve">Termination of individual Engagements. Termination of this Agreement does not automatically terminate active Engagements, which are governed by their respective Statements of Work. Individual Engagements may be terminated per the termination provisions in the applicable SOW.</w:t>
      </w:r>
    </w:p>
    <w:p>
      <w:pPr>
        <w:pStyle w:val="BodyText"/>
      </w:pPr>
      <w:r>
        <w:rPr>
          <w:bCs/>
          <w:b/>
        </w:rPr>
        <w:t xml:space="preserve">4.5</w:t>
      </w:r>
      <w:r>
        <w:rPr>
          <w:bCs/>
          <w:b/>
        </w:rPr>
        <w:t xml:space="preserve"> </w:t>
      </w:r>
      <w:r>
        <w:t xml:space="preserve">Effect of termination. Upon termination of this Agreement or any Engagement, the Operator will promptly: (a) complete any services in progress that the Company reasonably requests to be completed and for which payment is made, (b) deliver all Work Product and Client materials to the Company, (c) return or destroy (at the Company’s option) all Confidential Information, and (d) cease all use of Company and Client systems and access credentials.</w:t>
      </w:r>
    </w:p>
    <w:p>
      <w:pPr>
        <w:pStyle w:val="BodyText"/>
      </w:pPr>
      <w:r>
        <w:rPr>
          <w:bCs/>
          <w:b/>
        </w:rPr>
        <w:t xml:space="preserve">4.6 Survival.</w:t>
      </w:r>
      <w:r>
        <w:rPr>
          <w:bCs/>
          <w:b/>
        </w:rPr>
        <w:t xml:space="preserve"> </w:t>
      </w:r>
      <w:r>
        <w:t xml:space="preserve">The following provisions survive termination of this Agreement: Sections 7 (Confidentiality), 8 (Intellectual Property), 9 (Non-Solicitation and Non-Circumvention), 11 (Indemnification), 12 (Limitation of Liability), 16 (Matching Data), 17 (Dispute Resolution), and 18 (General Provisions), and any other provision that by its nature is intended to survive termination.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w:t>
            </w:r>
            <w:r>
              <w:t xml:space="preserve">** ATTORNEY REVIEW REQUIRED** Termination notice periods and cure periods are placeholders. Counsel should advise based on typical independent-contractor practices in the governing jurisdiction. 30 days / 15 days is a reasonable starting point but may be shortened or extended based on specific considerations. Note that for Client-facing Engagements mid-project, longer notice may be operationally essential to protect Client relationships.</w:t>
            </w:r>
          </w:p>
        </w:tc>
      </w:tr>
    </w:tbl>
    <w:bookmarkEnd w:id="28"/>
    <w:bookmarkStart w:id="29" w:name="independent-contractor-status"/>
    <w:p>
      <w:pPr>
        <w:pStyle w:val="Heading1"/>
      </w:pPr>
      <w:r>
        <w:t xml:space="preserve">5. Independent Contractor Status</w:t>
      </w:r>
    </w:p>
    <w:p>
      <w:pPr>
        <w:pStyle w:val="FirstParagraph"/>
      </w:pPr>
      <w:r>
        <w:rPr>
          <w:bCs/>
          <w:b/>
        </w:rPr>
        <w:t xml:space="preserve">5.1</w:t>
      </w:r>
      <w:r>
        <w:rPr>
          <w:bCs/>
          <w:b/>
        </w:rPr>
        <w:t xml:space="preserve"> </w:t>
      </w:r>
      <w:r>
        <w:t xml:space="preserve">Relationship. The Operator is an independent contractor, not an employee, agent, partner, or joint venturer of the Company. Nothing in this Agreement creates an employment relationship between the Parties. The Operator has no authority to bind the Company except as expressly set forth in this Agreement or a Statement of Work.</w:t>
      </w:r>
    </w:p>
    <w:p>
      <w:pPr>
        <w:pStyle w:val="BodyText"/>
      </w:pPr>
      <w:r>
        <w:rPr>
          <w:bCs/>
          <w:b/>
        </w:rPr>
        <w:t xml:space="preserve">5.2</w:t>
      </w:r>
      <w:r>
        <w:rPr>
          <w:bCs/>
          <w:b/>
        </w:rPr>
        <w:t xml:space="preserve"> </w:t>
      </w:r>
      <w:r>
        <w:t xml:space="preserve">No employee benefits. The Operator is not entitled to, and will not receive, any benefits provided by the Company to its employees, including but not limited to health insurance, retirement benefits, paid time off, workers’ compensation coverage (to the extent not required by law), or unemployment benefits.</w:t>
      </w:r>
    </w:p>
    <w:p>
      <w:pPr>
        <w:pStyle w:val="BodyText"/>
      </w:pPr>
      <w:r>
        <w:rPr>
          <w:bCs/>
          <w:b/>
        </w:rPr>
        <w:t xml:space="preserve">5.3</w:t>
      </w:r>
      <w:r>
        <w:rPr>
          <w:bCs/>
          <w:b/>
        </w:rPr>
        <w:t xml:space="preserve"> </w:t>
      </w:r>
      <w:r>
        <w:t xml:space="preserve">Operator’s business. The Operator operates an independent business. The Operator is free to provide services to other clients and engage in other business activities, subject only to the restrictions in Sections 7 (Confidentiality) and 9 (Non-Solicitation and Non-Circumvention). The Operator represents and warrants that the Operator has the right, ability, and intention to operate independently.</w:t>
      </w:r>
    </w:p>
    <w:p>
      <w:pPr>
        <w:pStyle w:val="BodyText"/>
      </w:pPr>
      <w:r>
        <w:rPr>
          <w:bCs/>
          <w:b/>
        </w:rPr>
        <w:t xml:space="preserve">5.4</w:t>
      </w:r>
      <w:r>
        <w:rPr>
          <w:bCs/>
          <w:b/>
        </w:rPr>
        <w:t xml:space="preserve"> </w:t>
      </w:r>
      <w:r>
        <w:t xml:space="preserve">Operator’s tools and resources. The Operator will provide the Operator’s own equipment, software licenses, and workspace for performing services under this Agreement, except for Company- or Client-specific systems to which the Operator is granted access for a specific Engagement.</w:t>
      </w:r>
    </w:p>
    <w:p>
      <w:pPr>
        <w:pStyle w:val="BodyText"/>
      </w:pPr>
      <w:r>
        <w:rPr>
          <w:bCs/>
          <w:b/>
        </w:rPr>
        <w:t xml:space="preserve">5.5</w:t>
      </w:r>
      <w:r>
        <w:rPr>
          <w:bCs/>
          <w:b/>
        </w:rPr>
        <w:t xml:space="preserve"> </w:t>
      </w:r>
      <w:r>
        <w:t xml:space="preserve">No tax withholding. Consistent with the Operator’s independent-contractor status, the Company will not withhold any amounts for federal, state, or local income taxes, Social Security, Medicare, or other employment-related taxes. The Operator is responsible for all such taxes.</w:t>
      </w:r>
    </w:p>
    <w:p>
      <w:pPr>
        <w:pStyle w:val="BodyText"/>
      </w:pPr>
      <w:r>
        <w:rPr>
          <w:bCs/>
          <w:b/>
        </w:rPr>
        <w:t xml:space="preserve">5.6</w:t>
      </w:r>
      <w:r>
        <w:rPr>
          <w:bCs/>
          <w:b/>
        </w:rPr>
        <w:t xml:space="preserve"> </w:t>
      </w:r>
      <w:r>
        <w:t xml:space="preserve">No claim of employment. The Operator acknowledges that the Operator is not entitled to bring any claim against the Company based on theories of employment, misclassification, or employment-related benefits. The Operator agrees not to represent themselves as an employee of the Company to Clients, to taxing authorities, or to the public.</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w:t>
            </w:r>
            <w:r>
              <w:t xml:space="preserve">** ATTORNEY REVIEW REQUIRED** Section 5 is the foundational independent-contractor-status provision. Counsel to confirm it adequately addresses the current DOL Final Rule (effective March 2024) and any applicable state tests (California AB5, Massachusetts ABC test, etc.). Counsel should also advise whether Sections 2.6, 5.3, and 5.4 collectively satisfy the key factors in the economic-reality test. If the Company’s operator base will include California residents, additional California-specific provisions and risk analysis are required.</w:t>
            </w:r>
          </w:p>
        </w:tc>
      </w:tr>
    </w:tbl>
    <w:bookmarkEnd w:id="29"/>
    <w:bookmarkStart w:id="30" w:name="X999afee569f473c28ed511be5001b816157170d"/>
    <w:p>
      <w:pPr>
        <w:pStyle w:val="Heading1"/>
      </w:pPr>
      <w:r>
        <w:t xml:space="preserve">6. Client Relationships and Service Delivery</w:t>
      </w:r>
    </w:p>
    <w:p>
      <w:pPr>
        <w:pStyle w:val="FirstParagraph"/>
      </w:pPr>
      <w:r>
        <w:rPr>
          <w:bCs/>
          <w:b/>
        </w:rPr>
        <w:t xml:space="preserve">6.1</w:t>
      </w:r>
      <w:r>
        <w:rPr>
          <w:bCs/>
          <w:b/>
        </w:rPr>
        <w:t xml:space="preserve"> </w:t>
      </w:r>
      <w:r>
        <w:t xml:space="preserve">Contracting party. For each Engagement, the Company is the Client’s contracting party. The Operator provides services to the Client on the Company’s behalf pursuant to the Company’s agreement with the Client and this Agreement.</w:t>
      </w:r>
    </w:p>
    <w:p>
      <w:pPr>
        <w:pStyle w:val="BodyText"/>
      </w:pPr>
      <w:r>
        <w:rPr>
          <w:bCs/>
          <w:b/>
        </w:rPr>
        <w:t xml:space="preserve">6.2</w:t>
      </w:r>
      <w:r>
        <w:rPr>
          <w:bCs/>
          <w:b/>
        </w:rPr>
        <w:t xml:space="preserve"> </w:t>
      </w:r>
      <w:r>
        <w:t xml:space="preserve">Operator representation. The Operator is introduced to and presented to the Client as a senior fractional executive in the Company’s operator pool. The Operator will conduct themselves professionally in all Client interactions and will not take any action that reasonably could damage the Company’s reputation or relationships.</w:t>
      </w:r>
    </w:p>
    <w:p>
      <w:pPr>
        <w:pStyle w:val="BodyText"/>
      </w:pPr>
      <w:r>
        <w:rPr>
          <w:bCs/>
          <w:b/>
        </w:rPr>
        <w:t xml:space="preserve">6.3</w:t>
      </w:r>
      <w:r>
        <w:rPr>
          <w:bCs/>
          <w:b/>
        </w:rPr>
        <w:t xml:space="preserve"> </w:t>
      </w:r>
      <w:r>
        <w:t xml:space="preserve">No direct contracts during Engagement. During the term of any Engagement, the Operator will not enter into any direct contractual, compensation, or service relationship with the Client or any affiliate of the Client with respect to services that could reasonably be provided under this Agreement, except with the prior written consent of the Company.</w:t>
      </w:r>
    </w:p>
    <w:p>
      <w:pPr>
        <w:pStyle w:val="BodyText"/>
      </w:pPr>
      <w:r>
        <w:rPr>
          <w:bCs/>
          <w:b/>
        </w:rPr>
        <w:t xml:space="preserve">6.4</w:t>
      </w:r>
      <w:r>
        <w:rPr>
          <w:bCs/>
          <w:b/>
        </w:rPr>
        <w:t xml:space="preserve"> </w:t>
      </w:r>
      <w:r>
        <w:t xml:space="preserve">Client-specific obligations. Each Engagement may include additional Client-specific obligations (for example, Client confidentiality requirements, access terms, or deliverable specifications). These obligations will be set forth in the Statement of Work and will flow through to the Operator’s obligations under that Engagement.</w:t>
      </w:r>
    </w:p>
    <w:p>
      <w:pPr>
        <w:pStyle w:val="BodyText"/>
      </w:pPr>
      <w:r>
        <w:rPr>
          <w:bCs/>
          <w:b/>
        </w:rPr>
        <w:t xml:space="preserve">6.5</w:t>
      </w:r>
      <w:r>
        <w:rPr>
          <w:bCs/>
          <w:b/>
        </w:rPr>
        <w:t xml:space="preserve"> </w:t>
      </w:r>
      <w:r>
        <w:t xml:space="preserve">Client feedback and pulse checks. The Operator acknowledges that the Company will conduct periodic feedback checks with the Client during and after Engagements (including Day 14, Day 45, and Day 75 pulse checks, as well as NPS surveys and end-of-engagement reviews). The Operator agrees to cooperate with these processes, including participating in debrief conversations as reasonably requested by the Company.</w:t>
      </w:r>
    </w:p>
    <w:p>
      <w:pPr>
        <w:pStyle w:val="BodyText"/>
      </w:pPr>
      <w:r>
        <w:rPr>
          <w:bCs/>
          <w:b/>
        </w:rPr>
        <w:t xml:space="preserve">6.6</w:t>
      </w:r>
      <w:r>
        <w:rPr>
          <w:bCs/>
          <w:b/>
        </w:rPr>
        <w:t xml:space="preserve"> </w:t>
      </w:r>
      <w:r>
        <w:t xml:space="preserve">30-Day Engagement-Phase Replacement Right. The Operator acknowledges that the Company offers Clients a 30-Day Engagement-Phase Replacement Right under the Master Services Agreement between the Company and the Client (currently MSA §13.1). If, within the first thirty (30) days of an Engagement, the Client determines that the placed Operator is not a fit and notifies the Company in writing, the Company will replace the Operator at no additional charge to the Client. In the event the Operator is replaced under this provision: (a) the Operator returns to the Company’s available operator pool with no penalty and remains eligible for future Engagements; (b) the Operator is compensated in accordance with Section 3.8 (Termination of an Engagement by Client — Operator compensation), including the strict calendar-day proration baseline and the pool-priority commitment; and (c) no breach of this Agreement is implied by the Client’s exercise of the replacement right, absent independent evidence of misconduct or material breach by the Operator. The replacement right is a Client-facing protection administered by the Company, not a performance or termination action against the Operator.</w:t>
      </w:r>
    </w:p>
    <w:bookmarkEnd w:id="30"/>
    <w:bookmarkStart w:id="31" w:name="confidentiality"/>
    <w:p>
      <w:pPr>
        <w:pStyle w:val="Heading1"/>
      </w:pPr>
      <w:r>
        <w:t xml:space="preserve">7. Confidentiality</w:t>
      </w:r>
    </w:p>
    <w:p>
      <w:pPr>
        <w:pStyle w:val="FirstParagraph"/>
      </w:pPr>
      <w:r>
        <w:rPr>
          <w:bCs/>
          <w:b/>
        </w:rPr>
        <w:t xml:space="preserve">7.1</w:t>
      </w:r>
      <w:r>
        <w:rPr>
          <w:bCs/>
          <w:b/>
        </w:rPr>
        <w:t xml:space="preserve"> </w:t>
      </w:r>
      <w:r>
        <w:t xml:space="preserve">Confidentiality obligations. Each Party will hold in confidence all Confidential Information of the other Party and will not disclose or use any Confidential Information except as necessary to perform this Agreement or any Statement of Work.</w:t>
      </w:r>
    </w:p>
    <w:p>
      <w:pPr>
        <w:pStyle w:val="BodyText"/>
      </w:pPr>
      <w:r>
        <w:rPr>
          <w:bCs/>
          <w:b/>
        </w:rPr>
        <w:t xml:space="preserve">7.2</w:t>
      </w:r>
      <w:r>
        <w:rPr>
          <w:bCs/>
          <w:b/>
        </w:rPr>
        <w:t xml:space="preserve"> </w:t>
      </w:r>
      <w:r>
        <w:t xml:space="preserve">Client confidentiality. The Operator specifically agrees to maintain the confidentiality of all Client information, including but not limited to Client financial data, strategic plans, customer information, trade secrets, personnel matters, and any information marked or reasonably understood to be confidential. This obligation applies during the Engagement and survives its termination. The Operator’s obligation to a specific Client may be further detailed in the applicable Statement of Work or a separate Client-specific confidentiality addendum.</w:t>
      </w:r>
    </w:p>
    <w:p>
      <w:pPr>
        <w:pStyle w:val="BodyText"/>
      </w:pPr>
      <w:r>
        <w:rPr>
          <w:bCs/>
          <w:b/>
        </w:rPr>
        <w:t xml:space="preserve">7.3</w:t>
      </w:r>
      <w:r>
        <w:rPr>
          <w:bCs/>
          <w:b/>
        </w:rPr>
        <w:t xml:space="preserve"> </w:t>
      </w:r>
      <w:r>
        <w:t xml:space="preserve">Exclusions. Confidentiality obligations do not apply to information that: (a) was lawfully known to the receiving Party without restriction before disclosure; (b) is or becomes publicly available through no breach by the receiving Party; (c) is independently developed by the receiving Party without reference to the disclosing Party’s Confidential Information; or (d) is required to be disclosed by law or legal process, provided the receiving Party gives the disclosing Party prompt notice and reasonable cooperation in seeking a protective order.</w:t>
      </w:r>
    </w:p>
    <w:p>
      <w:pPr>
        <w:pStyle w:val="BodyText"/>
      </w:pPr>
      <w:r>
        <w:rPr>
          <w:bCs/>
          <w:b/>
        </w:rPr>
        <w:t xml:space="preserve">7.4</w:t>
      </w:r>
      <w:r>
        <w:rPr>
          <w:bCs/>
          <w:b/>
        </w:rPr>
        <w:t xml:space="preserve"> </w:t>
      </w:r>
      <w:r>
        <w:t xml:space="preserve">Duration. The Parties’ confidentiality obligations survive termination of this Agreement for a period of five (5) years, except that the obligation to maintain the confidentiality of trade secrets continues for as long as the trade secret retains its trade secret status under applicable law.</w:t>
      </w:r>
    </w:p>
    <w:p>
      <w:pPr>
        <w:pStyle w:val="BodyText"/>
      </w:pPr>
      <w:r>
        <w:rPr>
          <w:bCs/>
          <w:b/>
        </w:rPr>
        <w:t xml:space="preserve">7.5</w:t>
      </w:r>
      <w:r>
        <w:rPr>
          <w:bCs/>
          <w:b/>
        </w:rPr>
        <w:t xml:space="preserve"> </w:t>
      </w:r>
      <w:r>
        <w:t xml:space="preserve">Return of Confidential Information. Upon termination of this Agreement or any Engagement, or upon request of the disclosing Party, the receiving Party will promptly return or destroy all Confidential Information in its possession (at the disclosing Party’s option) and certify such return or destruction in writing if requested.</w:t>
      </w:r>
    </w:p>
    <w:bookmarkEnd w:id="31"/>
    <w:bookmarkStart w:id="32" w:name="intellectual-property"/>
    <w:p>
      <w:pPr>
        <w:pStyle w:val="Heading1"/>
      </w:pPr>
      <w:r>
        <w:t xml:space="preserve">8. Intellectual Property</w:t>
      </w:r>
    </w:p>
    <w:p>
      <w:pPr>
        <w:pStyle w:val="FirstParagraph"/>
      </w:pPr>
      <w:r>
        <w:rPr>
          <w:bCs/>
          <w:b/>
        </w:rPr>
        <w:t xml:space="preserve">8.1 Work Product ownership.</w:t>
      </w:r>
      <w:r>
        <w:rPr>
          <w:bCs/>
          <w:b/>
        </w:rPr>
        <w:t xml:space="preserve"> </w:t>
      </w:r>
      <w:r>
        <w:t xml:space="preserve">Unless otherwise specified in the applicable Statement of Work, Work Product created by the Operator specifically for a Client under an Engagement is owned by the Client upon delivery and payment.</w:t>
      </w:r>
    </w:p>
    <w:p>
      <w:pPr>
        <w:pStyle w:val="BodyText"/>
      </w:pPr>
      <w:r>
        <w:rPr>
          <w:bCs/>
          <w:b/>
        </w:rPr>
        <w:t xml:space="preserve">8.2</w:t>
      </w:r>
      <w:r>
        <w:rPr>
          <w:bCs/>
          <w:b/>
        </w:rPr>
        <w:t xml:space="preserve"> </w:t>
      </w:r>
      <w:r>
        <w:t xml:space="preserve">Operator’s pre-existing IP. The Operator retains ownership of any pre-existing intellectual property (including frameworks, methodologies, templates, and analytical tools) that the Operator developed before or independently of any Engagement. The Operator grants the Client a perpetual, royalty-free, non-exclusive license to use such pre-existing IP to the extent it is incorporated into Work Product, solely for the Client’s internal business purposes.</w:t>
      </w:r>
    </w:p>
    <w:p>
      <w:pPr>
        <w:pStyle w:val="BodyText"/>
      </w:pPr>
      <w:r>
        <w:rPr>
          <w:bCs/>
          <w:b/>
        </w:rPr>
        <w:t xml:space="preserve">8.3 License to the Company for matching-data purposes.</w:t>
      </w:r>
      <w:r>
        <w:rPr>
          <w:bCs/>
          <w:b/>
        </w:rPr>
        <w:t xml:space="preserve"> </w:t>
      </w:r>
      <w:r>
        <w:t xml:space="preserve">The Operator grants the Company a perpetual, royalty-free, worldwide, non-exclusive license to use, store, analyze, and derive insights from (a) anonymized and aggregated information about Engagements (including performance outcomes, Client feedback, hours worked, milestones, and NPS scores), and (b) de-identified methodological approaches used by the Operator across Engagements, solely for the purpose of improving the Company’s matching processes, operator pool development, and service delivery. This license does not extend to specific Client Work Product or Confidential Information.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w:t>
            </w:r>
            <w:r>
              <w:t xml:space="preserve">** ATTORNEY REVIEW REQUIRED** Section 8.3 is critical to the Company’s matching-data moat as described in the Master Business Plan and Matching Workflow. Counsel should: (1) confirm this license is sufficient to support the intended use, (2) advise on whether operator consent needs to be more specific or granular, (3) consider whether any Client-side consent is separately required for anonymized Engagement data, and (4) ensure the language is consistent with the Company’s privacy policy.</w:t>
            </w:r>
          </w:p>
        </w:tc>
      </w:tr>
    </w:tbl>
    <w:p>
      <w:pPr>
        <w:pStyle w:val="BodyText"/>
      </w:pPr>
      <w:r>
        <w:rPr>
          <w:bCs/>
          <w:b/>
        </w:rPr>
        <w:t xml:space="preserve">8.4</w:t>
      </w:r>
      <w:r>
        <w:rPr>
          <w:bCs/>
          <w:b/>
        </w:rPr>
        <w:t xml:space="preserve"> </w:t>
      </w:r>
      <w:r>
        <w:t xml:space="preserve">Operator’s right to portfolio references. The Operator may reference participation in an Engagement (e.g.,</w:t>
      </w:r>
      <w:r>
        <w:t xml:space="preserve"> </w:t>
      </w:r>
      <w:r>
        <w:t xml:space="preserve">‘</w:t>
      </w:r>
      <w:r>
        <w:t xml:space="preserve">fractional CFO at a Series A SaaS company</w:t>
      </w:r>
      <w:r>
        <w:t xml:space="preserve">’</w:t>
      </w:r>
      <w:r>
        <w:t xml:space="preserve">) in the Operator’s professional profile, provided the Operator does not disclose Client-identifying information or Confidential Information without the Client’s prior written consent.</w:t>
      </w:r>
    </w:p>
    <w:p>
      <w:pPr>
        <w:pStyle w:val="BodyText"/>
      </w:pPr>
      <w:r>
        <w:rPr>
          <w:bCs/>
          <w:b/>
        </w:rPr>
        <w:t xml:space="preserve">8.5</w:t>
      </w:r>
      <w:r>
        <w:rPr>
          <w:bCs/>
          <w:b/>
        </w:rPr>
        <w:t xml:space="preserve"> </w:t>
      </w:r>
      <w:r>
        <w:t xml:space="preserve">Moral rights. To the extent applicable and permitted by law, the Operator waives any moral rights in Work Product delivered to the Client.</w:t>
      </w:r>
    </w:p>
    <w:bookmarkEnd w:id="32"/>
    <w:bookmarkStart w:id="33" w:name="non-solicitation-and-non-circumvention"/>
    <w:p>
      <w:pPr>
        <w:pStyle w:val="Heading1"/>
      </w:pPr>
      <w:r>
        <w:t xml:space="preserve">9. Non-Solicitation and Non-Circumvention</w:t>
      </w:r>
    </w:p>
    <w:p>
      <w:pPr>
        <w:pStyle w:val="FirstParagraph"/>
      </w:pPr>
      <w:r>
        <w:rPr>
          <w:bCs/>
          <w:b/>
        </w:rPr>
        <w:t xml:space="preserve">9.1 Non-circumvention of Clients.</w:t>
      </w:r>
      <w:r>
        <w:rPr>
          <w:bCs/>
          <w:b/>
        </w:rPr>
        <w:t xml:space="preserve"> </w:t>
      </w:r>
      <w:r>
        <w:t xml:space="preserve">During each Engagement and for a period of</w:t>
      </w:r>
      <w:r>
        <w:t xml:space="preserve"> </w:t>
      </w:r>
      <w:r>
        <w:rPr>
          <w:iCs/>
          <w:i/>
        </w:rPr>
        <w:t xml:space="preserve">[twelve (12) months]</w:t>
      </w:r>
      <w:r>
        <w:t xml:space="preserve"> </w:t>
      </w:r>
      <w:r>
        <w:t xml:space="preserve">after the Engagement ends, the Operator will not, directly or indirectly, enter into any contractual, compensation, or service relationship with the applicable Client (or any affiliate of the Client) for services that could reasonably have been provided through the Company, except with the Company’s prior written consent.</w:t>
      </w:r>
    </w:p>
    <w:p>
      <w:pPr>
        <w:pStyle w:val="BodyText"/>
      </w:pPr>
      <w:r>
        <w:rPr>
          <w:bCs/>
          <w:b/>
        </w:rPr>
        <w:t xml:space="preserve">9.2</w:t>
      </w:r>
      <w:r>
        <w:rPr>
          <w:bCs/>
          <w:b/>
        </w:rPr>
        <w:t xml:space="preserve"> </w:t>
      </w:r>
      <w:r>
        <w:t xml:space="preserve">Client approach to Operator. If a Client (or any affiliate of a Client) approaches the Operator during the restricted period described in Section 9.1 with a direct engagement opportunity, the Operator will promptly notify the Company and will either (a) decline the direct engagement, or (b) refer the Client back to the Company to structure the engagement through the Company’s standard process.</w:t>
      </w:r>
    </w:p>
    <w:p>
      <w:pPr>
        <w:pStyle w:val="BodyText"/>
      </w:pPr>
      <w:r>
        <w:rPr>
          <w:bCs/>
          <w:b/>
        </w:rPr>
        <w:t xml:space="preserve">9.3 Non-solicitation of other operators.</w:t>
      </w:r>
      <w:r>
        <w:rPr>
          <w:bCs/>
          <w:b/>
        </w:rPr>
        <w:t xml:space="preserve"> </w:t>
      </w:r>
      <w:r>
        <w:t xml:space="preserve">During this Agreement and for a period of</w:t>
      </w:r>
      <w:r>
        <w:t xml:space="preserve"> </w:t>
      </w:r>
      <w:r>
        <w:rPr>
          <w:iCs/>
          <w:i/>
        </w:rPr>
        <w:t xml:space="preserve">[twelve (12) months]</w:t>
      </w:r>
      <w:r>
        <w:t xml:space="preserve"> </w:t>
      </w:r>
      <w:r>
        <w:t xml:space="preserve">after termination, the Operator will not directly solicit other operators in the Company’s pool to (a) leave the Company’s pool, (b) join a competing fractional placement firm, or (c) provide services that bypass the Company’s standard structure. Nothing in this provision prohibits general professional networking, public job postings, or responses to general inquiries not specifically directed at the Company’s operators.</w:t>
      </w:r>
    </w:p>
    <w:p>
      <w:pPr>
        <w:pStyle w:val="BodyText"/>
      </w:pPr>
      <w:r>
        <w:rPr>
          <w:bCs/>
          <w:b/>
        </w:rPr>
        <w:t xml:space="preserve">9.4</w:t>
      </w:r>
      <w:r>
        <w:rPr>
          <w:bCs/>
          <w:b/>
        </w:rPr>
        <w:t xml:space="preserve"> </w:t>
      </w:r>
      <w:r>
        <w:t xml:space="preserve">Non-solicitation of Company employees. The Operator will not solicit any employee of the Company to leave the Company for employment or engagement elsewhere during this Agreement and for a period of twelve (12) months after termination.</w:t>
      </w:r>
    </w:p>
    <w:p>
      <w:pPr>
        <w:pStyle w:val="BodyText"/>
      </w:pPr>
      <w:r>
        <w:rPr>
          <w:bCs/>
          <w:b/>
        </w:rPr>
        <w:t xml:space="preserve">9.5</w:t>
      </w:r>
      <w:r>
        <w:rPr>
          <w:bCs/>
          <w:b/>
        </w:rPr>
        <w:t xml:space="preserve"> </w:t>
      </w:r>
      <w:r>
        <w:t xml:space="preserve">Reasonableness. The Operator acknowledges that the restrictions in this Section 9 are reasonable in scope, duration, and geographic reach, and are necessary to protect the Company’s legitimate business interests (including its investment in operator recruitment, assessment, and Client relationships). The Parties agree that any breach of this Section 9 would cause irreparable harm to the Company for which monetary damages alone would be inadequate, and the Company is entitled to seek injunctive relief in addition to other available remedies.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w:t>
            </w:r>
            <w:r>
              <w:t xml:space="preserve">** ATTORNEY REVIEW REQUIRED** Non-solicit and non-circumvention provisions are heavily state-regulated. Counsel must confirm enforceability in: (1) the governing-law jurisdiction, (2) each state where an operator may reside or work. Specific issues to address: California non-solicit limitations (generally unenforceable), Massachusetts and Washington restrictions on non-compete-like provisions for independent contractors, recent FTC rulemaking on non-competes (status and applicability uncertain as of this draft). Duration of 12 months is a starting point and may need to be shortened. The Operating Agreement between Kevin and Chris uses a 12-month lookback for prospective clients, so there’s internal consistency, but the ICA is a different instrument with different enforceability considerations.</w:t>
            </w:r>
          </w:p>
        </w:tc>
      </w:tr>
    </w:tbl>
    <w:bookmarkEnd w:id="33"/>
    <w:bookmarkStart w:id="34" w:name="representations-and-warranties"/>
    <w:p>
      <w:pPr>
        <w:pStyle w:val="Heading1"/>
      </w:pPr>
      <w:r>
        <w:t xml:space="preserve">10. Representations and Warranties</w:t>
      </w:r>
    </w:p>
    <w:p>
      <w:pPr>
        <w:pStyle w:val="FirstParagraph"/>
      </w:pPr>
      <w:r>
        <w:t xml:space="preserve">Each Party represents and warrants to the other Party that:</w:t>
      </w:r>
    </w:p>
    <w:p>
      <w:pPr>
        <w:pStyle w:val="BodyText"/>
      </w:pPr>
      <w:r>
        <w:rPr>
          <w:bCs/>
          <w:b/>
        </w:rPr>
        <w:t xml:space="preserve">10.1</w:t>
      </w:r>
      <w:r>
        <w:rPr>
          <w:bCs/>
          <w:b/>
        </w:rPr>
        <w:t xml:space="preserve"> </w:t>
      </w:r>
      <w:r>
        <w:t xml:space="preserve">Authority. The Party has the full right, power, and authority to enter into this Agreement and to perform its obligations hereunder.</w:t>
      </w:r>
    </w:p>
    <w:p>
      <w:pPr>
        <w:pStyle w:val="BodyText"/>
      </w:pPr>
      <w:r>
        <w:rPr>
          <w:bCs/>
          <w:b/>
        </w:rPr>
        <w:t xml:space="preserve">10.2</w:t>
      </w:r>
      <w:r>
        <w:rPr>
          <w:bCs/>
          <w:b/>
        </w:rPr>
        <w:t xml:space="preserve"> </w:t>
      </w:r>
      <w:r>
        <w:t xml:space="preserve">No conflict. The Party’s execution and performance of this Agreement does not and will not conflict with, or result in a breach of, any other agreement, obligation, or legal requirement to which it is subject.</w:t>
      </w:r>
    </w:p>
    <w:p>
      <w:pPr>
        <w:pStyle w:val="BodyText"/>
      </w:pPr>
      <w:r>
        <w:rPr>
          <w:bCs/>
          <w:b/>
        </w:rPr>
        <w:t xml:space="preserve">10.3</w:t>
      </w:r>
      <w:r>
        <w:rPr>
          <w:bCs/>
          <w:b/>
        </w:rPr>
        <w:t xml:space="preserve"> </w:t>
      </w:r>
      <w:r>
        <w:t xml:space="preserve">Compliance with law. The Party will perform its obligations under this Agreement in compliance with all applicable federal, state, and local laws, regulations, and professional standards.</w:t>
      </w:r>
    </w:p>
    <w:p>
      <w:pPr>
        <w:pStyle w:val="BodyText"/>
      </w:pPr>
      <w:r>
        <w:rPr>
          <w:bCs/>
          <w:b/>
        </w:rPr>
        <w:t xml:space="preserve">The Operator additionally represents and warrants to the Company that:</w:t>
      </w:r>
    </w:p>
    <w:p>
      <w:pPr>
        <w:pStyle w:val="BodyText"/>
      </w:pPr>
      <w:r>
        <w:rPr>
          <w:bCs/>
          <w:b/>
        </w:rPr>
        <w:t xml:space="preserve">10.4</w:t>
      </w:r>
      <w:r>
        <w:rPr>
          <w:bCs/>
          <w:b/>
        </w:rPr>
        <w:t xml:space="preserve"> </w:t>
      </w:r>
      <w:r>
        <w:t xml:space="preserve">Professional qualifications. The Operator has the skills, experience, credentials, and professional qualifications necessary to perform the services contemplated under this Agreement and under each Statement of Work. The Operator has disclosed to the Company all material facts about the Operator’s background, including any professional licensing, disciplinary, or regulatory history, that would be reasonably relevant to the Operator’s engagement.</w:t>
      </w:r>
    </w:p>
    <w:p>
      <w:pPr>
        <w:pStyle w:val="BodyText"/>
      </w:pPr>
      <w:r>
        <w:rPr>
          <w:bCs/>
          <w:b/>
        </w:rPr>
        <w:t xml:space="preserve">10.5 Background check consent.</w:t>
      </w:r>
      <w:r>
        <w:rPr>
          <w:bCs/>
          <w:b/>
        </w:rPr>
        <w:t xml:space="preserve"> </w:t>
      </w:r>
      <w:r>
        <w:t xml:space="preserve">The Operator has completed a background check through the Company’s designated third-party provider (currently</w:t>
      </w:r>
      <w:r>
        <w:t xml:space="preserve"> </w:t>
      </w:r>
      <w:r>
        <w:rPr>
          <w:iCs/>
          <w:i/>
        </w:rPr>
        <w:t xml:space="preserve">[Checkr / GoodHire]</w:t>
      </w:r>
      <w:r>
        <w:t xml:space="preserve">) and has provided the consent required by the Fair Credit Reporting Act and applicable state laws, as set forth in Exhibit D.</w:t>
      </w:r>
    </w:p>
    <w:p>
      <w:pPr>
        <w:pStyle w:val="BodyText"/>
      </w:pPr>
      <w:r>
        <w:rPr>
          <w:bCs/>
          <w:b/>
        </w:rPr>
        <w:t xml:space="preserve">10.6</w:t>
      </w:r>
      <w:r>
        <w:rPr>
          <w:bCs/>
          <w:b/>
        </w:rPr>
        <w:t xml:space="preserve"> </w:t>
      </w:r>
      <w:r>
        <w:t xml:space="preserve">Assessment process. The Operator has participated in and completed the Company’s assessment process, including simulation, artifact review, reference checks, and human validation, and the Company has elected to admit the Operator to its operator pool. The Operator acknowledges that the Company may revise its assessment of the Operator’s fit for particular Engagements based on subsequent performance, Client feedback, and Engagement outcomes.</w:t>
      </w:r>
    </w:p>
    <w:p>
      <w:pPr>
        <w:pStyle w:val="BodyText"/>
      </w:pPr>
      <w:r>
        <w:rPr>
          <w:bCs/>
          <w:b/>
        </w:rPr>
        <w:t xml:space="preserve">10.7</w:t>
      </w:r>
      <w:r>
        <w:rPr>
          <w:bCs/>
          <w:b/>
        </w:rPr>
        <w:t xml:space="preserve"> </w:t>
      </w:r>
      <w:r>
        <w:t xml:space="preserve">Independent-contractor status. The Operator has the ability, intent, and practical capability to operate as an independent contractor, including (where applicable) operating under an LLC or other business entity, maintaining the Operator’s own professional tools and workspace, and bearing the financial risks and rewards of independent business operation.</w:t>
      </w:r>
    </w:p>
    <w:p>
      <w:pPr>
        <w:pStyle w:val="BodyText"/>
      </w:pPr>
      <w:r>
        <w:rPr>
          <w:bCs/>
          <w:b/>
        </w:rPr>
        <w:t xml:space="preserve">10.8</w:t>
      </w:r>
      <w:r>
        <w:rPr>
          <w:bCs/>
          <w:b/>
        </w:rPr>
        <w:t xml:space="preserve"> </w:t>
      </w:r>
      <w:r>
        <w:t xml:space="preserve">Non-conflicting engagements. The Operator does not have, and will not enter into, any obligation to another entity that materially conflicts with the Operator’s obligations under this Agreement or any Statement of Work.</w:t>
      </w:r>
    </w:p>
    <w:bookmarkEnd w:id="34"/>
    <w:bookmarkStart w:id="35" w:name="indemnification"/>
    <w:p>
      <w:pPr>
        <w:pStyle w:val="Heading1"/>
      </w:pPr>
      <w:r>
        <w:t xml:space="preserve">11. Indemnification</w:t>
      </w:r>
    </w:p>
    <w:p>
      <w:pPr>
        <w:pStyle w:val="FirstParagraph"/>
      </w:pPr>
      <w:r>
        <w:rPr>
          <w:bCs/>
          <w:b/>
        </w:rPr>
        <w:t xml:space="preserve">11.1 By the Operator.</w:t>
      </w:r>
      <w:r>
        <w:rPr>
          <w:bCs/>
          <w:b/>
        </w:rPr>
        <w:t xml:space="preserve"> </w:t>
      </w:r>
      <w:r>
        <w:t xml:space="preserve">The Operator will defend, indemnify, and hold harmless the Company and its officers, directors, members, employees, and agents from and against any and all third-party claims, damages, losses, costs, and expenses (including reasonable attorneys’ fees) arising out of or related to: (a) the Operator’s material breach of this Agreement or any Statement of Work; (b) the Operator’s willful misconduct, fraud, or gross negligence; (c) any breach of the Operator’s representations and warranties in Section 10; or (d) any claim that the Operator’s services or Work Product infringes or misappropriates the intellectual property rights of a third party, except to the extent such claim arises from materials provided by the Client or the Company.</w:t>
      </w:r>
    </w:p>
    <w:p>
      <w:pPr>
        <w:pStyle w:val="BodyText"/>
      </w:pPr>
      <w:r>
        <w:rPr>
          <w:bCs/>
          <w:b/>
        </w:rPr>
        <w:t xml:space="preserve">11.2 By the Company.</w:t>
      </w:r>
      <w:r>
        <w:rPr>
          <w:bCs/>
          <w:b/>
        </w:rPr>
        <w:t xml:space="preserve"> </w:t>
      </w:r>
      <w:r>
        <w:t xml:space="preserve">The Company will defend, indemnify, and hold harmless the Operator from and against any third-party claims arising out of the Company’s material breach of this Agreement, the Company’s willful misconduct or gross negligence, or claims that the Company’s business model, brand, or presentation of the Operator to Clients infringes third-party rights.</w:t>
      </w:r>
    </w:p>
    <w:p>
      <w:pPr>
        <w:pStyle w:val="BodyText"/>
      </w:pPr>
      <w:r>
        <w:rPr>
          <w:bCs/>
          <w:b/>
        </w:rPr>
        <w:t xml:space="preserve">11.3</w:t>
      </w:r>
      <w:r>
        <w:rPr>
          <w:bCs/>
          <w:b/>
        </w:rPr>
        <w:t xml:space="preserve"> </w:t>
      </w:r>
      <w:r>
        <w:t xml:space="preserve">Indemnification procedure. The Party seeking indemnification will promptly notify the indemnifying Party of any claim, provide reasonable cooperation at the indemnifying Party’s expense, and not settle any claim without the indemnifying Party’s written consent (which will not be unreasonably withheld).</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w:t>
            </w:r>
            <w:r>
              <w:t xml:space="preserve">** ATTORNEY REVIEW REQUIRED** Indemnification language and scope must be reviewed against (1) the Company’s insurance coverage (E&amp;O and general liability), (2) typical industry practice for managed placement firms, and (3) any caps on liability in Section 12. Consider whether the Operator’s indemnification obligation should be capped at a multiple of compensation received under the Engagement at issue.</w:t>
            </w:r>
          </w:p>
        </w:tc>
      </w:tr>
    </w:tbl>
    <w:bookmarkEnd w:id="35"/>
    <w:bookmarkStart w:id="36" w:name="limitation-of-liability"/>
    <w:p>
      <w:pPr>
        <w:pStyle w:val="Heading1"/>
      </w:pPr>
      <w:r>
        <w:t xml:space="preserve">12. Limitation of Liability</w:t>
      </w:r>
    </w:p>
    <w:p>
      <w:pPr>
        <w:pStyle w:val="FirstParagraph"/>
      </w:pPr>
      <w:r>
        <w:rPr>
          <w:bCs/>
          <w:b/>
        </w:rPr>
        <w:t xml:space="preserve">12.1 Exclusion of consequential damages.</w:t>
      </w:r>
      <w:r>
        <w:rPr>
          <w:bCs/>
          <w:b/>
        </w:rPr>
        <w:t xml:space="preserve"> </w:t>
      </w:r>
      <w:r>
        <w:t xml:space="preserve">EXCEPT FOR LIABILITIES ARISING UNDER SECTION 7 (CONFIDENTIALITY), SECTION 8 (INTELLECTUAL PROPERTY), SECTION 11 (INDEMNIFICATION), OR FROM A PARTY’S WILLFUL MISCONDUCT, GROSS NEGLIGENCE, OR FRAUD, NEITHER PARTY WILL BE LIABLE TO THE OTHER FOR ANY INDIRECT, INCIDENTAL, SPECIAL, CONSEQUENTIAL, OR PUNITIVE DAMAGES, INCLUDING LOST PROFITS, EVEN IF THE PARTY HAS BEEN ADVISED OF THE POSSIBILITY OF SUCH DAMAGES.</w:t>
      </w:r>
    </w:p>
    <w:p>
      <w:pPr>
        <w:pStyle w:val="BodyText"/>
      </w:pPr>
      <w:r>
        <w:rPr>
          <w:bCs/>
          <w:b/>
        </w:rPr>
        <w:t xml:space="preserve">12.2 Cap on liability.</w:t>
      </w:r>
      <w:r>
        <w:rPr>
          <w:bCs/>
          <w:b/>
        </w:rPr>
        <w:t xml:space="preserve"> </w:t>
      </w:r>
      <w:r>
        <w:t xml:space="preserve">EXCEPT FOR LIABILITIES ARISING UNDER SECTION 7, SECTION 8, SECTION 11, OR FROM A PARTY’S WILLFUL MISCONDUCT, GROSS NEGLIGENCE, OR FRAUD, EACH PARTY’S TOTAL CUMULATIVE LIABILITY UNDER THIS AGREEMENT WILL NOT EXCEED THE TOTAL COMPENSATION PAID OR PAYABLE TO THE OPERATOR UNDER THE APPLICABLE STATEMENT OF WORK GIVING RISE TO THE CLAIM DURING THE</w:t>
      </w:r>
      <w:r>
        <w:t xml:space="preserve"> </w:t>
      </w:r>
      <w:r>
        <w:rPr>
          <w:iCs/>
          <w:i/>
        </w:rPr>
        <w:t xml:space="preserve">[TWELVE (12) MONTHS]</w:t>
      </w:r>
      <w:r>
        <w:t xml:space="preserve"> </w:t>
      </w:r>
      <w:r>
        <w:t xml:space="preserve">PRECEDING THE EVENT GIVING RISE TO THE CLAIM.</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w:t>
            </w:r>
            <w:r>
              <w:t xml:space="preserve">** ATTORNEY REVIEW REQUIRED** Liability caps are highly negotiable and depend on the Company’s insurance coverage, risk tolerance, and industry norms. The cap in Section 12.2 is a starting point; counsel may recommend adjusting the time period, using a fixed dollar cap, or adjusting the carve-outs. For specific high-value Engagements, the SOW may override the general cap with engagement-specific terms.</w:t>
            </w:r>
          </w:p>
        </w:tc>
      </w:tr>
    </w:tbl>
    <w:bookmarkEnd w:id="36"/>
    <w:bookmarkStart w:id="37" w:name="insurance"/>
    <w:p>
      <w:pPr>
        <w:pStyle w:val="Heading1"/>
      </w:pPr>
      <w:r>
        <w:t xml:space="preserve">13. Insurance</w:t>
      </w:r>
    </w:p>
    <w:p>
      <w:pPr>
        <w:pStyle w:val="FirstParagraph"/>
      </w:pPr>
      <w:r>
        <w:rPr>
          <w:bCs/>
          <w:b/>
        </w:rPr>
        <w:t xml:space="preserve">13.1 Operator insurance.</w:t>
      </w:r>
      <w:r>
        <w:rPr>
          <w:bCs/>
          <w:b/>
        </w:rPr>
        <w:t xml:space="preserve"> </w:t>
      </w:r>
      <w:r>
        <w:t xml:space="preserve">The Operator</w:t>
      </w:r>
      <w:r>
        <w:t xml:space="preserve"> </w:t>
      </w:r>
      <w:r>
        <w:rPr>
          <w:iCs/>
          <w:i/>
        </w:rPr>
        <w:t xml:space="preserve">[shall / is recommended to]</w:t>
      </w:r>
      <w:r>
        <w:t xml:space="preserve"> </w:t>
      </w:r>
      <w:r>
        <w:t xml:space="preserve">maintain, at the Operator’s own expense, professional liability (errors and omissions) insurance with minimum coverage of</w:t>
      </w:r>
      <w:r>
        <w:t xml:space="preserve"> </w:t>
      </w:r>
      <w:r>
        <w:rPr>
          <w:iCs/>
          <w:i/>
        </w:rPr>
        <w:t xml:space="preserve">[$1,000,000 per occurrence and $2,000,000 aggregate]</w:t>
      </w:r>
      <w:r>
        <w:t xml:space="preserve">, and commercial general liability insurance with minimum coverage of</w:t>
      </w:r>
      <w:r>
        <w:t xml:space="preserve"> </w:t>
      </w:r>
      <w:r>
        <w:rPr>
          <w:iCs/>
          <w:i/>
        </w:rPr>
        <w:t xml:space="preserve">[$1,000,000 per occurrence and $2,000,000 aggregate]</w:t>
      </w:r>
      <w:r>
        <w:t xml:space="preserve">. The Operator will provide the Company with a certificate of insurance upon request.</w:t>
      </w:r>
    </w:p>
    <w:p>
      <w:pPr>
        <w:pStyle w:val="BodyText"/>
      </w:pPr>
      <w:r>
        <w:rPr>
          <w:bCs/>
          <w:b/>
        </w:rPr>
        <w:t xml:space="preserve">13.2</w:t>
      </w:r>
      <w:r>
        <w:rPr>
          <w:bCs/>
          <w:b/>
        </w:rPr>
        <w:t xml:space="preserve"> </w:t>
      </w:r>
      <w:r>
        <w:t xml:space="preserve">Company insurance. The Company will maintain its own insurance coverage appropriate for its business operations, including professional liability (E&amp;O) and general liability insurance.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w:t>
            </w:r>
            <w:r>
              <w:t xml:space="preserve">** ATTORNEY REVIEW REQUIRED** Insurance requirements are a business decision. Requiring operators to carry E&amp;O insurance shifts risk to operators but may filter out otherwise-qualified rising-talent operators who haven’t yet set up professional coverage (a common transition issue). Three options for counsel to price and recommend: (1) mandatory E&amp;O at stated minimums, (2) mandatory for specific engagement tiers (e.g., Scale and Embedded) but recommended for others, (3) Company carries umbrella coverage and does not require operator-level insurance. The Master Business Plan references E&amp;O and GL as pre-launch to-do items, so this is also a decision about the Company’s own insurance posture.</w:t>
            </w:r>
          </w:p>
        </w:tc>
      </w:tr>
    </w:tbl>
    <w:bookmarkEnd w:id="37"/>
    <w:bookmarkStart w:id="38" w:name="ai-assisted-assessment-acknowledgment"/>
    <w:p>
      <w:pPr>
        <w:pStyle w:val="Heading1"/>
      </w:pPr>
      <w:r>
        <w:t xml:space="preserve">14. AI-Assisted Assessment Acknowledgment</w:t>
      </w:r>
    </w:p>
    <w:p>
      <w:pPr>
        <w:pStyle w:val="FirstParagraph"/>
      </w:pPr>
      <w:r>
        <w:rPr>
          <w:bCs/>
          <w:b/>
        </w:rPr>
        <w:t xml:space="preserve">14.1</w:t>
      </w:r>
      <w:r>
        <w:rPr>
          <w:bCs/>
          <w:b/>
        </w:rPr>
        <w:t xml:space="preserve"> </w:t>
      </w:r>
      <w:r>
        <w:t xml:space="preserve">Operator’s acknowledgment. The Operator acknowledges that the Operator completed the Company’s assessment process, which includes the use of artificial intelligence (specifically, Claude, developed by Anthropic) to evaluate the Operator’s responses against a structured rubric. The Operator was provided with an AI Disclosure and Consent (attached as Exhibit C) before the assessment began and has consented to the Company’s use of AI in the assessment process.</w:t>
      </w:r>
    </w:p>
    <w:p>
      <w:pPr>
        <w:pStyle w:val="BodyText"/>
      </w:pPr>
      <w:r>
        <w:rPr>
          <w:bCs/>
          <w:b/>
        </w:rPr>
        <w:t xml:space="preserve">14.2</w:t>
      </w:r>
      <w:r>
        <w:rPr>
          <w:bCs/>
          <w:b/>
        </w:rPr>
        <w:t xml:space="preserve"> </w:t>
      </w:r>
      <w:r>
        <w:t xml:space="preserve">Human-in-the-loop. The Operator acknowledges that the Company’s pool admission decisions, and any subsequent qualitative assessments used in matching, are made by the Company’s human decision-makers (Kevin Krull, in his role as Managing Member), who review and validate AI-generated scores before finalizing decisions. No pool admission decision is made solely by AI.</w:t>
      </w:r>
    </w:p>
    <w:p>
      <w:pPr>
        <w:pStyle w:val="BodyText"/>
      </w:pPr>
      <w:r>
        <w:rPr>
          <w:bCs/>
          <w:b/>
        </w:rPr>
        <w:t xml:space="preserve">14.3</w:t>
      </w:r>
      <w:r>
        <w:rPr>
          <w:bCs/>
          <w:b/>
        </w:rPr>
        <w:t xml:space="preserve"> </w:t>
      </w:r>
      <w:r>
        <w:t xml:space="preserve">Assessment data retention. The Operator consents to the Company retaining the Operator’s assessment data (including simulation transcripts, artifact scores, reference notes, and tier determination) for use in (a) the Operator’s placement in future Engagements, (b) the Company’s matching and quality assurance processes, and (c) the Company’s calibration and improvement of the assessment methodology. Retention and use are governed by the Company’s Privacy Policy.</w:t>
      </w:r>
    </w:p>
    <w:p>
      <w:pPr>
        <w:pStyle w:val="BodyText"/>
      </w:pPr>
      <w:r>
        <w:rPr>
          <w:bCs/>
          <w:b/>
        </w:rPr>
        <w:t xml:space="preserve">14.4</w:t>
      </w:r>
      <w:r>
        <w:rPr>
          <w:bCs/>
          <w:b/>
        </w:rPr>
        <w:t xml:space="preserve"> </w:t>
      </w:r>
      <w:r>
        <w:t xml:space="preserve">Re-assessment. The Operator may request re-assessment at the Operator’s own initiative no earlier than ninety (90) days after initial pool admission. A re-assessment is a fresh process using a different scenario and will result in a new assessment outcome that supersedes the prior outcome. The Company is not obligated to approve any re-assessment request.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w:t>
            </w:r>
            <w:r>
              <w:t xml:space="preserve">** ATTORNEY REVIEW REQUIRED** Section 14 addresses AI-in-hiring compliance issues that have emerged in multiple jurisdictions (NYC Local Law 144, California AB 331/SB 1221 proposals, Illinois AI Video Interview Act). Counsel should: (1) confirm the consent language in Exhibit C satisfies applicable state requirements, (2) advise on whether the assessment falls within the definition of</w:t>
            </w:r>
            <w:r>
              <w:t xml:space="preserve"> </w:t>
            </w:r>
            <w:r>
              <w:t xml:space="preserve">‘</w:t>
            </w:r>
            <w:r>
              <w:t xml:space="preserve">automated employment decision tool</w:t>
            </w:r>
            <w:r>
              <w:t xml:space="preserve">’</w:t>
            </w:r>
            <w:r>
              <w:t xml:space="preserve"> </w:t>
            </w:r>
            <w:r>
              <w:t xml:space="preserve">under any applicable law (the Company takes the position that independent-contractor assessments fall outside the scope of employment-decision laws, but this is unsettled), and (3) advise on bias-audit obligations if any law is triggered.</w:t>
            </w:r>
          </w:p>
        </w:tc>
      </w:tr>
    </w:tbl>
    <w:bookmarkEnd w:id="38"/>
    <w:bookmarkStart w:id="39" w:name="matching-data-platform-use-and-privacy"/>
    <w:p>
      <w:pPr>
        <w:pStyle w:val="Heading1"/>
      </w:pPr>
      <w:r>
        <w:t xml:space="preserve">15. Matching Data, Platform Use, and Privacy</w:t>
      </w:r>
    </w:p>
    <w:p>
      <w:pPr>
        <w:pStyle w:val="FirstParagraph"/>
      </w:pPr>
      <w:r>
        <w:rPr>
          <w:bCs/>
          <w:b/>
        </w:rPr>
        <w:t xml:space="preserve">15.1</w:t>
      </w:r>
      <w:r>
        <w:rPr>
          <w:bCs/>
          <w:b/>
        </w:rPr>
        <w:t xml:space="preserve"> </w:t>
      </w:r>
      <w:r>
        <w:t xml:space="preserve">Platform access. The Company may provide the Operator with access to Company platforms and tools (including time-tracking, document storage, communications, and future portal access). The Operator agrees to use such platforms only for purposes of performing services under this Agreement, to comply with any platform terms of service, and to maintain the confidentiality of access credentials.</w:t>
      </w:r>
    </w:p>
    <w:p>
      <w:pPr>
        <w:pStyle w:val="BodyText"/>
      </w:pPr>
      <w:r>
        <w:rPr>
          <w:bCs/>
          <w:b/>
        </w:rPr>
        <w:t xml:space="preserve">15.2 Matching data.</w:t>
      </w:r>
      <w:r>
        <w:rPr>
          <w:bCs/>
          <w:b/>
        </w:rPr>
        <w:t xml:space="preserve"> </w:t>
      </w:r>
      <w:r>
        <w:t xml:space="preserve">The Operator consents to the Company’s collection and use of Engagement-related data (including performance outcomes, hours logged, milestone completion, Client feedback, pulse-check responses, and NPS scores) for the purposes described in Section 8.3 (license to the Company for matching-data purposes).</w:t>
      </w:r>
    </w:p>
    <w:p>
      <w:pPr>
        <w:pStyle w:val="BodyText"/>
      </w:pPr>
      <w:r>
        <w:rPr>
          <w:bCs/>
          <w:b/>
        </w:rPr>
        <w:t xml:space="preserve">15.3</w:t>
      </w:r>
      <w:r>
        <w:rPr>
          <w:bCs/>
          <w:b/>
        </w:rPr>
        <w:t xml:space="preserve"> </w:t>
      </w:r>
      <w:r>
        <w:t xml:space="preserve">Pulse checks and feedback. The Operator agrees to respond to periodic pulse-check surveys during and after Engagements, within reasonable timeframes, and to participate in debrief conversations as requested by the Company. Operator responses will be used for (a) engagement-specific quality assurance, (b) operator-pool development, and (c) aggregated analytics (on a non-identified basis).</w:t>
      </w:r>
    </w:p>
    <w:p>
      <w:pPr>
        <w:pStyle w:val="BodyText"/>
      </w:pPr>
      <w:r>
        <w:rPr>
          <w:bCs/>
          <w:b/>
        </w:rPr>
        <w:t xml:space="preserve">15.4</w:t>
      </w:r>
      <w:r>
        <w:rPr>
          <w:bCs/>
          <w:b/>
        </w:rPr>
        <w:t xml:space="preserve"> </w:t>
      </w:r>
      <w:r>
        <w:t xml:space="preserve">Privacy. The Company will process personal data about the Operator in accordance with the Company’s Privacy Policy, as it may be updated from time to time. The Operator has the right to request access to, correction of, or deletion of the Operator’s personal data, subject to the Company’s legal and legitimate business obligations (including the retention of assessment data and matching data for the period reasonably necessary to operate the Company’s business).</w:t>
      </w:r>
    </w:p>
    <w:bookmarkEnd w:id="39"/>
    <w:bookmarkStart w:id="40" w:name="dispute-resolution-and-governing-law"/>
    <w:p>
      <w:pPr>
        <w:pStyle w:val="Heading1"/>
      </w:pPr>
      <w:r>
        <w:t xml:space="preserve">16. Dispute Resolution and Governing Law</w:t>
      </w:r>
    </w:p>
    <w:p>
      <w:pPr>
        <w:pStyle w:val="FirstParagraph"/>
      </w:pPr>
      <w:r>
        <w:rPr>
          <w:bCs/>
          <w:b/>
        </w:rPr>
        <w:t xml:space="preserve">16.1 Governing law.</w:t>
      </w:r>
      <w:r>
        <w:rPr>
          <w:bCs/>
          <w:b/>
        </w:rPr>
        <w:t xml:space="preserve"> </w:t>
      </w:r>
      <w:r>
        <w:t xml:space="preserve">This Agreement is governed by and construed in accordance with the laws of the State of</w:t>
      </w:r>
      <w:r>
        <w:t xml:space="preserve"> </w:t>
      </w:r>
      <w:r>
        <w:rPr>
          <w:iCs/>
          <w:i/>
        </w:rPr>
        <w:t xml:space="preserve">[Georgia / Delaware]</w:t>
      </w:r>
      <w:r>
        <w:t xml:space="preserve">, without regard to its conflict-of-law principles.</w:t>
      </w:r>
    </w:p>
    <w:p>
      <w:pPr>
        <w:pStyle w:val="BodyText"/>
      </w:pPr>
      <w:r>
        <w:rPr>
          <w:bCs/>
          <w:b/>
        </w:rPr>
        <w:t xml:space="preserve">16.2 Good-faith negotiation.</w:t>
      </w:r>
      <w:r>
        <w:rPr>
          <w:bCs/>
          <w:b/>
        </w:rPr>
        <w:t xml:space="preserve"> </w:t>
      </w:r>
      <w:r>
        <w:t xml:space="preserve">Before initiating any formal dispute-resolution process, the Parties will attempt in good faith to resolve any dispute arising out of or related to this Agreement through direct negotiation, including at least one meeting (in person or by video) between Party representatives with authority to settle the dispute.</w:t>
      </w:r>
    </w:p>
    <w:p>
      <w:pPr>
        <w:pStyle w:val="BodyText"/>
      </w:pPr>
      <w:r>
        <w:rPr>
          <w:bCs/>
          <w:b/>
        </w:rPr>
        <w:t xml:space="preserve">16.3 Arbitration.</w:t>
      </w:r>
      <w:r>
        <w:rPr>
          <w:bCs/>
          <w:b/>
        </w:rPr>
        <w:t xml:space="preserve"> </w:t>
      </w:r>
      <w:r>
        <w:t xml:space="preserve">If the Parties are unable to resolve a dispute through good-faith negotiation within</w:t>
      </w:r>
      <w:r>
        <w:t xml:space="preserve"> </w:t>
      </w:r>
      <w:r>
        <w:rPr>
          <w:iCs/>
          <w:i/>
        </w:rPr>
        <w:t xml:space="preserve">[thirty (30) days]</w:t>
      </w:r>
      <w:r>
        <w:t xml:space="preserve">, the dispute will be resolved by</w:t>
      </w:r>
      <w:r>
        <w:t xml:space="preserve"> </w:t>
      </w:r>
      <w:r>
        <w:rPr>
          <w:iCs/>
          <w:i/>
        </w:rPr>
        <w:t xml:space="preserve">[binding arbitration administered by the American Arbitration Association under its Commercial Arbitration Rules / litigation in state or federal courts located in [county, state] (DECIDE ONE)]</w:t>
      </w:r>
      <w:r>
        <w:t xml:space="preserve">.</w:t>
      </w:r>
      <w:r>
        <w:t xml:space="preserve"> </w:t>
      </w:r>
      <w:r>
        <w:rPr>
          <w:iCs/>
          <w:i/>
        </w:rPr>
        <w:t xml:space="preserve">[If arbitration: The arbitration will be conducted by a single arbitrator, in [venue], in the English language. The arbitrator’s decision will be final and binding. Ju</w:t>
      </w:r>
      <w:r>
        <w:rPr>
          <w:bCs/>
          <w:b/>
          <w:iCs/>
          <w:i/>
        </w:rPr>
        <w:t xml:space="preserve">dgment on t</w:t>
      </w:r>
      <w:r>
        <w:rPr>
          <w:iCs/>
          <w:i/>
        </w:rPr>
        <w:t xml:space="preserve">he award may be entered in any court of competent jurisdiction.]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w:t>
            </w:r>
            <w:r>
              <w:t xml:space="preserve">** ATTORNEY REVIEW REQUIRED** The arbitration-vs.-litigation choice is a major decision with real tradeoffs. Arbitration is typically faster, more private, and less appealable; litigation provides public precedent, broader discovery, and jury-trial options. Consider: (1) enforceability of arbitration clauses for independent contractors (generally enforceable under FAA but with evolving state carve-outs), (2) cost allocation (arbitration fees can favor larger party), (3) whether to permit class waivers, (4) whether to allow carve-outs for injunctive relief (especially for Section 9 non-solicit breaches). Counsel should recommend the approach that best fits the Company’s risk profile and the operator base.</w:t>
            </w:r>
          </w:p>
        </w:tc>
      </w:tr>
    </w:tbl>
    <w:p>
      <w:pPr>
        <w:pStyle w:val="BodyText"/>
      </w:pPr>
      <w:r>
        <w:rPr>
          <w:bCs/>
          <w:b/>
        </w:rPr>
        <w:t xml:space="preserve">16.4</w:t>
      </w:r>
      <w:r>
        <w:rPr>
          <w:bCs/>
          <w:b/>
        </w:rPr>
        <w:t xml:space="preserve"> </w:t>
      </w:r>
      <w:r>
        <w:t xml:space="preserve">Injunctive relief. Notwithstanding Section 16.3, each Party may seek temporary or permanent injunctive relief in any court of competent jurisdiction for breaches of Section 7 (Confidentiality), Section 8 (Intellectual Property), Section 9 (Non-Solicitation and Non-Circumvention), or other matters where monetary damages alone would be inadequate.</w:t>
      </w:r>
    </w:p>
    <w:p>
      <w:pPr>
        <w:pStyle w:val="BodyText"/>
      </w:pPr>
      <w:r>
        <w:rPr>
          <w:bCs/>
          <w:b/>
        </w:rPr>
        <w:t xml:space="preserve">16.5</w:t>
      </w:r>
      <w:r>
        <w:rPr>
          <w:bCs/>
          <w:b/>
        </w:rPr>
        <w:t xml:space="preserve"> </w:t>
      </w:r>
      <w:r>
        <w:t xml:space="preserve">Attorneys’ fees. In any action or proceeding to enforce this Agreement, the prevailing Party is entitled to recover its reasonable attorneys’ fees and costs.</w:t>
      </w:r>
    </w:p>
    <w:bookmarkEnd w:id="40"/>
    <w:bookmarkStart w:id="41" w:name="general-provisions"/>
    <w:p>
      <w:pPr>
        <w:pStyle w:val="Heading1"/>
      </w:pPr>
      <w:r>
        <w:t xml:space="preserve">17. General Provisions</w:t>
      </w:r>
    </w:p>
    <w:p>
      <w:pPr>
        <w:pStyle w:val="FirstParagraph"/>
      </w:pPr>
      <w:r>
        <w:rPr>
          <w:bCs/>
          <w:b/>
        </w:rPr>
        <w:t xml:space="preserve">17.1 Entire agreement.</w:t>
      </w:r>
      <w:r>
        <w:rPr>
          <w:bCs/>
          <w:b/>
        </w:rPr>
        <w:t xml:space="preserve"> </w:t>
      </w:r>
      <w:r>
        <w:t xml:space="preserve">This Agreement, together with each signed Statement of Work and the Exhibits attached hereto (all of which are incorporated by reference), constitutes the entire agreement between the Parties with respect to its subject matter and supersedes all prior discussions, proposals, and agreements, whether written or oral.</w:t>
      </w:r>
    </w:p>
    <w:p>
      <w:pPr>
        <w:pStyle w:val="BodyText"/>
      </w:pPr>
      <w:r>
        <w:rPr>
          <w:bCs/>
          <w:b/>
        </w:rPr>
        <w:t xml:space="preserve">17.2</w:t>
      </w:r>
      <w:r>
        <w:rPr>
          <w:bCs/>
          <w:b/>
        </w:rPr>
        <w:t xml:space="preserve"> </w:t>
      </w:r>
      <w:r>
        <w:t xml:space="preserve">Amendment. No amendment or modification of this Agreement is effective unless in writing and signed by both Parties. A specific Statement of Work may amend or supplement this Agreement solely with respect to the specific Engagement governed by that SOW.</w:t>
      </w:r>
    </w:p>
    <w:p>
      <w:pPr>
        <w:pStyle w:val="BodyText"/>
      </w:pPr>
      <w:r>
        <w:rPr>
          <w:bCs/>
          <w:b/>
        </w:rPr>
        <w:t xml:space="preserve">17.3</w:t>
      </w:r>
      <w:r>
        <w:rPr>
          <w:bCs/>
          <w:b/>
        </w:rPr>
        <w:t xml:space="preserve"> </w:t>
      </w:r>
      <w:r>
        <w:t xml:space="preserve">Severability. If any provision of this Agreement is held to be invalid or unenforceable, the remaining provisions will remain in full force and effect, and the invalid or unenforceable provision will be reformed to the minimum extent necessary to make it valid and enforceable while preserving its original intent to the greatest extent possible.</w:t>
      </w:r>
    </w:p>
    <w:p>
      <w:pPr>
        <w:pStyle w:val="BodyText"/>
      </w:pPr>
      <w:r>
        <w:rPr>
          <w:bCs/>
          <w:b/>
        </w:rPr>
        <w:t xml:space="preserve">17.4</w:t>
      </w:r>
      <w:r>
        <w:rPr>
          <w:bCs/>
          <w:b/>
        </w:rPr>
        <w:t xml:space="preserve"> </w:t>
      </w:r>
      <w:r>
        <w:t xml:space="preserve">Waiver. No waiver of any provision of this Agreement is effective unless in writing and signed by the waiving Party. The failure of either Party to enforce any provision is not a waiver of that Party’s right to enforce that provision or any other provision in the future.</w:t>
      </w:r>
    </w:p>
    <w:p>
      <w:pPr>
        <w:pStyle w:val="BodyText"/>
      </w:pPr>
      <w:r>
        <w:rPr>
          <w:bCs/>
          <w:b/>
        </w:rPr>
        <w:t xml:space="preserve">17.5</w:t>
      </w:r>
      <w:r>
        <w:rPr>
          <w:bCs/>
          <w:b/>
        </w:rPr>
        <w:t xml:space="preserve"> </w:t>
      </w:r>
      <w:r>
        <w:t xml:space="preserve">Assignment. The Operator may not assign or transfer this Agreement, or any rights or obligations hereunder, without the prior written consent of the Company. The Company may assign this Agreement in connection with a merger, acquisition, or sale of all or substantially all of its assets, and to any affiliate, in each case without the Operator’s consent.</w:t>
      </w:r>
    </w:p>
    <w:p>
      <w:pPr>
        <w:pStyle w:val="BodyText"/>
      </w:pPr>
      <w:r>
        <w:rPr>
          <w:bCs/>
          <w:b/>
        </w:rPr>
        <w:t xml:space="preserve">17.6 Notices.</w:t>
      </w:r>
      <w:r>
        <w:rPr>
          <w:bCs/>
          <w:b/>
        </w:rPr>
        <w:t xml:space="preserve"> </w:t>
      </w:r>
      <w:r>
        <w:t xml:space="preserve">All notices under this Agreement must be in writing and delivered by (a) certified mail, return receipt requested, (b) nationally recognized overnight courier, or (c) electronic mail with confirmation of receipt. Notices are deemed given upon actual receipt. Notices to the Company should be sent to</w:t>
      </w:r>
      <w:r>
        <w:t xml:space="preserve"> </w:t>
      </w:r>
      <w:r>
        <w:rPr>
          <w:iCs/>
          <w:i/>
        </w:rPr>
        <w:t xml:space="preserve">[Company notice address and email]</w:t>
      </w:r>
      <w:r>
        <w:t xml:space="preserve">. Notices to the Operator should be sent to the address and email of the Operator specified at the beginning of this Agreement or as updated in writing by the Operator.</w:t>
      </w:r>
    </w:p>
    <w:p>
      <w:pPr>
        <w:pStyle w:val="BodyText"/>
      </w:pPr>
      <w:r>
        <w:rPr>
          <w:bCs/>
          <w:b/>
        </w:rPr>
        <w:t xml:space="preserve">17.7</w:t>
      </w:r>
      <w:r>
        <w:rPr>
          <w:bCs/>
          <w:b/>
        </w:rPr>
        <w:t xml:space="preserve"> </w:t>
      </w:r>
      <w:r>
        <w:t xml:space="preserve">Electronic signatures. This Agreement may be executed in counterparts (including via electronic signature platforms such as DocuSign), each of which is deemed an original and all of which together constitute one instrument. Electronic signatures have the same legal force and effect as original signatures.</w:t>
      </w:r>
    </w:p>
    <w:p>
      <w:pPr>
        <w:pStyle w:val="BodyText"/>
      </w:pPr>
      <w:r>
        <w:rPr>
          <w:bCs/>
          <w:b/>
        </w:rPr>
        <w:t xml:space="preserve">17.8</w:t>
      </w:r>
      <w:r>
        <w:rPr>
          <w:bCs/>
          <w:b/>
        </w:rPr>
        <w:t xml:space="preserve"> </w:t>
      </w:r>
      <w:r>
        <w:t xml:space="preserve">Force majeure. Neither Party is liable for any failure or delay in performance (other than payment obligations) caused by circumstances beyond its reasonable control, including acts of God, war, terrorism, civil unrest, pandemic, or failure of critical infrastructure, provided the affected Party notifies the other promptly and uses reasonable efforts to resume performance.</w:t>
      </w:r>
    </w:p>
    <w:p>
      <w:pPr>
        <w:pStyle w:val="BodyText"/>
      </w:pPr>
      <w:r>
        <w:rPr>
          <w:bCs/>
          <w:b/>
        </w:rPr>
        <w:t xml:space="preserve">17.9</w:t>
      </w:r>
      <w:r>
        <w:rPr>
          <w:bCs/>
          <w:b/>
        </w:rPr>
        <w:t xml:space="preserve"> </w:t>
      </w:r>
      <w:r>
        <w:t xml:space="preserve">Independent counsel. Each Party acknowledges that it has had the opportunity to consult with independent legal counsel before signing this Agreement and has either done so or has knowingly elected not to do so.</w:t>
      </w:r>
    </w:p>
    <w:p>
      <w:pPr>
        <w:pStyle w:val="BodyText"/>
      </w:pPr>
      <w:r>
        <w:rPr>
          <w:bCs/>
          <w:b/>
        </w:rPr>
        <w:t xml:space="preserve">17.10</w:t>
      </w:r>
      <w:r>
        <w:rPr>
          <w:bCs/>
          <w:b/>
        </w:rPr>
        <w:t xml:space="preserve"> </w:t>
      </w:r>
      <w:r>
        <w:t xml:space="preserve">Headings. Section and subsection headings are for convenience only and do not affect interpretation.</w:t>
      </w:r>
    </w:p>
    <w:bookmarkEnd w:id="41"/>
    <w:bookmarkStart w:id="60" w:name="signatures"/>
    <w:p>
      <w:pPr>
        <w:pStyle w:val="Heading1"/>
      </w:pPr>
      <w:r>
        <w:t xml:space="preserve">Signatures</w:t>
      </w:r>
    </w:p>
    <w:p>
      <w:pPr>
        <w:pStyle w:val="FirstParagraph"/>
      </w:pPr>
      <w:r>
        <w:t xml:space="preserve">IN WITNESS WHEREOF, the Parties have executed this Independent Contractor Agreement as of the Effective Date.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COMPANY</w:t>
            </w:r>
            <w:r>
              <w:t xml:space="preserve"> </w:t>
            </w:r>
            <w:r>
              <w:rPr>
                <w:bCs/>
                <w:b/>
              </w:rPr>
              <w:t xml:space="preserve">FRACTIONAL STANDARD LLC</w:t>
            </w:r>
            <w:r>
              <w:t xml:space="preserve"> </w:t>
            </w:r>
            <w:r>
              <w:t xml:space="preserve">By: _______________________________ Name: Kevin Krull Title: Managing Member, Co-Founder Date: _____________________________</w:t>
            </w:r>
          </w:p>
        </w:tc>
        <w:tc>
          <w:tcPr/>
          <w:p>
            <w:pPr>
              <w:pStyle w:val="Compact"/>
              <w:jc w:val="left"/>
            </w:pPr>
            <w:r>
              <w:rPr>
                <w:bCs/>
                <w:b/>
              </w:rPr>
              <w:t xml:space="preserve">OPERATOR</w:t>
            </w:r>
            <w:r>
              <w:t xml:space="preserve"> </w:t>
            </w:r>
            <w:r>
              <w:rPr>
                <w:iCs/>
                <w:i/>
              </w:rPr>
              <w:t xml:space="preserve">[OPERATOR LEGAL NAME]</w:t>
            </w:r>
            <w:r>
              <w:t xml:space="preserve"> </w:t>
            </w:r>
            <w:r>
              <w:t xml:space="preserve">By: _______________________________ Name: ____________________________ Title: _____________________________ Date: _____________________________</w:t>
            </w:r>
          </w:p>
        </w:tc>
      </w:tr>
    </w:tbl>
    <w:p>
      <w:pPr>
        <w:pStyle w:val="BodyText"/>
      </w:pPr>
      <w:r>
        <w:rPr>
          <w:bCs/>
          <w:b/>
        </w:rPr>
        <w:t xml:space="preserve">EXHIBIT A</w:t>
      </w:r>
    </w:p>
    <w:p>
      <w:pPr>
        <w:pStyle w:val="BodyText"/>
      </w:pPr>
      <w:r>
        <w:rPr>
          <w:bCs/>
          <w:b/>
        </w:rPr>
        <w:t xml:space="preserve">Statement of Work (Template)</w:t>
      </w:r>
    </w:p>
    <w:p>
      <w:pPr>
        <w:pStyle w:val="BodyText"/>
      </w:pPr>
      <w:r>
        <w:t xml:space="preserve">This Statement of Work is issued under the Independent Contractor Agreement between Fractional Standard LLC and the Operator, effective as of</w:t>
      </w:r>
      <w:r>
        <w:t xml:space="preserve"> </w:t>
      </w:r>
      <w:r>
        <w:rPr>
          <w:iCs/>
          <w:i/>
        </w:rPr>
        <w:t xml:space="preserve">[Effective Date of Master ICA]</w:t>
      </w:r>
      <w:r>
        <w:t xml:space="preserve">, and governs a specific Engagement.</w:t>
      </w:r>
    </w:p>
    <w:bookmarkStart w:id="42" w:name="a1.-engagement-identifiers"/>
    <w:p>
      <w:pPr>
        <w:pStyle w:val="Heading2"/>
      </w:pPr>
      <w:r>
        <w:t xml:space="preserve">A1. Engagement identifiers</w:t>
      </w:r>
    </w:p>
    <w:p>
      <w:pPr>
        <w:pStyle w:val="FirstParagraph"/>
      </w:pPr>
      <w:r>
        <w:rPr>
          <w:bCs/>
          <w:b/>
        </w:rPr>
        <w:t xml:space="preserve">Engagement ID:</w:t>
      </w:r>
      <w:r>
        <w:rPr>
          <w:bCs/>
          <w:b/>
        </w:rPr>
        <w:t xml:space="preserve"> </w:t>
      </w:r>
      <w:r>
        <w:rPr>
          <w:iCs/>
          <w:i/>
        </w:rPr>
        <w:t xml:space="preserve">[ENG-####]</w:t>
      </w:r>
    </w:p>
    <w:p>
      <w:pPr>
        <w:pStyle w:val="BodyText"/>
      </w:pPr>
      <w:r>
        <w:rPr>
          <w:bCs/>
          <w:b/>
        </w:rPr>
        <w:t xml:space="preserve">Statement of Work number:</w:t>
      </w:r>
      <w:r>
        <w:rPr>
          <w:bCs/>
          <w:b/>
        </w:rPr>
        <w:t xml:space="preserve"> </w:t>
      </w:r>
      <w:r>
        <w:rPr>
          <w:iCs/>
          <w:i/>
        </w:rPr>
        <w:t xml:space="preserve">[SOW-####]</w:t>
      </w:r>
    </w:p>
    <w:p>
      <w:pPr>
        <w:pStyle w:val="BodyText"/>
      </w:pPr>
      <w:r>
        <w:rPr>
          <w:bCs/>
          <w:b/>
        </w:rPr>
        <w:t xml:space="preserve">Client (identified here; Operator may refer only as anonymized reference in portfolio):</w:t>
      </w:r>
      <w:r>
        <w:rPr>
          <w:bCs/>
          <w:b/>
        </w:rPr>
        <w:t xml:space="preserve"> </w:t>
      </w:r>
      <w:r>
        <w:rPr>
          <w:iCs/>
          <w:i/>
        </w:rPr>
        <w:t xml:space="preserve">[Client company name]</w:t>
      </w:r>
    </w:p>
    <w:p>
      <w:pPr>
        <w:pStyle w:val="BodyText"/>
      </w:pPr>
      <w:r>
        <w:rPr>
          <w:bCs/>
          <w:b/>
        </w:rPr>
        <w:t xml:space="preserve">Client contact (day-to-day):</w:t>
      </w:r>
      <w:r>
        <w:rPr>
          <w:bCs/>
          <w:b/>
        </w:rPr>
        <w:t xml:space="preserve"> </w:t>
      </w:r>
      <w:r>
        <w:rPr>
          <w:iCs/>
          <w:i/>
        </w:rPr>
        <w:t xml:space="preserve">[Name, title, email]</w:t>
      </w:r>
    </w:p>
    <w:p>
      <w:pPr>
        <w:pStyle w:val="BodyText"/>
      </w:pPr>
      <w:r>
        <w:rPr>
          <w:bCs/>
          <w:b/>
        </w:rPr>
        <w:t xml:space="preserve">Engagement Start Date:</w:t>
      </w:r>
      <w:r>
        <w:rPr>
          <w:bCs/>
          <w:b/>
        </w:rPr>
        <w:t xml:space="preserve"> </w:t>
      </w:r>
      <w:r>
        <w:rPr>
          <w:iCs/>
          <w:i/>
        </w:rPr>
        <w:t xml:space="preserve">[YYYY-MM-DD]</w:t>
      </w:r>
    </w:p>
    <w:p>
      <w:pPr>
        <w:pStyle w:val="BodyText"/>
      </w:pPr>
      <w:r>
        <w:rPr>
          <w:bCs/>
          <w:b/>
        </w:rPr>
        <w:t xml:space="preserve">Estimated Engagement End Date:</w:t>
      </w:r>
      <w:r>
        <w:rPr>
          <w:bCs/>
          <w:b/>
        </w:rPr>
        <w:t xml:space="preserve"> </w:t>
      </w:r>
      <w:r>
        <w:rPr>
          <w:iCs/>
          <w:i/>
        </w:rPr>
        <w:t xml:space="preserve">[YYYY-MM-DD or</w:t>
      </w:r>
      <w:r>
        <w:rPr>
          <w:iCs/>
          <w:i/>
        </w:rPr>
        <w:t xml:space="preserve"> </w:t>
      </w:r>
      <w:r>
        <w:rPr>
          <w:iCs/>
          <w:i/>
        </w:rPr>
        <w:t xml:space="preserve">‘</w:t>
      </w:r>
      <w:r>
        <w:rPr>
          <w:iCs/>
          <w:i/>
        </w:rPr>
        <w:t xml:space="preserve">open-ended</w:t>
      </w:r>
      <w:r>
        <w:rPr>
          <w:iCs/>
          <w:i/>
        </w:rPr>
        <w:t xml:space="preserve">’</w:t>
      </w:r>
      <w:r>
        <w:rPr>
          <w:iCs/>
          <w:i/>
        </w:rPr>
        <w:t xml:space="preserve">]</w:t>
      </w:r>
    </w:p>
    <w:bookmarkEnd w:id="42"/>
    <w:bookmarkStart w:id="43" w:name="X099c2a78b4ceae9a0433bee789551db095d9247"/>
    <w:p>
      <w:pPr>
        <w:pStyle w:val="Heading2"/>
      </w:pPr>
      <w:r>
        <w:t xml:space="preserve">A2. Retainer tier and Operator allocation</w:t>
      </w:r>
    </w:p>
    <w:p>
      <w:pPr>
        <w:pStyle w:val="FirstParagraph"/>
      </w:pPr>
      <w:r>
        <w:rPr>
          <w:bCs/>
          <w:b/>
        </w:rPr>
        <w:t xml:space="preserve">Retainer Tier:</w:t>
      </w:r>
      <w:r>
        <w:rPr>
          <w:bCs/>
          <w:b/>
        </w:rPr>
        <w:t xml:space="preserve"> </w:t>
      </w:r>
      <w:r>
        <w:rPr>
          <w:iCs/>
          <w:i/>
        </w:rPr>
        <w:t xml:space="preserve">[Foundation / Growth / Scale / Embedded]</w:t>
      </w:r>
    </w:p>
    <w:p>
      <w:pPr>
        <w:pStyle w:val="BodyText"/>
      </w:pPr>
      <w:r>
        <w:rPr>
          <w:bCs/>
          <w:b/>
        </w:rPr>
        <w:t xml:space="preserve">Operator allocation:</w:t>
      </w:r>
      <w:r>
        <w:rPr>
          <w:bCs/>
          <w:b/>
        </w:rPr>
        <w:t xml:space="preserve"> </w:t>
      </w:r>
      <w:r>
        <w:t xml:space="preserve">~</w:t>
      </w:r>
      <w:r>
        <w:rPr>
          <w:iCs/>
          <w:i/>
        </w:rPr>
        <w:t xml:space="preserve">[20 / 40 / 60 / 80]</w:t>
      </w:r>
      <w:r>
        <w:t xml:space="preserve"> </w:t>
      </w:r>
      <w:r>
        <w:t xml:space="preserve">hours/month (~</w:t>
      </w:r>
      <w:r>
        <w:rPr>
          <w:iCs/>
          <w:i/>
        </w:rPr>
        <w:t xml:space="preserve">[5 / 10 / 15 / 20]</w:t>
      </w:r>
      <w:r>
        <w:t xml:space="preserve"> </w:t>
      </w:r>
      <w:r>
        <w:t xml:space="preserve">hours/week). Hours are an approximate description of the Operator’s capacity commitment under this Engagement, not a metered cap. Within-month flex is expected based on Client needs and project rhythm. See Section 2.4 of the Master ICA.</w:t>
      </w:r>
    </w:p>
    <w:p>
      <w:pPr>
        <w:pStyle w:val="BodyText"/>
      </w:pPr>
      <w:r>
        <w:rPr>
          <w:bCs/>
          <w:b/>
        </w:rPr>
        <w:t xml:space="preserve">Role (as presented to Client):</w:t>
      </w:r>
      <w:r>
        <w:rPr>
          <w:bCs/>
          <w:b/>
        </w:rPr>
        <w:t xml:space="preserve"> </w:t>
      </w:r>
      <w:r>
        <w:rPr>
          <w:iCs/>
          <w:i/>
        </w:rPr>
        <w:t xml:space="preserve">[Fractional CFO / COO / CMO / CTO / CRO / other]</w:t>
      </w:r>
    </w:p>
    <w:bookmarkEnd w:id="43"/>
    <w:bookmarkStart w:id="44" w:name="a3.-compensation"/>
    <w:p>
      <w:pPr>
        <w:pStyle w:val="Heading2"/>
      </w:pPr>
      <w:r>
        <w:t xml:space="preserve">A3. Compensation</w:t>
      </w:r>
    </w:p>
    <w:p>
      <w:pPr>
        <w:pStyle w:val="FirstParagraph"/>
      </w:pPr>
      <w:r>
        <w:rPr>
          <w:bCs/>
          <w:b/>
        </w:rPr>
        <w:t xml:space="preserve">Operator hourly rate (internal, used to derive monthly fee):</w:t>
      </w:r>
      <w:r>
        <w:rPr>
          <w:bCs/>
          <w:b/>
        </w:rPr>
        <w:t xml:space="preserve"> </w:t>
      </w:r>
      <w:r>
        <w:t xml:space="preserve">$</w:t>
      </w:r>
      <w:r>
        <w:rPr>
          <w:iCs/>
          <w:i/>
        </w:rPr>
        <w:t xml:space="preserve">[XXX/hour]</w:t>
      </w:r>
    </w:p>
    <w:p>
      <w:pPr>
        <w:pStyle w:val="BodyText"/>
      </w:pPr>
      <w:r>
        <w:rPr>
          <w:bCs/>
          <w:b/>
        </w:rPr>
        <w:t xml:space="preserve">Tier weekly hours target:</w:t>
      </w:r>
      <w:r>
        <w:rPr>
          <w:bCs/>
          <w:b/>
        </w:rPr>
        <w:t xml:space="preserve"> </w:t>
      </w:r>
      <w:r>
        <w:t xml:space="preserve">~</w:t>
      </w:r>
      <w:r>
        <w:rPr>
          <w:iCs/>
          <w:i/>
        </w:rPr>
        <w:t xml:space="preserve">[5 / 10 / 15 / 20]</w:t>
      </w:r>
      <w:r>
        <w:t xml:space="preserve"> </w:t>
      </w:r>
      <w:r>
        <w:t xml:space="preserve">hours/week</w:t>
      </w:r>
    </w:p>
    <w:p>
      <w:pPr>
        <w:pStyle w:val="BodyText"/>
      </w:pPr>
      <w:r>
        <w:rPr>
          <w:bCs/>
          <w:b/>
        </w:rPr>
        <w:t xml:space="preserve">Operator monthly fee:</w:t>
      </w:r>
      <w:r>
        <w:rPr>
          <w:bCs/>
          <w:b/>
        </w:rPr>
        <w:t xml:space="preserve"> </w:t>
      </w:r>
      <w:r>
        <w:t xml:space="preserve">$</w:t>
      </w:r>
      <w:r>
        <w:rPr>
          <w:iCs/>
          <w:i/>
        </w:rPr>
        <w:t xml:space="preserve">[X,XXX]</w:t>
      </w:r>
      <w:r>
        <w:t xml:space="preserve"> </w:t>
      </w:r>
      <w:r>
        <w:t xml:space="preserve">per calendar month, calculated as (weekly hours target × hourly rate × 52) ÷ 12, rounded to the nearest $25, in accordance with Section 3 and Exhibit B of the Master ICA. The monthly fee is fixed for the duration of the Engagement, payable on the 15th of each month for the prior month’s services. There is no overage rate; the Operator does not bill the Client or the Company for hours worked above the Tier allocation. Sustained scope expansion is addressed via tier-upgrade or scope-expansion conversation between the Company and the Client (Master ICA Section 2.4).</w:t>
      </w:r>
    </w:p>
    <w:p>
      <w:pPr>
        <w:pStyle w:val="BodyText"/>
      </w:pPr>
      <w:r>
        <w:rPr>
          <w:bCs/>
          <w:b/>
        </w:rPr>
        <w:t xml:space="preserve">Referral credit (if applicable):</w:t>
      </w:r>
      <w:r>
        <w:rPr>
          <w:bCs/>
          <w:b/>
        </w:rPr>
        <w:t xml:space="preserve"> </w:t>
      </w:r>
      <w:r>
        <w:rPr>
          <w:iCs/>
          <w:i/>
        </w:rPr>
        <w:t xml:space="preserve">[As set forth in the Operator Referral Program terms]</w:t>
      </w:r>
    </w:p>
    <w:bookmarkEnd w:id="44"/>
    <w:bookmarkStart w:id="45" w:name="a4.-scope-of-services"/>
    <w:p>
      <w:pPr>
        <w:pStyle w:val="Heading2"/>
      </w:pPr>
      <w:r>
        <w:t xml:space="preserve">A4. Scope of services</w:t>
      </w:r>
    </w:p>
    <w:p>
      <w:pPr>
        <w:pStyle w:val="FirstParagraph"/>
      </w:pPr>
      <w:r>
        <w:t xml:space="preserve">Top priorities and deliverables for the Engagement:</w:t>
      </w:r>
    </w:p>
    <w:p>
      <w:pPr>
        <w:pStyle w:val="BodyText"/>
      </w:pPr>
      <w:r>
        <w:rPr>
          <w:iCs/>
          <w:i/>
        </w:rPr>
        <w:t xml:space="preserve">[List 3-5 specific priorities, e.g.,</w:t>
      </w:r>
      <w:r>
        <w:rPr>
          <w:iCs/>
          <w:i/>
        </w:rPr>
        <w:t xml:space="preserve"> </w:t>
      </w:r>
      <w:r>
        <w:rPr>
          <w:iCs/>
          <w:i/>
        </w:rPr>
        <w:t xml:space="preserve">‘</w:t>
      </w:r>
      <w:r>
        <w:rPr>
          <w:iCs/>
          <w:i/>
        </w:rPr>
        <w:t xml:space="preserve">Build 13-week cash flow model,</w:t>
      </w:r>
      <w:r>
        <w:rPr>
          <w:iCs/>
          <w:i/>
        </w:rPr>
        <w:t xml:space="preserve">’</w:t>
      </w:r>
      <w:r>
        <w:rPr>
          <w:iCs/>
          <w:i/>
        </w:rPr>
        <w:t xml:space="preserve"> </w:t>
      </w:r>
      <w:r>
        <w:rPr>
          <w:iCs/>
          <w:i/>
        </w:rPr>
        <w:t xml:space="preserve">‘</w:t>
      </w:r>
      <w:r>
        <w:rPr>
          <w:iCs/>
          <w:i/>
        </w:rPr>
        <w:t xml:space="preserve">Prepare Q2 board deck,</w:t>
      </w:r>
      <w:r>
        <w:rPr>
          <w:iCs/>
          <w:i/>
        </w:rPr>
        <w:t xml:space="preserve">’</w:t>
      </w:r>
      <w:r>
        <w:rPr>
          <w:iCs/>
          <w:i/>
        </w:rPr>
        <w:t xml:space="preserve"> </w:t>
      </w:r>
      <w:r>
        <w:rPr>
          <w:iCs/>
          <w:i/>
        </w:rPr>
        <w:t xml:space="preserve">‘</w:t>
      </w:r>
      <w:r>
        <w:rPr>
          <w:iCs/>
          <w:i/>
        </w:rPr>
        <w:t xml:space="preserve">Restructure sales compensation plan</w:t>
      </w:r>
      <w:r>
        <w:rPr>
          <w:iCs/>
          <w:i/>
        </w:rPr>
        <w:t xml:space="preserve">’</w:t>
      </w:r>
      <w:r>
        <w:rPr>
          <w:iCs/>
          <w:i/>
        </w:rPr>
        <w:t xml:space="preserve">]</w:t>
      </w:r>
    </w:p>
    <w:p>
      <w:pPr>
        <w:pStyle w:val="BodyText"/>
      </w:pPr>
      <w:r>
        <w:t xml:space="preserve">Success metrics (as specified by Client during diagnostic):</w:t>
      </w:r>
    </w:p>
    <w:p>
      <w:pPr>
        <w:pStyle w:val="BodyText"/>
      </w:pPr>
      <w:r>
        <w:rPr>
          <w:iCs/>
          <w:i/>
        </w:rPr>
        <w:t xml:space="preserve">[List 2-3 success metrics]</w:t>
      </w:r>
    </w:p>
    <w:bookmarkEnd w:id="45"/>
    <w:bookmarkStart w:id="46" w:name="a5.-stakeholders-and-reporting-structure"/>
    <w:p>
      <w:pPr>
        <w:pStyle w:val="Heading2"/>
      </w:pPr>
      <w:r>
        <w:t xml:space="preserve">A5. Stakeholders and reporting structure</w:t>
      </w:r>
    </w:p>
    <w:p>
      <w:pPr>
        <w:pStyle w:val="FirstParagraph"/>
      </w:pPr>
      <w:r>
        <w:rPr>
          <w:bCs/>
          <w:b/>
        </w:rPr>
        <w:t xml:space="preserve">Operator reports to:</w:t>
      </w:r>
      <w:r>
        <w:rPr>
          <w:bCs/>
          <w:b/>
        </w:rPr>
        <w:t xml:space="preserve"> </w:t>
      </w:r>
      <w:r>
        <w:rPr>
          <w:iCs/>
          <w:i/>
        </w:rPr>
        <w:t xml:space="preserve">[Client CEO / CFO / other]</w:t>
      </w:r>
    </w:p>
    <w:p>
      <w:pPr>
        <w:pStyle w:val="BodyText"/>
      </w:pPr>
      <w:r>
        <w:rPr>
          <w:bCs/>
          <w:b/>
        </w:rPr>
        <w:t xml:space="preserve">Key internal partners:</w:t>
      </w:r>
      <w:r>
        <w:rPr>
          <w:bCs/>
          <w:b/>
        </w:rPr>
        <w:t xml:space="preserve"> </w:t>
      </w:r>
      <w:r>
        <w:rPr>
          <w:iCs/>
          <w:i/>
        </w:rPr>
        <w:t xml:space="preserve">[List]</w:t>
      </w:r>
    </w:p>
    <w:p>
      <w:pPr>
        <w:pStyle w:val="BodyText"/>
      </w:pPr>
      <w:r>
        <w:rPr>
          <w:bCs/>
          <w:b/>
        </w:rPr>
        <w:t xml:space="preserve">Cadence of Client check-ins:</w:t>
      </w:r>
      <w:r>
        <w:rPr>
          <w:bCs/>
          <w:b/>
        </w:rPr>
        <w:t xml:space="preserve"> </w:t>
      </w:r>
      <w:r>
        <w:rPr>
          <w:iCs/>
          <w:i/>
        </w:rPr>
        <w:t xml:space="preserve">[Weekly / bi-weekly / as needed]</w:t>
      </w:r>
    </w:p>
    <w:bookmarkEnd w:id="46"/>
    <w:bookmarkStart w:id="47" w:name="a6.-engagement-specific-terms"/>
    <w:p>
      <w:pPr>
        <w:pStyle w:val="Heading2"/>
      </w:pPr>
      <w:r>
        <w:t xml:space="preserve">A6. Engagement-specific terms</w:t>
      </w:r>
    </w:p>
    <w:p>
      <w:pPr>
        <w:pStyle w:val="FirstParagraph"/>
      </w:pPr>
      <w:r>
        <w:rPr>
          <w:iCs/>
          <w:i/>
        </w:rPr>
        <w:t xml:space="preserve">[Any engagement-specific modifications or additions to the Master ICA, e.g., Client-specific confidentiality addendum, travel expectations, use of Client systems]</w:t>
      </w:r>
    </w:p>
    <w:bookmarkEnd w:id="47"/>
    <w:bookmarkStart w:id="48" w:name="a7.-signatures-for-this-sow"/>
    <w:p>
      <w:pPr>
        <w:pStyle w:val="Heading2"/>
      </w:pPr>
      <w:r>
        <w:t xml:space="preserve">A7. Signatures for this SOW</w:t>
      </w:r>
    </w:p>
    <w:p>
      <w:pPr>
        <w:pStyle w:val="FirstParagraph"/>
      </w:pPr>
      <w:r>
        <w:t xml:space="preserve">Fractional Standard LLC — _________________________________________ Date: _____________</w:t>
      </w:r>
    </w:p>
    <w:p>
      <w:pPr>
        <w:pStyle w:val="BodyText"/>
      </w:pPr>
      <w:r>
        <w:t xml:space="preserve">Operator — ______________________________________________________ Date: _____________</w:t>
      </w:r>
    </w:p>
    <w:p>
      <w:pPr>
        <w:pStyle w:val="BodyText"/>
      </w:pPr>
      <w:r>
        <w:t xml:space="preserve">Client acknowledgment (as applicable) — __________________________ Date: _____________</w:t>
      </w:r>
    </w:p>
    <w:p>
      <w:pPr>
        <w:pStyle w:val="BodyText"/>
      </w:pPr>
      <w:r>
        <w:rPr>
          <w:bCs/>
          <w:b/>
        </w:rPr>
        <w:t xml:space="preserve">EXHIBIT B</w:t>
      </w:r>
    </w:p>
    <w:p>
      <w:pPr>
        <w:pStyle w:val="BodyText"/>
      </w:pPr>
      <w:r>
        <w:rPr>
          <w:bCs/>
          <w:b/>
        </w:rPr>
        <w:t xml:space="preserve">Compensation Schedule (Standard)</w:t>
      </w:r>
    </w:p>
    <w:bookmarkEnd w:id="48"/>
    <w:bookmarkStart w:id="49" w:name="X99bfd79235dfb50a228d966acea3118b40c0474"/>
    <w:p>
      <w:pPr>
        <w:pStyle w:val="Heading2"/>
      </w:pPr>
      <w:r>
        <w:t xml:space="preserve">B1. Operator monthly fee — calculation methodology</w:t>
      </w:r>
    </w:p>
    <w:p>
      <w:pPr>
        <w:pStyle w:val="FirstParagraph"/>
      </w:pPr>
      <w:r>
        <w:t xml:space="preserve">The Operator’s compensation under each Engagement is a fixed monthly fee calculated using the following formula:</w:t>
      </w:r>
    </w:p>
    <w:p>
      <w:pPr>
        <w:pStyle w:val="BodyText"/>
      </w:pPr>
      <w:r>
        <w:rPr>
          <w:bCs/>
          <w:b/>
        </w:rPr>
        <w:t xml:space="preserve">Operator Monthly Fee = (Weekly Hours Target × Operator Hourly Rate × 52) ÷ 12, rounded to the nearest $25.</w:t>
      </w:r>
    </w:p>
    <w:p>
      <w:pPr>
        <w:pStyle w:val="BodyText"/>
      </w:pPr>
      <w:r>
        <w:t xml:space="preserve">Where:</w:t>
      </w:r>
    </w:p>
    <w:p>
      <w:pPr>
        <w:numPr>
          <w:ilvl w:val="0"/>
          <w:numId w:val="1006"/>
        </w:numPr>
        <w:pStyle w:val="Compact"/>
      </w:pPr>
      <w:r>
        <w:rPr>
          <w:bCs/>
          <w:b/>
        </w:rPr>
        <w:t xml:space="preserve">Weekly Hours Target</w:t>
      </w:r>
      <w:r>
        <w:t xml:space="preserve"> </w:t>
      </w:r>
      <w:r>
        <w:t xml:space="preserve">is the approximate weekly capacity associated with the Engagement’s Retainer Tier (Foundation ~5 hrs/wk; Growth ~10; Scale ~15; Embedded ~20).</w:t>
      </w:r>
    </w:p>
    <w:p>
      <w:pPr>
        <w:numPr>
          <w:ilvl w:val="0"/>
          <w:numId w:val="1006"/>
        </w:numPr>
        <w:pStyle w:val="Compact"/>
      </w:pPr>
      <w:r>
        <w:rPr>
          <w:bCs/>
          <w:b/>
        </w:rPr>
        <w:t xml:space="preserve">Operator Hourly Rate</w:t>
      </w:r>
      <w:r>
        <w:t xml:space="preserve"> </w:t>
      </w:r>
      <w:r>
        <w:t xml:space="preserve">is the rate agreed between the Company and the Operator at onboarding, used solely to derive the monthly fee.</w:t>
      </w:r>
    </w:p>
    <w:p>
      <w:pPr>
        <w:pStyle w:val="FirstParagraph"/>
      </w:pPr>
      <w:r>
        <w:t xml:space="preserve">The methodology normalizes the 4-week (</w:t>
      </w:r>
      <w:r>
        <w:t xml:space="preserve">“</w:t>
      </w:r>
      <w:r>
        <w:t xml:space="preserve">quad</w:t>
      </w:r>
      <w:r>
        <w:t xml:space="preserve">”</w:t>
      </w:r>
      <w:r>
        <w:t xml:space="preserve">) work rhythm into a monthly pay cycle so that the Operator receives the same fixed monthly amount regardless of whether a calendar month contains 4.0 or 4.4 work-weeks.</w:t>
      </w:r>
    </w:p>
    <w:p>
      <w:pPr>
        <w:pStyle w:val="BodyText"/>
      </w:pPr>
      <w:r>
        <w:rPr>
          <w:bCs/>
          <w:b/>
        </w:rPr>
        <w:t xml:space="preserve">Reference rate schedule (current as of</w:t>
      </w:r>
      <w:r>
        <w:rPr>
          <w:bCs/>
          <w:b/>
        </w:rPr>
        <w:t xml:space="preserve"> </w:t>
      </w:r>
      <w:r>
        <w:rPr>
          <w:iCs/>
          <w:i/>
          <w:bCs/>
          <w:b/>
        </w:rPr>
        <w:t xml:space="preserve">[Effective Date]</w:t>
      </w:r>
      <w:r>
        <w:rPr>
          <w:bCs/>
          <w:b/>
        </w:rPr>
        <w:t xml:space="preserve">; subject to update by the Company from time to time):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Role</w:t>
            </w:r>
          </w:p>
        </w:tc>
        <w:tc>
          <w:tcPr/>
          <w:p>
            <w:pPr>
              <w:pStyle w:val="Compact"/>
              <w:jc w:val="left"/>
            </w:pPr>
            <w:r>
              <w:rPr>
                <w:bCs/>
                <w:b/>
              </w:rPr>
              <w:t xml:space="preserve">Operator Hourly Rate</w:t>
            </w:r>
          </w:p>
        </w:tc>
        <w:tc>
          <w:tcPr/>
          <w:p>
            <w:pPr>
              <w:pStyle w:val="Compact"/>
              <w:jc w:val="left"/>
            </w:pPr>
            <w:r>
              <w:rPr>
                <w:bCs/>
                <w:b/>
              </w:rPr>
              <w:t xml:space="preserve">Foundation Monthly Fee (~5 hrs/wk)</w:t>
            </w:r>
          </w:p>
        </w:tc>
        <w:tc>
          <w:tcPr/>
          <w:p>
            <w:pPr>
              <w:pStyle w:val="Compact"/>
              <w:jc w:val="left"/>
            </w:pPr>
            <w:r>
              <w:rPr>
                <w:bCs/>
                <w:b/>
              </w:rPr>
              <w:t xml:space="preserve">Growth Monthly Fee (~10 hrs/wk)</w:t>
            </w:r>
          </w:p>
        </w:tc>
        <w:tc>
          <w:tcPr/>
          <w:p>
            <w:pPr>
              <w:pStyle w:val="Compact"/>
              <w:jc w:val="left"/>
            </w:pPr>
            <w:r>
              <w:rPr>
                <w:bCs/>
                <w:b/>
              </w:rPr>
              <w:t xml:space="preserve">Scale Monthly Fee (~15 hrs/wk)</w:t>
            </w:r>
          </w:p>
        </w:tc>
        <w:tc>
          <w:tcPr/>
          <w:p>
            <w:pPr>
              <w:pStyle w:val="Compact"/>
              <w:jc w:val="left"/>
            </w:pPr>
            <w:r>
              <w:rPr>
                <w:bCs/>
                <w:b/>
              </w:rPr>
              <w:t xml:space="preserve">Embedded Monthly Fee (~20 hrs/wk)</w:t>
            </w:r>
          </w:p>
        </w:tc>
      </w:tr>
      <w:tr>
        <w:tc>
          <w:tcPr/>
          <w:p>
            <w:pPr>
              <w:pStyle w:val="Compact"/>
              <w:jc w:val="left"/>
            </w:pPr>
            <w:r>
              <w:t xml:space="preserve">Fractional CFO</w:t>
            </w:r>
          </w:p>
        </w:tc>
        <w:tc>
          <w:tcPr/>
          <w:p>
            <w:pPr>
              <w:pStyle w:val="Compact"/>
              <w:jc w:val="left"/>
            </w:pPr>
            <w:r>
              <w:t xml:space="preserve">$150/hr</w:t>
            </w:r>
          </w:p>
        </w:tc>
        <w:tc>
          <w:tcPr/>
          <w:p>
            <w:pPr>
              <w:pStyle w:val="Compact"/>
              <w:jc w:val="left"/>
            </w:pPr>
            <w:r>
              <w:t xml:space="preserve">$3,250/mo</w:t>
            </w:r>
          </w:p>
        </w:tc>
        <w:tc>
          <w:tcPr/>
          <w:p>
            <w:pPr>
              <w:pStyle w:val="Compact"/>
              <w:jc w:val="left"/>
            </w:pPr>
            <w:r>
              <w:t xml:space="preserve">$6,500/mo</w:t>
            </w:r>
          </w:p>
        </w:tc>
        <w:tc>
          <w:tcPr/>
          <w:p>
            <w:pPr>
              <w:pStyle w:val="Compact"/>
              <w:jc w:val="left"/>
            </w:pPr>
            <w:r>
              <w:t xml:space="preserve">$9,750/mo</w:t>
            </w:r>
          </w:p>
        </w:tc>
        <w:tc>
          <w:tcPr/>
          <w:p>
            <w:pPr>
              <w:pStyle w:val="Compact"/>
              <w:jc w:val="left"/>
            </w:pPr>
            <w:r>
              <w:t xml:space="preserve">$13,000/mo</w:t>
            </w:r>
          </w:p>
        </w:tc>
      </w:tr>
      <w:tr>
        <w:tc>
          <w:tcPr/>
          <w:p>
            <w:pPr>
              <w:pStyle w:val="Compact"/>
              <w:jc w:val="left"/>
            </w:pPr>
            <w:r>
              <w:t xml:space="preserve">Fractional COO</w:t>
            </w:r>
          </w:p>
        </w:tc>
        <w:tc>
          <w:tcPr/>
          <w:p>
            <w:pPr>
              <w:pStyle w:val="Compact"/>
              <w:jc w:val="left"/>
            </w:pPr>
            <w:r>
              <w:t xml:space="preserve">$165/hr</w:t>
            </w:r>
          </w:p>
        </w:tc>
        <w:tc>
          <w:tcPr/>
          <w:p>
            <w:pPr>
              <w:pStyle w:val="Compact"/>
              <w:jc w:val="left"/>
            </w:pPr>
            <w:r>
              <w:t xml:space="preserve">$3,575/mo</w:t>
            </w:r>
          </w:p>
        </w:tc>
        <w:tc>
          <w:tcPr/>
          <w:p>
            <w:pPr>
              <w:pStyle w:val="Compact"/>
              <w:jc w:val="left"/>
            </w:pPr>
            <w:r>
              <w:t xml:space="preserve">$7,150/mo</w:t>
            </w:r>
          </w:p>
        </w:tc>
        <w:tc>
          <w:tcPr/>
          <w:p>
            <w:pPr>
              <w:pStyle w:val="Compact"/>
              <w:jc w:val="left"/>
            </w:pPr>
            <w:r>
              <w:t xml:space="preserve">$10,725/mo</w:t>
            </w:r>
          </w:p>
        </w:tc>
        <w:tc>
          <w:tcPr/>
          <w:p>
            <w:pPr>
              <w:pStyle w:val="Compact"/>
              <w:jc w:val="left"/>
            </w:pPr>
            <w:r>
              <w:t xml:space="preserve">$14,300/mo</w:t>
            </w:r>
          </w:p>
        </w:tc>
      </w:tr>
      <w:tr>
        <w:tc>
          <w:tcPr/>
          <w:p>
            <w:pPr>
              <w:pStyle w:val="Compact"/>
              <w:jc w:val="left"/>
            </w:pPr>
            <w:r>
              <w:t xml:space="preserve">Fractional CMO</w:t>
            </w:r>
          </w:p>
        </w:tc>
        <w:tc>
          <w:tcPr/>
          <w:p>
            <w:pPr>
              <w:pStyle w:val="Compact"/>
              <w:jc w:val="left"/>
            </w:pPr>
            <w:r>
              <w:t xml:space="preserve">$145/hr</w:t>
            </w:r>
          </w:p>
        </w:tc>
        <w:tc>
          <w:tcPr/>
          <w:p>
            <w:pPr>
              <w:pStyle w:val="Compact"/>
              <w:jc w:val="left"/>
            </w:pPr>
            <w:r>
              <w:t xml:space="preserve">$3,150/mo</w:t>
            </w:r>
          </w:p>
        </w:tc>
        <w:tc>
          <w:tcPr/>
          <w:p>
            <w:pPr>
              <w:pStyle w:val="Compact"/>
              <w:jc w:val="left"/>
            </w:pPr>
            <w:r>
              <w:t xml:space="preserve">$6,275/mo</w:t>
            </w:r>
          </w:p>
        </w:tc>
        <w:tc>
          <w:tcPr/>
          <w:p>
            <w:pPr>
              <w:pStyle w:val="Compact"/>
              <w:jc w:val="left"/>
            </w:pPr>
            <w:r>
              <w:t xml:space="preserve">$9,425/mo</w:t>
            </w:r>
          </w:p>
        </w:tc>
        <w:tc>
          <w:tcPr/>
          <w:p>
            <w:pPr>
              <w:pStyle w:val="Compact"/>
              <w:jc w:val="left"/>
            </w:pPr>
            <w:r>
              <w:t xml:space="preserve">$12,575/mo</w:t>
            </w:r>
          </w:p>
        </w:tc>
      </w:tr>
      <w:tr>
        <w:tc>
          <w:tcPr/>
          <w:p>
            <w:pPr>
              <w:pStyle w:val="Compact"/>
              <w:jc w:val="left"/>
            </w:pPr>
            <w:r>
              <w:t xml:space="preserve">Fractional CTO</w:t>
            </w:r>
          </w:p>
        </w:tc>
        <w:tc>
          <w:tcPr/>
          <w:p>
            <w:pPr>
              <w:pStyle w:val="Compact"/>
              <w:jc w:val="left"/>
            </w:pPr>
            <w:r>
              <w:t xml:space="preserve">$185/hr</w:t>
            </w:r>
          </w:p>
        </w:tc>
        <w:tc>
          <w:tcPr/>
          <w:p>
            <w:pPr>
              <w:pStyle w:val="Compact"/>
              <w:jc w:val="left"/>
            </w:pPr>
            <w:r>
              <w:t xml:space="preserve">$4,000/mo</w:t>
            </w:r>
          </w:p>
        </w:tc>
        <w:tc>
          <w:tcPr/>
          <w:p>
            <w:pPr>
              <w:pStyle w:val="Compact"/>
              <w:jc w:val="left"/>
            </w:pPr>
            <w:r>
              <w:t xml:space="preserve">$8,025/mo</w:t>
            </w:r>
          </w:p>
        </w:tc>
        <w:tc>
          <w:tcPr/>
          <w:p>
            <w:pPr>
              <w:pStyle w:val="Compact"/>
              <w:jc w:val="left"/>
            </w:pPr>
            <w:r>
              <w:t xml:space="preserve">$12,025/mo</w:t>
            </w:r>
          </w:p>
        </w:tc>
        <w:tc>
          <w:tcPr/>
          <w:p>
            <w:pPr>
              <w:pStyle w:val="Compact"/>
              <w:jc w:val="left"/>
            </w:pPr>
            <w:r>
              <w:t xml:space="preserve">$16,025/mo</w:t>
            </w:r>
          </w:p>
        </w:tc>
      </w:tr>
      <w:tr>
        <w:tc>
          <w:tcPr/>
          <w:p>
            <w:pPr>
              <w:pStyle w:val="Compact"/>
              <w:jc w:val="left"/>
            </w:pPr>
            <w:r>
              <w:t xml:space="preserve">Fractional CRO</w:t>
            </w:r>
          </w:p>
        </w:tc>
        <w:tc>
          <w:tcPr/>
          <w:p>
            <w:pPr>
              <w:pStyle w:val="Compact"/>
              <w:jc w:val="left"/>
            </w:pPr>
            <w:r>
              <w:t xml:space="preserve">$170/hr</w:t>
            </w:r>
          </w:p>
        </w:tc>
        <w:tc>
          <w:tcPr/>
          <w:p>
            <w:pPr>
              <w:pStyle w:val="Compact"/>
              <w:jc w:val="left"/>
            </w:pPr>
            <w:r>
              <w:t xml:space="preserve">$3,675/mo</w:t>
            </w:r>
          </w:p>
        </w:tc>
        <w:tc>
          <w:tcPr/>
          <w:p>
            <w:pPr>
              <w:pStyle w:val="Compact"/>
              <w:jc w:val="left"/>
            </w:pPr>
            <w:r>
              <w:t xml:space="preserve">$7,375/mo</w:t>
            </w:r>
          </w:p>
        </w:tc>
        <w:tc>
          <w:tcPr/>
          <w:p>
            <w:pPr>
              <w:pStyle w:val="Compact"/>
              <w:jc w:val="left"/>
            </w:pPr>
            <w:r>
              <w:t xml:space="preserve">$11,050/mo</w:t>
            </w:r>
          </w:p>
        </w:tc>
        <w:tc>
          <w:tcPr/>
          <w:p>
            <w:pPr>
              <w:pStyle w:val="Compact"/>
              <w:jc w:val="left"/>
            </w:pPr>
            <w:r>
              <w:t xml:space="preserve">$14,725/mo</w:t>
            </w:r>
          </w:p>
        </w:tc>
      </w:tr>
    </w:tbl>
    <w:p>
      <w:pPr>
        <w:pStyle w:val="BodyText"/>
      </w:pPr>
      <w:r>
        <w:t xml:space="preserve">The specific Operator Hourly Rate and resulting Operator Monthly Fee for any given Engagement are set forth in the applicable Statement of Work.</w:t>
      </w:r>
    </w:p>
    <w:bookmarkEnd w:id="49"/>
    <w:bookmarkStart w:id="50" w:name="b2.-allocation-flex-and-scope-expansion"/>
    <w:p>
      <w:pPr>
        <w:pStyle w:val="Heading2"/>
      </w:pPr>
      <w:r>
        <w:t xml:space="preserve">B2. Allocation flex and scope expansion</w:t>
      </w:r>
    </w:p>
    <w:p>
      <w:pPr>
        <w:numPr>
          <w:ilvl w:val="0"/>
          <w:numId w:val="1007"/>
        </w:numPr>
      </w:pPr>
      <w:r>
        <w:t xml:space="preserve">The Operator is paid the full Operator Monthly Fee specified in the SOW each calendar month for the duration of the Engagement, regardless of whether logged hours in any given month land above or below the Tier weekly hours target. The Operator is expected to provide services proactively up to the Tier allocation when the Client has relevant work.</w:t>
      </w:r>
    </w:p>
    <w:p>
      <w:pPr>
        <w:numPr>
          <w:ilvl w:val="0"/>
          <w:numId w:val="1007"/>
        </w:numPr>
      </w:pPr>
      <w:r>
        <w:t xml:space="preserve">Within-month flex (heavier weeks balanced by lighter weeks) is normal and does not change the monthly fee. Logged hours below the Tier allocation in a given month are not deducted from the Operator’s compensation; logged hours above the Tier allocation are not separately compensated.</w:t>
      </w:r>
    </w:p>
    <w:p>
      <w:pPr>
        <w:numPr>
          <w:ilvl w:val="0"/>
          <w:numId w:val="1007"/>
        </w:numPr>
      </w:pPr>
      <w:r>
        <w:t xml:space="preserve">Sustained scope expansion (engagement scope materially exceeding the Tier allocation across two or more consecutive months) is not addressed by paying the Operator more in the original Engagement. It is addressed by the Company initiating a tier-upgrade or scope-expansion conversation with the Client (Master ICA Section 2.4). If the Client agrees to a higher Tier or to a supplemental engagement, the Operator’s compensation is updated by amendment to the applicable SOW or by issuance of a new SOW.</w:t>
      </w:r>
    </w:p>
    <w:p>
      <w:pPr>
        <w:numPr>
          <w:ilvl w:val="0"/>
          <w:numId w:val="1007"/>
        </w:numPr>
      </w:pPr>
      <w:r>
        <w:t xml:space="preserve">If the Client terminates an Engagement (including by exercising the 30-Day Engagement-Phase Replacement Right under Section 6.6 or by terminating the underlying MSA), Operator compensation is determined under Master ICA Section 3.8: strict calendar-day proration through the Last Service Date, no additional severance, with the Company’s 60-day pool-priority commitment for the Operator following the Last Service Date.</w:t>
      </w:r>
    </w:p>
    <w:bookmarkEnd w:id="50"/>
    <w:bookmarkStart w:id="51" w:name="b3.-referral-bonus"/>
    <w:p>
      <w:pPr>
        <w:pStyle w:val="Heading2"/>
      </w:pPr>
      <w:r>
        <w:t xml:space="preserve">B3. Referral bonus</w:t>
      </w:r>
    </w:p>
    <w:p>
      <w:pPr>
        <w:pStyle w:val="FirstParagraph"/>
      </w:pPr>
      <w:r>
        <w:t xml:space="preserve">The Operator may participate in the Company’s Operator Referral Program, subject to the program’s terms (currently</w:t>
      </w:r>
      <w:r>
        <w:t xml:space="preserve"> </w:t>
      </w:r>
      <w:r>
        <w:rPr>
          <w:iCs/>
          <w:i/>
        </w:rPr>
        <w:t xml:space="preserve">[$500 total per successful referral — $250 upon referred operator’s signed ICA, $250 upon referred operator’s first completed Engagement]</w:t>
      </w:r>
      <w:r>
        <w:t xml:space="preserve">).</w:t>
      </w:r>
    </w:p>
    <w:bookmarkEnd w:id="51"/>
    <w:bookmarkStart w:id="52" w:name="b4.-payment-processing"/>
    <w:p>
      <w:pPr>
        <w:pStyle w:val="Heading2"/>
      </w:pPr>
      <w:r>
        <w:t xml:space="preserve">B4. Payment processing</w:t>
      </w:r>
    </w:p>
    <w:p>
      <w:pPr>
        <w:pStyle w:val="FirstParagraph"/>
      </w:pPr>
      <w:r>
        <w:t xml:space="preserve">Payments are made via</w:t>
      </w:r>
      <w:r>
        <w:t xml:space="preserve"> </w:t>
      </w:r>
      <w:r>
        <w:rPr>
          <w:iCs/>
          <w:i/>
        </w:rPr>
        <w:t xml:space="preserve">[ACH / Stripe]</w:t>
      </w:r>
      <w:r>
        <w:t xml:space="preserve"> </w:t>
      </w:r>
      <w:r>
        <w:t xml:space="preserve">on the 15th day of each month for services performed during the preceding calendar month. If the 15th falls on a weekend or holiday, payment is made on the next business day.</w:t>
      </w:r>
    </w:p>
    <w:p>
      <w:pPr>
        <w:pStyle w:val="BodyText"/>
      </w:pPr>
      <w:r>
        <w:rPr>
          <w:bCs/>
          <w:b/>
        </w:rPr>
        <w:t xml:space="preserve">EXHIBIT C</w:t>
      </w:r>
    </w:p>
    <w:p>
      <w:pPr>
        <w:pStyle w:val="BodyText"/>
      </w:pPr>
      <w:r>
        <w:rPr>
          <w:bCs/>
          <w:b/>
        </w:rPr>
        <w:t xml:space="preserve">AI Disclosure and Consent</w:t>
      </w:r>
    </w:p>
    <w:p>
      <w:pPr>
        <w:pStyle w:val="BodyText"/>
      </w:pPr>
      <w:r>
        <w:rPr>
          <w:iCs/>
          <w:i/>
        </w:rPr>
        <w:t xml:space="preserve">This AI Disclosure was provided to the Operator before the Operator’s participation in the Company’s assessment process. The Operator’s signature on this Exhibit C (or electronic acknowledgment of the disclosure before the assessment) confirms consent.</w:t>
      </w:r>
    </w:p>
    <w:bookmarkEnd w:id="52"/>
    <w:bookmarkStart w:id="53" w:name="c1.-ai-assessment-disclosure"/>
    <w:p>
      <w:pPr>
        <w:pStyle w:val="Heading2"/>
      </w:pPr>
      <w:r>
        <w:t xml:space="preserve">C1. AI Assessment Disclosure</w:t>
      </w:r>
    </w:p>
    <w:p>
      <w:pPr>
        <w:pStyle w:val="FirstParagraph"/>
      </w:pPr>
      <w:r>
        <w:t xml:space="preserve">Fractional Standard uses an AI-powered assessment system to evaluate operator qualifications. Here is what you should know before completing the assessment:</w:t>
      </w:r>
    </w:p>
    <w:p>
      <w:pPr>
        <w:numPr>
          <w:ilvl w:val="0"/>
          <w:numId w:val="1008"/>
        </w:numPr>
      </w:pPr>
      <w:r>
        <w:t xml:space="preserve">Your simulation session will be transcribed. The transcript will be scored by an AI system (Claude, developed by Anthropic) against a structured rubric with five dimensions.</w:t>
      </w:r>
    </w:p>
    <w:p>
      <w:pPr>
        <w:numPr>
          <w:ilvl w:val="0"/>
          <w:numId w:val="1008"/>
        </w:numPr>
      </w:pPr>
      <w:r>
        <w:t xml:space="preserve">The AI evaluates your responses on specific dimensions set forth in the rubric. It does not evaluate personal characteristics, demographics, or any legally protected attributes.</w:t>
      </w:r>
    </w:p>
    <w:p>
      <w:pPr>
        <w:numPr>
          <w:ilvl w:val="0"/>
          <w:numId w:val="1008"/>
        </w:numPr>
      </w:pPr>
      <w:r>
        <w:t xml:space="preserve">A human reviewer (Kevin Krull) validates all AI-generated scores and makes the final pool admission decision and any subsequent qualitative assessments used in matching. No admission decision is made solely by AI.</w:t>
      </w:r>
    </w:p>
    <w:p>
      <w:pPr>
        <w:numPr>
          <w:ilvl w:val="0"/>
          <w:numId w:val="1008"/>
        </w:numPr>
      </w:pPr>
      <w:r>
        <w:t xml:space="preserve">Your simulation responses, artifact submissions, and reference notes are stored securely and are used only for assessment purposes, matching, quality assurance, and calibration of the assessment methodology.</w:t>
      </w:r>
    </w:p>
    <w:p>
      <w:pPr>
        <w:numPr>
          <w:ilvl w:val="0"/>
          <w:numId w:val="1008"/>
        </w:numPr>
      </w:pPr>
      <w:r>
        <w:t xml:space="preserve">You may request information about the scoring methodology or about how AI is used in the assessment process at any time.</w:t>
      </w:r>
    </w:p>
    <w:p>
      <w:pPr>
        <w:numPr>
          <w:ilvl w:val="0"/>
          <w:numId w:val="1008"/>
        </w:numPr>
      </w:pPr>
      <w:r>
        <w:t xml:space="preserve">By proceeding with the assessment, you acknowledge that you have read and understood this disclosure and you consent to the use of AI in the assessment process as described.</w:t>
      </w:r>
    </w:p>
    <w:bookmarkEnd w:id="53"/>
    <w:bookmarkStart w:id="54" w:name="c2.-operator-acknowledgment"/>
    <w:p>
      <w:pPr>
        <w:pStyle w:val="Heading2"/>
      </w:pPr>
      <w:r>
        <w:t xml:space="preserve">C2. Operator acknowledgment</w:t>
      </w:r>
    </w:p>
    <w:p>
      <w:pPr>
        <w:pStyle w:val="FirstParagraph"/>
      </w:pPr>
      <w:r>
        <w:t xml:space="preserve">By signing below (or by indicating electronic acknowledgment in the Company’s assessment system), the Operator confirms: (a) receipt of this AI Disclosure before assessment, (b) understanding of the role of AI in the assessment, (c) consent to the use of AI as described, and (d) consent to the retention and use of assessment data per the Master ICA and the Company’s Privacy Policy.</w:t>
      </w:r>
    </w:p>
    <w:p>
      <w:pPr>
        <w:pStyle w:val="BodyText"/>
      </w:pPr>
      <w:r>
        <w:t xml:space="preserve">Operator signature: _______________________________ Date: _____________</w:t>
      </w:r>
    </w:p>
    <w:p>
      <w:pPr>
        <w:pStyle w:val="BodyText"/>
      </w:pPr>
      <w:r>
        <w:rPr>
          <w:bCs/>
          <w:b/>
        </w:rPr>
        <w:t xml:space="preserve">EXHIBIT D</w:t>
      </w:r>
    </w:p>
    <w:p>
      <w:pPr>
        <w:pStyle w:val="BodyText"/>
      </w:pPr>
      <w:r>
        <w:rPr>
          <w:bCs/>
          <w:b/>
        </w:rPr>
        <w:t xml:space="preserve">Background Check Consent</w:t>
      </w:r>
    </w:p>
    <w:p>
      <w:pPr>
        <w:pStyle w:val="BodyText"/>
      </w:pPr>
      <w:r>
        <w:rPr>
          <w:iCs/>
          <w:i/>
        </w:rPr>
        <w:t xml:space="preserve">This Background Check Consent is required before the Operator completes assessment.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w:t>
            </w:r>
            <w:r>
              <w:t xml:space="preserve">** ATTORNEY REVIEW REQUIRED** The language in Exhibit D must be drafted or approved by counsel for FCRA compliance (Fair Credit Reporting Act), along with applicable state-law compliance (e.g., California ICRAA, New York City Fair Chance Act). The exact disclosure and consent language is prescribed by law in several jurisdictions. DO NOT USE THIS EXHIBIT AS-IS. Counsel should supply the statutory-compliant language for each jurisdiction in which operators may reside. The placeholder below is a high-level template only.</w:t>
            </w:r>
          </w:p>
        </w:tc>
      </w:tr>
    </w:tbl>
    <w:bookmarkEnd w:id="54"/>
    <w:bookmarkStart w:id="55" w:name="d1.-disclosure"/>
    <w:p>
      <w:pPr>
        <w:pStyle w:val="Heading2"/>
      </w:pPr>
      <w:r>
        <w:t xml:space="preserve">D1. Disclosure</w:t>
      </w:r>
    </w:p>
    <w:p>
      <w:pPr>
        <w:pStyle w:val="FirstParagraph"/>
      </w:pPr>
      <w:r>
        <w:t xml:space="preserve">Fractional Standard LLC (the</w:t>
      </w:r>
      <w:r>
        <w:t xml:space="preserve"> </w:t>
      </w:r>
      <w:r>
        <w:t xml:space="preserve">“</w:t>
      </w:r>
      <w:r>
        <w:t xml:space="preserve">Company</w:t>
      </w:r>
      <w:r>
        <w:t xml:space="preserve">”</w:t>
      </w:r>
      <w:r>
        <w:t xml:space="preserve">) may obtain a consumer report or investigative consumer report about you from a consumer reporting agency for the purpose of evaluating you for an independent-contractor engagement. The report may include information about your criminal background, employment verification, education verification, and professional references.</w:t>
      </w:r>
    </w:p>
    <w:p>
      <w:pPr>
        <w:pStyle w:val="BodyText"/>
      </w:pPr>
      <w:r>
        <w:t xml:space="preserve">The Company currently uses</w:t>
      </w:r>
      <w:r>
        <w:t xml:space="preserve"> </w:t>
      </w:r>
      <w:r>
        <w:rPr>
          <w:iCs/>
          <w:i/>
        </w:rPr>
        <w:t xml:space="preserve">[Checkr / GoodHire]</w:t>
      </w:r>
      <w:r>
        <w:t xml:space="preserve"> </w:t>
      </w:r>
      <w:r>
        <w:t xml:space="preserve">as its consumer reporting agency. You have the right to request a complete and accurate disclosure of the nature and scope of any investigative consumer report, to request a copy of any report received by the Company, and to dispute inaccurate information in the report.</w:t>
      </w:r>
    </w:p>
    <w:bookmarkEnd w:id="55"/>
    <w:bookmarkStart w:id="56" w:name="d2.-operator-consent"/>
    <w:p>
      <w:pPr>
        <w:pStyle w:val="Heading2"/>
      </w:pPr>
      <w:r>
        <w:t xml:space="preserve">D2. Operator consent</w:t>
      </w:r>
    </w:p>
    <w:p>
      <w:pPr>
        <w:pStyle w:val="FirstParagraph"/>
      </w:pPr>
      <w:r>
        <w:t xml:space="preserve">By signing below, the Operator authorizes the Company to obtain a consumer report or investigative consumer report from the consumer reporting agency named above, for the purpose of evaluating the Operator’s qualifications for engagement as an independent contractor with the Company.</w:t>
      </w:r>
    </w:p>
    <w:p>
      <w:pPr>
        <w:pStyle w:val="BodyText"/>
      </w:pPr>
      <w:r>
        <w:t xml:space="preserve">Operator name (printed): _______________________________</w:t>
      </w:r>
    </w:p>
    <w:p>
      <w:pPr>
        <w:pStyle w:val="BodyText"/>
      </w:pPr>
      <w:r>
        <w:t xml:space="preserve">Operator signature: _______________________________ Date: _____________</w:t>
      </w:r>
    </w:p>
    <w:p>
      <w:pPr>
        <w:pStyle w:val="BodyText"/>
      </w:pPr>
      <w:r>
        <w:rPr>
          <w:bCs/>
          <w:b/>
        </w:rPr>
        <w:t xml:space="preserve">APPENDIX F</w:t>
      </w:r>
    </w:p>
    <w:p>
      <w:pPr>
        <w:pStyle w:val="BodyText"/>
      </w:pPr>
      <w:r>
        <w:rPr>
          <w:bCs/>
          <w:b/>
        </w:rPr>
        <w:t xml:space="preserve">Pre-Attorney-Review Checklist</w:t>
      </w:r>
    </w:p>
    <w:p>
      <w:pPr>
        <w:pStyle w:val="BodyText"/>
      </w:pPr>
      <w:r>
        <w:rPr>
          <w:iCs/>
          <w:i/>
        </w:rPr>
        <w:t xml:space="preserve">For Kevin’s preparation before sending this draft to counsel</w:t>
      </w:r>
    </w:p>
    <w:p>
      <w:pPr>
        <w:pStyle w:val="BodyText"/>
      </w:pPr>
      <w:r>
        <w:t xml:space="preserve">Before counsel can convert this draft into a final agreement, make these business decisions. Document each decision before the attorney engagement begins — it will materially reduce billable review hours.</w:t>
      </w:r>
    </w:p>
    <w:bookmarkEnd w:id="56"/>
    <w:bookmarkStart w:id="57" w:name="business-decisions-needed"/>
    <w:p>
      <w:pPr>
        <w:pStyle w:val="Heading2"/>
      </w:pPr>
      <w:r>
        <w:t xml:space="preserve">Business decisions needed</w:t>
      </w:r>
    </w:p>
    <w:p>
      <w:pPr>
        <w:pStyle w:val="FirstParagraph"/>
      </w:pPr>
      <w:r>
        <w:rPr>
          <w:bCs/>
          <w:b/>
        </w:rPr>
        <w:t xml:space="preserve">1. State of LLC formation and governing law.</w:t>
      </w:r>
      <w:r>
        <w:rPr>
          <w:bCs/>
          <w:b/>
        </w:rPr>
        <w:t xml:space="preserve"> </w:t>
      </w:r>
      <w:r>
        <w:t xml:space="preserve">Master Business Plan V7 references Delaware as a likely LLC formation state; Kevin is in Georgia. Decide which state governs the ICA. Consider whether operators residing in other states (particularly California) trigger state-specific clauses.</w:t>
      </w:r>
    </w:p>
    <w:p>
      <w:pPr>
        <w:pStyle w:val="BodyText"/>
      </w:pPr>
      <w:r>
        <w:rPr>
          <w:bCs/>
          <w:b/>
        </w:rPr>
        <w:t xml:space="preserve">2. Notice periods.</w:t>
      </w:r>
      <w:r>
        <w:rPr>
          <w:bCs/>
          <w:b/>
        </w:rPr>
        <w:t xml:space="preserve"> </w:t>
      </w:r>
      <w:r>
        <w:t xml:space="preserve">Section 4.2 (termination without cause) placeholder is 30 days. Section 4.3 (termination for cause) cure period is 15 days. Adjust as appropriate.</w:t>
      </w:r>
    </w:p>
    <w:p>
      <w:pPr>
        <w:pStyle w:val="BodyText"/>
      </w:pPr>
      <w:r>
        <w:rPr>
          <w:bCs/>
          <w:b/>
        </w:rPr>
        <w:t xml:space="preserve">3. Non-solicit duration.</w:t>
      </w:r>
      <w:r>
        <w:rPr>
          <w:bCs/>
          <w:b/>
        </w:rPr>
        <w:t xml:space="preserve"> </w:t>
      </w:r>
      <w:r>
        <w:t xml:space="preserve">Section 9 uses 12 months as a placeholder. Operating Agreement uses 12 months for founders’ prospective-client lookback. Confirm 12 is the right number for operators, or shorten.</w:t>
      </w:r>
    </w:p>
    <w:p>
      <w:pPr>
        <w:pStyle w:val="BodyText"/>
      </w:pPr>
      <w:r>
        <w:rPr>
          <w:bCs/>
          <w:b/>
        </w:rPr>
        <w:t xml:space="preserve">4. Insurance requirements.</w:t>
      </w:r>
      <w:r>
        <w:rPr>
          <w:bCs/>
          <w:b/>
        </w:rPr>
        <w:t xml:space="preserve"> </w:t>
      </w:r>
      <w:r>
        <w:t xml:space="preserve">Section 13 offers three options: mandatory E&amp;O at stated minimums, mandatory at higher tiers only, or Company carries umbrella and doesn’t require operator coverage. Decide.</w:t>
      </w:r>
    </w:p>
    <w:p>
      <w:pPr>
        <w:pStyle w:val="BodyText"/>
      </w:pPr>
      <w:r>
        <w:rPr>
          <w:bCs/>
          <w:b/>
        </w:rPr>
        <w:t xml:space="preserve">5. Arbitration vs. litigation.</w:t>
      </w:r>
      <w:r>
        <w:rPr>
          <w:bCs/>
          <w:b/>
        </w:rPr>
        <w:t xml:space="preserve"> </w:t>
      </w:r>
      <w:r>
        <w:t xml:space="preserve">Section 16.3 asks counsel to pick. Kevin’s preference matters — arbitration is typically faster/private, but less appealable; litigation is public-precedent/broader-discovery.</w:t>
      </w:r>
    </w:p>
    <w:p>
      <w:pPr>
        <w:pStyle w:val="BodyText"/>
      </w:pPr>
      <w:r>
        <w:rPr>
          <w:bCs/>
          <w:b/>
        </w:rPr>
        <w:t xml:space="preserve">6. Liability caps.</w:t>
      </w:r>
      <w:r>
        <w:rPr>
          <w:bCs/>
          <w:b/>
        </w:rPr>
        <w:t xml:space="preserve"> </w:t>
      </w:r>
      <w:r>
        <w:t xml:space="preserve">Section 12.2 placeholder is total compensation in preceding 12 months. Consider a fixed dollar cap for some scenarios.</w:t>
      </w:r>
    </w:p>
    <w:p>
      <w:pPr>
        <w:pStyle w:val="BodyText"/>
      </w:pPr>
      <w:r>
        <w:rPr>
          <w:bCs/>
          <w:b/>
        </w:rPr>
        <w:t xml:space="preserve">7. Compensation schedule specifics.</w:t>
      </w:r>
      <w:r>
        <w:rPr>
          <w:bCs/>
          <w:b/>
        </w:rPr>
        <w:t xml:space="preserve"> </w:t>
      </w:r>
      <w:r>
        <w:t xml:space="preserve">Exhibit B needs per-tier compensation amounts filled in. Confirm with Chris before finalizing.</w:t>
      </w:r>
    </w:p>
    <w:p>
      <w:pPr>
        <w:pStyle w:val="BodyText"/>
      </w:pPr>
      <w:r>
        <w:rPr>
          <w:bCs/>
          <w:b/>
        </w:rPr>
        <w:t xml:space="preserve">8. Operator entity structure.</w:t>
      </w:r>
      <w:r>
        <w:rPr>
          <w:bCs/>
          <w:b/>
        </w:rPr>
        <w:t xml:space="preserve"> </w:t>
      </w:r>
      <w:r>
        <w:t xml:space="preserve">Decide whether operators may execute as individuals, or must execute through an LLC/PLLC. Impacts tax treatment and risk.</w:t>
      </w:r>
    </w:p>
    <w:p>
      <w:pPr>
        <w:pStyle w:val="BodyText"/>
      </w:pPr>
      <w:r>
        <w:rPr>
          <w:bCs/>
          <w:b/>
        </w:rPr>
        <w:t xml:space="preserve">9. Background check provider.</w:t>
      </w:r>
      <w:r>
        <w:rPr>
          <w:bCs/>
          <w:b/>
        </w:rPr>
        <w:t xml:space="preserve"> </w:t>
      </w:r>
      <w:r>
        <w:t xml:space="preserve">Checkr vs. GoodHire. FCRA-compliant language in Exhibit D is provider-specific.</w:t>
      </w:r>
    </w:p>
    <w:p>
      <w:pPr>
        <w:pStyle w:val="BodyText"/>
      </w:pPr>
      <w:r>
        <w:rPr>
          <w:bCs/>
          <w:b/>
        </w:rPr>
        <w:t xml:space="preserve">10. Matching-data license scope.</w:t>
      </w:r>
      <w:r>
        <w:rPr>
          <w:bCs/>
          <w:b/>
        </w:rPr>
        <w:t xml:space="preserve"> </w:t>
      </w:r>
      <w:r>
        <w:t xml:space="preserve">Section 8.3 is the core data-moat provision. Confirm with Chris that the licensing language captures what the Phase 2 matching engine needs — counsel can then refine.</w:t>
      </w:r>
    </w:p>
    <w:p>
      <w:pPr>
        <w:pStyle w:val="BodyText"/>
      </w:pPr>
      <w:r>
        <w:rPr>
          <w:bCs/>
          <w:b/>
        </w:rPr>
        <w:t xml:space="preserve">11. Referral program terms.</w:t>
      </w:r>
      <w:r>
        <w:rPr>
          <w:bCs/>
          <w:b/>
        </w:rPr>
        <w:t xml:space="preserve"> </w:t>
      </w:r>
      <w:r>
        <w:t xml:space="preserve">Exhibit B references the $500 structure from Sourcing Strategy V3 (FS-DOC-019). Decide whether to bake specific terms into the ICA or keep them in a separate program document.</w:t>
      </w:r>
    </w:p>
    <w:p>
      <w:pPr>
        <w:pStyle w:val="BodyText"/>
      </w:pPr>
      <w:r>
        <w:rPr>
          <w:bCs/>
          <w:b/>
        </w:rPr>
        <w:t xml:space="preserve">12. AI disclosure language.</w:t>
      </w:r>
      <w:r>
        <w:rPr>
          <w:bCs/>
          <w:b/>
        </w:rPr>
        <w:t xml:space="preserve"> </w:t>
      </w:r>
      <w:r>
        <w:t xml:space="preserve">Exhibit C draws on the AI Governance Framework (FS-DOC-041). Counsel should confirm compliance with applicable state AI-in-hiring laws (or advise that independent-contractor assessments fall outside scope).</w:t>
      </w:r>
    </w:p>
    <w:p>
      <w:pPr>
        <w:pStyle w:val="BodyText"/>
      </w:pPr>
      <w:r>
        <w:rPr>
          <w:bCs/>
          <w:b/>
        </w:rPr>
        <w:t xml:space="preserve">13. Cross-state considerations.</w:t>
      </w:r>
      <w:r>
        <w:rPr>
          <w:bCs/>
          <w:b/>
        </w:rPr>
        <w:t xml:space="preserve"> </w:t>
      </w:r>
      <w:r>
        <w:t xml:space="preserve">If the operator pool includes California, Massachusetts, New York City, or Washington residents, additional state-specific provisions are likely needed.</w:t>
      </w:r>
    </w:p>
    <w:p>
      <w:pPr>
        <w:pStyle w:val="BodyText"/>
      </w:pPr>
      <w:r>
        <w:rPr>
          <w:bCs/>
          <w:b/>
        </w:rPr>
        <w:t xml:space="preserve">14. Classification risk tolerance.</w:t>
      </w:r>
      <w:r>
        <w:rPr>
          <w:bCs/>
          <w:b/>
        </w:rPr>
        <w:t xml:space="preserve"> </w:t>
      </w:r>
      <w:r>
        <w:t xml:space="preserve">How aggressive to be on IC classification vs. risk? Counsel should advise on DOL 2024 Final Rule implications.</w:t>
      </w:r>
    </w:p>
    <w:p>
      <w:pPr>
        <w:pStyle w:val="BodyText"/>
      </w:pPr>
      <w:r>
        <w:rPr>
          <w:bCs/>
          <w:b/>
        </w:rPr>
        <w:t xml:space="preserve">15. Electronic signature platform.</w:t>
      </w:r>
      <w:r>
        <w:rPr>
          <w:bCs/>
          <w:b/>
        </w:rPr>
        <w:t xml:space="preserve"> </w:t>
      </w:r>
      <w:r>
        <w:t xml:space="preserve">DocuSign, Dropbox Sign, or integrated into the Phase 2 portal. Decide so MSA delivery workflow can be built consistently.</w:t>
      </w:r>
    </w:p>
    <w:bookmarkEnd w:id="57"/>
    <w:bookmarkStart w:id="58" w:name="counsel-selection-guidance"/>
    <w:p>
      <w:pPr>
        <w:pStyle w:val="Heading2"/>
      </w:pPr>
      <w:r>
        <w:t xml:space="preserve">Counsel-selection guidance</w:t>
      </w:r>
    </w:p>
    <w:p>
      <w:pPr>
        <w:pStyle w:val="FirstParagraph"/>
      </w:pPr>
      <w:r>
        <w:t xml:space="preserve">For this scope of work, consider an attorney or small firm specializing in:</w:t>
      </w:r>
    </w:p>
    <w:p>
      <w:pPr>
        <w:numPr>
          <w:ilvl w:val="0"/>
          <w:numId w:val="1009"/>
        </w:numPr>
      </w:pPr>
      <w:r>
        <w:t xml:space="preserve">Independent-contractor agreements, particularly for fractional/executive services firms</w:t>
      </w:r>
    </w:p>
    <w:p>
      <w:pPr>
        <w:numPr>
          <w:ilvl w:val="0"/>
          <w:numId w:val="1009"/>
        </w:numPr>
      </w:pPr>
      <w:r>
        <w:t xml:space="preserve">Employment law with familiarity with the gig-economy / IC classification landscape</w:t>
      </w:r>
    </w:p>
    <w:p>
      <w:pPr>
        <w:numPr>
          <w:ilvl w:val="0"/>
          <w:numId w:val="1009"/>
        </w:numPr>
      </w:pPr>
      <w:r>
        <w:t xml:space="preserve">Technology contracts (given the AI-assessment and data-use provisions)</w:t>
      </w:r>
    </w:p>
    <w:p>
      <w:pPr>
        <w:numPr>
          <w:ilvl w:val="0"/>
          <w:numId w:val="1009"/>
        </w:numPr>
      </w:pPr>
      <w:r>
        <w:t xml:space="preserve">Experience with staffing or managed placement firms is a plus</w:t>
      </w:r>
    </w:p>
    <w:p>
      <w:pPr>
        <w:pStyle w:val="FirstParagraph"/>
      </w:pPr>
      <w:r>
        <w:t xml:space="preserve">Budget expectation: $3,000-$6,000 for a full review and revision of this draft, plus follow-up on specific questions. This is a reasonable Phase 1 legal investment and should produce a document the Company can use for 25-50 operator signings before any material revision is needed.</w:t>
      </w:r>
    </w:p>
    <w:bookmarkEnd w:id="58"/>
    <w:bookmarkStart w:id="59" w:name="after-attorney-review"/>
    <w:p>
      <w:pPr>
        <w:pStyle w:val="Heading2"/>
      </w:pPr>
      <w:r>
        <w:t xml:space="preserve">After attorney review</w:t>
      </w:r>
    </w:p>
    <w:p>
      <w:pPr>
        <w:numPr>
          <w:ilvl w:val="0"/>
          <w:numId w:val="1010"/>
        </w:numPr>
      </w:pPr>
      <w:r>
        <w:t xml:space="preserve">Receive revised draft from counsel. Review for alignment with business intent.</w:t>
      </w:r>
    </w:p>
    <w:p>
      <w:pPr>
        <w:numPr>
          <w:ilvl w:val="0"/>
          <w:numId w:val="1010"/>
        </w:numPr>
      </w:pPr>
      <w:r>
        <w:t xml:space="preserve">Execute two reference copies (Kevin + counsel retain signed copies of the master template).</w:t>
      </w:r>
    </w:p>
    <w:p>
      <w:pPr>
        <w:numPr>
          <w:ilvl w:val="0"/>
          <w:numId w:val="1010"/>
        </w:numPr>
      </w:pPr>
      <w:r>
        <w:t xml:space="preserve">Store in 02_Operational/Templates/ as the standing ICA template.</w:t>
      </w:r>
    </w:p>
    <w:p>
      <w:pPr>
        <w:numPr>
          <w:ilvl w:val="0"/>
          <w:numId w:val="1010"/>
        </w:numPr>
      </w:pPr>
      <w:r>
        <w:t xml:space="preserve">Catalog: update FS-DOC-048 row — Status changes from Draft to Active; Version bumps from</w:t>
      </w:r>
      <w:r>
        <w:t xml:space="preserve"> </w:t>
      </w:r>
      <w:r>
        <w:t xml:space="preserve">“</w:t>
      </w:r>
      <w:r>
        <w:t xml:space="preserve">Draft v1.0</w:t>
      </w:r>
      <w:r>
        <w:t xml:space="preserve">”</w:t>
      </w:r>
      <w:r>
        <w:t xml:space="preserve"> </w:t>
      </w:r>
      <w:r>
        <w:t xml:space="preserve">to v1.0; Last Updated = finalization date. No ID retirement or new ID creation.</w:t>
      </w:r>
    </w:p>
    <w:p>
      <w:pPr>
        <w:numPr>
          <w:ilvl w:val="0"/>
          <w:numId w:val="1010"/>
        </w:numPr>
      </w:pPr>
      <w:r>
        <w:t xml:space="preserve">Update Document Catalog and Document Map to reflect the final ICA as the active template.</w:t>
      </w:r>
    </w:p>
    <w:p>
      <w:pPr>
        <w:numPr>
          <w:ilvl w:val="0"/>
          <w:numId w:val="1010"/>
        </w:numPr>
      </w:pPr>
      <w:r>
        <w:t xml:space="preserve">Use DocuSign (or selected platform) to send individual ICAs to each new operator post-tier-assignment.</w:t>
      </w:r>
    </w:p>
    <w:p>
      <w:pPr>
        <w:numPr>
          <w:ilvl w:val="0"/>
          <w:numId w:val="1010"/>
        </w:numPr>
      </w:pPr>
      <w:r>
        <w:rPr>
          <w:iCs/>
          <w:i/>
          <w:bCs/>
          <w:b/>
        </w:rPr>
        <w:t xml:space="preserve">DO NOT EXECUTE — DRAFT ONLY</w:t>
      </w:r>
      <w:r>
        <w:t xml:space="preserve"> </w:t>
      </w:r>
      <w:r>
        <w:t xml:space="preserve">Page 1 of 2</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2026-05-05T18:29:35Z</dcterms:created>
  <dcterms:modified xsi:type="dcterms:W3CDTF">2026-05-05T18:29:35Z</dcterms:modified>
</cp:coreProperties>
</file>

<file path=docProps/custom.xml><?xml version="1.0" encoding="utf-8"?>
<Properties xmlns="http://schemas.openxmlformats.org/officeDocument/2006/custom-properties" xmlns:vt="http://schemas.openxmlformats.org/officeDocument/2006/docPropsVTypes"/>
</file>