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8612" w14:textId="482000EE" w:rsidR="00B411A3" w:rsidRPr="009270BC" w:rsidRDefault="009270BC" w:rsidP="009270BC">
      <w:pPr>
        <w:ind w:left="840"/>
        <w:jc w:val="center"/>
        <w:rPr>
          <w:rFonts w:asciiTheme="majorEastAsia" w:eastAsiaTheme="majorEastAsia" w:hAnsiTheme="majorEastAsia"/>
          <w:sz w:val="32"/>
          <w:szCs w:val="36"/>
        </w:rPr>
      </w:pPr>
      <w:r w:rsidRPr="009270BC">
        <w:rPr>
          <w:rFonts w:asciiTheme="majorEastAsia" w:eastAsiaTheme="majorEastAsia" w:hAnsiTheme="majorEastAsia" w:hint="eastAsia"/>
          <w:sz w:val="32"/>
          <w:szCs w:val="36"/>
        </w:rPr>
        <w:t>卒業論文章立て(作成日 1</w:t>
      </w:r>
      <w:r w:rsidRPr="009270BC">
        <w:rPr>
          <w:rFonts w:asciiTheme="majorEastAsia" w:eastAsiaTheme="majorEastAsia" w:hAnsiTheme="majorEastAsia"/>
          <w:sz w:val="32"/>
          <w:szCs w:val="36"/>
        </w:rPr>
        <w:t>2</w:t>
      </w:r>
      <w:r w:rsidRPr="009270BC">
        <w:rPr>
          <w:rFonts w:asciiTheme="majorEastAsia" w:eastAsiaTheme="majorEastAsia" w:hAnsiTheme="majorEastAsia" w:hint="eastAsia"/>
          <w:sz w:val="32"/>
          <w:szCs w:val="36"/>
        </w:rPr>
        <w:t>月9日</w:t>
      </w:r>
      <w:r w:rsidRPr="009270BC">
        <w:rPr>
          <w:rFonts w:asciiTheme="majorEastAsia" w:eastAsiaTheme="majorEastAsia" w:hAnsiTheme="majorEastAsia"/>
          <w:sz w:val="32"/>
          <w:szCs w:val="36"/>
        </w:rPr>
        <w:t>)</w:t>
      </w:r>
      <w:r w:rsidRPr="009270BC">
        <w:rPr>
          <w:rFonts w:asciiTheme="majorEastAsia" w:eastAsiaTheme="majorEastAsia" w:hAnsiTheme="majorEastAsia" w:hint="eastAsia"/>
          <w:sz w:val="32"/>
          <w:szCs w:val="36"/>
        </w:rPr>
        <w:t xml:space="preserve">　小島 光</w:t>
      </w:r>
    </w:p>
    <w:p w14:paraId="72C07500" w14:textId="77777777" w:rsidR="009270BC" w:rsidRDefault="009270BC" w:rsidP="009270BC">
      <w:pPr>
        <w:ind w:left="840"/>
        <w:jc w:val="center"/>
        <w:rPr>
          <w:rFonts w:asciiTheme="majorEastAsia" w:eastAsiaTheme="majorEastAsia" w:hAnsiTheme="majorEastAsia"/>
          <w:sz w:val="28"/>
          <w:szCs w:val="32"/>
        </w:rPr>
      </w:pPr>
    </w:p>
    <w:p w14:paraId="567B82F3" w14:textId="24A19724" w:rsidR="009270BC" w:rsidRDefault="009270BC" w:rsidP="009270BC">
      <w:pPr>
        <w:ind w:left="840"/>
        <w:jc w:val="both"/>
        <w:rPr>
          <w:rFonts w:asciiTheme="majorEastAsia" w:eastAsiaTheme="majorEastAsia" w:hAnsiTheme="majorEastAsia"/>
          <w:sz w:val="24"/>
          <w:szCs w:val="28"/>
        </w:rPr>
      </w:pPr>
      <w:r>
        <w:rPr>
          <w:rFonts w:asciiTheme="majorEastAsia" w:eastAsiaTheme="majorEastAsia" w:hAnsiTheme="majorEastAsia" w:hint="eastAsia"/>
          <w:sz w:val="24"/>
          <w:szCs w:val="28"/>
        </w:rPr>
        <w:t>題目</w:t>
      </w:r>
    </w:p>
    <w:p w14:paraId="0265DEF5" w14:textId="77777777" w:rsidR="009270BC" w:rsidRDefault="009270BC" w:rsidP="009270BC">
      <w:pPr>
        <w:ind w:left="840"/>
        <w:jc w:val="both"/>
        <w:rPr>
          <w:rFonts w:asciiTheme="majorEastAsia" w:eastAsiaTheme="majorEastAsia" w:hAnsiTheme="majorEastAsia"/>
          <w:sz w:val="24"/>
          <w:szCs w:val="28"/>
        </w:rPr>
      </w:pPr>
    </w:p>
    <w:p w14:paraId="0CEE3A73" w14:textId="38EFBC14" w:rsidR="009270BC" w:rsidRDefault="009270BC" w:rsidP="009270BC">
      <w:pPr>
        <w:ind w:left="840"/>
        <w:jc w:val="both"/>
        <w:rPr>
          <w:rFonts w:asciiTheme="majorEastAsia" w:eastAsiaTheme="majorEastAsia" w:hAnsiTheme="majorEastAsia"/>
          <w:sz w:val="24"/>
          <w:szCs w:val="28"/>
        </w:rPr>
      </w:pPr>
      <w:r>
        <w:rPr>
          <w:rFonts w:asciiTheme="majorEastAsia" w:eastAsiaTheme="majorEastAsia" w:hAnsiTheme="majorEastAsia" w:hint="eastAsia"/>
          <w:sz w:val="24"/>
          <w:szCs w:val="28"/>
        </w:rPr>
        <w:t>概要</w:t>
      </w:r>
    </w:p>
    <w:p w14:paraId="40292D51" w14:textId="7E1C8D74" w:rsidR="009270BC" w:rsidRPr="009270BC" w:rsidRDefault="009270BC" w:rsidP="009270BC">
      <w:pPr>
        <w:ind w:left="840"/>
        <w:jc w:val="both"/>
        <w:rPr>
          <w:rFonts w:eastAsiaTheme="minorHAnsi"/>
          <w:sz w:val="24"/>
          <w:szCs w:val="28"/>
        </w:rPr>
      </w:pPr>
      <w:r>
        <w:rPr>
          <w:rFonts w:eastAsiaTheme="minorHAnsi" w:hint="eastAsia"/>
          <w:sz w:val="24"/>
          <w:szCs w:val="28"/>
        </w:rPr>
        <w:t xml:space="preserve">　</w:t>
      </w:r>
      <w:r w:rsidR="00704CBA">
        <w:rPr>
          <w:rFonts w:eastAsiaTheme="minorHAnsi" w:hint="eastAsia"/>
          <w:sz w:val="24"/>
          <w:szCs w:val="28"/>
        </w:rPr>
        <w:t xml:space="preserve">　　</w:t>
      </w:r>
      <w:r w:rsidR="00C165F1" w:rsidRPr="00704CBA">
        <w:rPr>
          <w:rFonts w:eastAsiaTheme="minorHAnsi" w:hint="eastAsia"/>
        </w:rPr>
        <w:t>フォトニックリザバの計算に用いる</w:t>
      </w:r>
      <w:r w:rsidR="00704CBA">
        <w:rPr>
          <w:rFonts w:eastAsiaTheme="minorHAnsi" w:hint="eastAsia"/>
        </w:rPr>
        <w:t>ギルバート乗算回路による積和演算を行う際の</w:t>
      </w:r>
      <w:r w:rsidR="00C165F1" w:rsidRPr="00704CBA">
        <w:rPr>
          <w:rFonts w:eastAsiaTheme="minorHAnsi" w:hint="eastAsia"/>
        </w:rPr>
        <w:t>信号振幅拡大を目指す回路構成の提案を行う。多数の信号の積和演算を行う際、合計の出力振幅は乗算回路単体と</w:t>
      </w:r>
      <w:r w:rsidR="00704CBA" w:rsidRPr="00704CBA">
        <w:rPr>
          <w:rFonts w:eastAsiaTheme="minorHAnsi" w:hint="eastAsia"/>
        </w:rPr>
        <w:t>変わりないので入力範囲が限られるため信号対雑音比(</w:t>
      </w:r>
      <w:r w:rsidR="00704CBA" w:rsidRPr="00704CBA">
        <w:rPr>
          <w:rFonts w:eastAsiaTheme="minorHAnsi"/>
        </w:rPr>
        <w:t>S/N</w:t>
      </w:r>
      <w:r w:rsidR="00704CBA" w:rsidRPr="00704CBA">
        <w:rPr>
          <w:rFonts w:eastAsiaTheme="minorHAnsi" w:hint="eastAsia"/>
        </w:rPr>
        <w:t>比</w:t>
      </w:r>
      <w:r w:rsidR="00704CBA" w:rsidRPr="00704CBA">
        <w:rPr>
          <w:rFonts w:eastAsiaTheme="minorHAnsi"/>
        </w:rPr>
        <w:t>)</w:t>
      </w:r>
      <w:r w:rsidR="00704CBA" w:rsidRPr="00704CBA">
        <w:rPr>
          <w:rFonts w:eastAsiaTheme="minorHAnsi" w:hint="eastAsia"/>
        </w:rPr>
        <w:t>の劣化が懸念される。そこで、</w:t>
      </w:r>
      <w:r w:rsidR="00704CBA">
        <w:rPr>
          <w:rFonts w:eastAsiaTheme="minorHAnsi" w:hint="eastAsia"/>
        </w:rPr>
        <w:t>従来のギルバート乗算回路を応用した二種類の乗算回路を提案し、それぞれのギルバート乗算回路同様、アナログ信号の乗算ができることを</w:t>
      </w:r>
      <w:r w:rsidR="00F93A89">
        <w:rPr>
          <w:rFonts w:eastAsiaTheme="minorHAnsi" w:hint="eastAsia"/>
        </w:rPr>
        <w:t>、</w:t>
      </w:r>
      <w:r w:rsidR="00704CBA">
        <w:rPr>
          <w:rFonts w:eastAsiaTheme="minorHAnsi" w:hint="eastAsia"/>
        </w:rPr>
        <w:t>小信号等価解析を用いて確認した。そして、</w:t>
      </w:r>
      <w:r w:rsidR="00F93A89">
        <w:rPr>
          <w:rFonts w:eastAsiaTheme="minorHAnsi" w:hint="eastAsia"/>
        </w:rPr>
        <w:t>今後集積化を行い、出力範囲拡大ができていることを確認するための素子値を設計し、パッケージでの測定を踏まえたシミュレーションを行った。</w:t>
      </w:r>
    </w:p>
    <w:p w14:paraId="4480C1B7" w14:textId="34764321" w:rsidR="00F93A89" w:rsidRDefault="009270BC" w:rsidP="00F93A89">
      <w:pPr>
        <w:pStyle w:val="a4"/>
        <w:numPr>
          <w:ilvl w:val="0"/>
          <w:numId w:val="1"/>
        </w:numPr>
        <w:ind w:leftChars="0"/>
        <w:jc w:val="both"/>
        <w:rPr>
          <w:rFonts w:asciiTheme="majorEastAsia" w:eastAsiaTheme="majorEastAsia" w:hAnsiTheme="majorEastAsia"/>
          <w:sz w:val="24"/>
          <w:szCs w:val="28"/>
        </w:rPr>
      </w:pPr>
      <w:r w:rsidRPr="009270BC">
        <w:rPr>
          <w:rFonts w:asciiTheme="majorEastAsia" w:eastAsiaTheme="majorEastAsia" w:hAnsiTheme="majorEastAsia" w:hint="eastAsia"/>
          <w:sz w:val="24"/>
          <w:szCs w:val="28"/>
        </w:rPr>
        <w:t>序論</w:t>
      </w:r>
    </w:p>
    <w:p w14:paraId="53ECE7AD" w14:textId="2E1A72E2" w:rsidR="00F93A89" w:rsidRPr="00F93A89" w:rsidRDefault="00F93A89" w:rsidP="00F93A89">
      <w:pPr>
        <w:pStyle w:val="a4"/>
        <w:ind w:leftChars="0" w:left="1245" w:firstLine="0"/>
        <w:jc w:val="both"/>
        <w:rPr>
          <w:rFonts w:asciiTheme="minorEastAsia" w:hAnsiTheme="minorEastAsia"/>
          <w:sz w:val="24"/>
          <w:szCs w:val="28"/>
        </w:rPr>
      </w:pPr>
      <w:r>
        <w:rPr>
          <w:rFonts w:asciiTheme="majorEastAsia" w:eastAsiaTheme="majorEastAsia" w:hAnsiTheme="majorEastAsia" w:hint="eastAsia"/>
          <w:sz w:val="24"/>
          <w:szCs w:val="28"/>
        </w:rPr>
        <w:t xml:space="preserve">　</w:t>
      </w:r>
      <w:r w:rsidRPr="00F93A89">
        <w:rPr>
          <w:rFonts w:asciiTheme="minorEastAsia" w:hAnsiTheme="minorEastAsia" w:hint="eastAsia"/>
        </w:rPr>
        <w:t>現在ニューラルネットワークにまつわる研究として、リカレントニューラルネット</w:t>
      </w:r>
      <w:r>
        <w:rPr>
          <w:rFonts w:asciiTheme="minorEastAsia" w:hAnsiTheme="minorEastAsia" w:hint="eastAsia"/>
        </w:rPr>
        <w:t>を物理的なデバイスで再現するリザバというものがある。特にフォトニックリザバは光の入力を与え</w:t>
      </w:r>
      <w:r w:rsidR="00120733">
        <w:rPr>
          <w:rFonts w:asciiTheme="minorEastAsia" w:hAnsiTheme="minorEastAsia" w:hint="eastAsia"/>
        </w:rPr>
        <w:t>るとリザバ内部で複雑に反射などを起こし、出力される。このリザバからの複数の出力を学習し適切な重みづけを行った積和演算をすることで特徴量を抽出することができる。リザバでは計算機上で再現されたニューラルネットワークと異なり物理現象によって出力を得るため計算機上のものより高速に出力を得ることができる。しかしながら現状では光での積和演算は難しく、電気に変化し積和演算を行うことになった。リザバの高速性を活かすためディジタルに変換して演算を行うのではなくアナログで積和演算を行う必要がある。そこで現在ギルバート乗算回路で乗算を行い、その出力電流をまとめることで積和演算を行うこととした。ここで、リザバからの出力は複数あるが出力は一つなので出力であるため入力信号範囲が限られS</w:t>
      </w:r>
      <w:r w:rsidR="00120733">
        <w:rPr>
          <w:rFonts w:asciiTheme="minorEastAsia" w:hAnsiTheme="minorEastAsia"/>
        </w:rPr>
        <w:t>/N</w:t>
      </w:r>
      <w:r w:rsidR="00120733">
        <w:rPr>
          <w:rFonts w:asciiTheme="minorEastAsia" w:hAnsiTheme="minorEastAsia" w:hint="eastAsia"/>
        </w:rPr>
        <w:t>比の劣化が懸念される。そこで、本論文では</w:t>
      </w:r>
      <w:r w:rsidR="004A01EE">
        <w:rPr>
          <w:rFonts w:asciiTheme="minorEastAsia" w:hAnsiTheme="minorEastAsia" w:hint="eastAsia"/>
        </w:rPr>
        <w:t>ギルバート乗算回路の出力振幅を拡大する新たな回路構成を検討し、集積化を想定したシミュレーションを行うことで</w:t>
      </w:r>
      <w:r w:rsidR="00B9545E">
        <w:rPr>
          <w:rFonts w:asciiTheme="minorEastAsia" w:hAnsiTheme="minorEastAsia" w:hint="eastAsia"/>
        </w:rPr>
        <w:t>、</w:t>
      </w:r>
      <w:r w:rsidR="004A01EE">
        <w:rPr>
          <w:rFonts w:asciiTheme="minorEastAsia" w:hAnsiTheme="minorEastAsia" w:hint="eastAsia"/>
        </w:rPr>
        <w:t>新規構成で出力振幅の拡大が行えていることを検証した。</w:t>
      </w:r>
    </w:p>
    <w:p w14:paraId="1034066B" w14:textId="7F755DB9" w:rsidR="00F93A89" w:rsidRDefault="00B9545E" w:rsidP="00F93A89">
      <w:pPr>
        <w:pStyle w:val="a4"/>
        <w:numPr>
          <w:ilvl w:val="0"/>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lastRenderedPageBreak/>
        <w:t>ギルバート乗算回路</w:t>
      </w:r>
    </w:p>
    <w:p w14:paraId="6CA18ACE" w14:textId="6969763D" w:rsidR="00A12C82" w:rsidRPr="00A12C82" w:rsidRDefault="00B9545E" w:rsidP="00A12C82">
      <w:pPr>
        <w:pStyle w:val="a4"/>
        <w:ind w:leftChars="0" w:left="425"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既存のギルバート乗算回路について説明する。</w:t>
      </w:r>
    </w:p>
    <w:p w14:paraId="330BB93D" w14:textId="295EDCE7" w:rsidR="00B9545E" w:rsidRDefault="00A12C82" w:rsidP="00B9545E">
      <w:pPr>
        <w:pStyle w:val="a4"/>
        <w:numPr>
          <w:ilvl w:val="1"/>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回路構成</w:t>
      </w:r>
    </w:p>
    <w:p w14:paraId="10A5EC44" w14:textId="5EABDF6E" w:rsidR="00A12C82" w:rsidRDefault="00A12C82" w:rsidP="00A12C82">
      <w:pPr>
        <w:pStyle w:val="a4"/>
        <w:ind w:leftChars="0" w:left="992"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ギルバート乗算回路の入出力や性質について説明する。</w:t>
      </w:r>
      <w:r w:rsidR="002452E7">
        <w:rPr>
          <w:rFonts w:asciiTheme="majorEastAsia" w:eastAsiaTheme="majorEastAsia" w:hAnsiTheme="majorEastAsia" w:hint="eastAsia"/>
          <w:sz w:val="24"/>
          <w:szCs w:val="28"/>
        </w:rPr>
        <w:t>(</w:t>
      </w:r>
      <w:r w:rsidR="002452E7">
        <w:rPr>
          <w:rFonts w:asciiTheme="majorEastAsia" w:eastAsiaTheme="majorEastAsia" w:hAnsiTheme="majorEastAsia"/>
          <w:sz w:val="24"/>
          <w:szCs w:val="28"/>
        </w:rPr>
        <w:t>1</w:t>
      </w:r>
      <w:r w:rsidR="002452E7">
        <w:rPr>
          <w:rFonts w:asciiTheme="majorEastAsia" w:eastAsiaTheme="majorEastAsia" w:hAnsiTheme="majorEastAsia" w:hint="eastAsia"/>
          <w:sz w:val="24"/>
          <w:szCs w:val="28"/>
        </w:rPr>
        <w:t>ページ</w:t>
      </w:r>
      <w:r w:rsidR="002452E7">
        <w:rPr>
          <w:rFonts w:asciiTheme="majorEastAsia" w:eastAsiaTheme="majorEastAsia" w:hAnsiTheme="majorEastAsia"/>
          <w:sz w:val="24"/>
          <w:szCs w:val="28"/>
        </w:rPr>
        <w:t>)</w:t>
      </w:r>
    </w:p>
    <w:p w14:paraId="6518FF14" w14:textId="09A4CF02" w:rsidR="00A12C82" w:rsidRDefault="00A12C82" w:rsidP="00B9545E">
      <w:pPr>
        <w:pStyle w:val="a4"/>
        <w:numPr>
          <w:ilvl w:val="1"/>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小信号等価解析</w:t>
      </w:r>
    </w:p>
    <w:p w14:paraId="6BB3A2A3" w14:textId="15210CD6" w:rsidR="00A12C82" w:rsidRDefault="00A12C82" w:rsidP="00A12C82">
      <w:pPr>
        <w:pStyle w:val="a4"/>
        <w:ind w:leftChars="0" w:left="992"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小信号等価解析の方法とその結果示し、乗算が可能であることを説明する。</w:t>
      </w:r>
      <w:r w:rsidR="002452E7">
        <w:rPr>
          <w:rFonts w:asciiTheme="majorEastAsia" w:eastAsiaTheme="majorEastAsia" w:hAnsiTheme="majorEastAsia"/>
          <w:sz w:val="24"/>
          <w:szCs w:val="28"/>
        </w:rPr>
        <w:t>(</w:t>
      </w:r>
      <w:r w:rsidR="002452E7">
        <w:rPr>
          <w:rFonts w:asciiTheme="majorEastAsia" w:eastAsiaTheme="majorEastAsia" w:hAnsiTheme="majorEastAsia" w:hint="eastAsia"/>
          <w:sz w:val="24"/>
          <w:szCs w:val="28"/>
        </w:rPr>
        <w:t>5ページ</w:t>
      </w:r>
      <w:r w:rsidR="002452E7">
        <w:rPr>
          <w:rFonts w:asciiTheme="majorEastAsia" w:eastAsiaTheme="majorEastAsia" w:hAnsiTheme="majorEastAsia"/>
          <w:sz w:val="24"/>
          <w:szCs w:val="28"/>
        </w:rPr>
        <w:t>)</w:t>
      </w:r>
    </w:p>
    <w:p w14:paraId="04A5C869" w14:textId="5A370350" w:rsidR="00B9545E" w:rsidRDefault="00A12C82" w:rsidP="00B9545E">
      <w:pPr>
        <w:pStyle w:val="a4"/>
        <w:numPr>
          <w:ilvl w:val="1"/>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出力範囲</w:t>
      </w:r>
    </w:p>
    <w:p w14:paraId="43C34C21" w14:textId="48ADAB0C" w:rsidR="00A12C82" w:rsidRDefault="00A12C82" w:rsidP="00A12C82">
      <w:pPr>
        <w:pStyle w:val="a4"/>
        <w:ind w:leftChars="0" w:left="992"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出力範囲が受ける制約から不等式を導出する。</w:t>
      </w:r>
      <w:r w:rsidR="002452E7">
        <w:rPr>
          <w:rFonts w:asciiTheme="majorEastAsia" w:eastAsiaTheme="majorEastAsia" w:hAnsiTheme="majorEastAsia" w:hint="eastAsia"/>
          <w:sz w:val="24"/>
          <w:szCs w:val="28"/>
        </w:rPr>
        <w:t>(</w:t>
      </w:r>
      <w:r w:rsidR="002452E7">
        <w:rPr>
          <w:rFonts w:asciiTheme="majorEastAsia" w:eastAsiaTheme="majorEastAsia" w:hAnsiTheme="majorEastAsia"/>
          <w:sz w:val="24"/>
          <w:szCs w:val="28"/>
        </w:rPr>
        <w:t>3</w:t>
      </w:r>
      <w:r w:rsidR="002452E7">
        <w:rPr>
          <w:rFonts w:asciiTheme="majorEastAsia" w:eastAsiaTheme="majorEastAsia" w:hAnsiTheme="majorEastAsia" w:hint="eastAsia"/>
          <w:sz w:val="24"/>
          <w:szCs w:val="28"/>
        </w:rPr>
        <w:t>ページ</w:t>
      </w:r>
      <w:r w:rsidR="002452E7">
        <w:rPr>
          <w:rFonts w:asciiTheme="majorEastAsia" w:eastAsiaTheme="majorEastAsia" w:hAnsiTheme="majorEastAsia"/>
          <w:sz w:val="24"/>
          <w:szCs w:val="28"/>
        </w:rPr>
        <w:t>)</w:t>
      </w:r>
    </w:p>
    <w:p w14:paraId="214C3AF6" w14:textId="283FECD7" w:rsidR="00B9545E" w:rsidRDefault="00B9545E" w:rsidP="00F93A89">
      <w:pPr>
        <w:pStyle w:val="a4"/>
        <w:numPr>
          <w:ilvl w:val="0"/>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折り返し型乗算回路</w:t>
      </w:r>
    </w:p>
    <w:p w14:paraId="07D38D80" w14:textId="087042A1" w:rsidR="00B9545E" w:rsidRDefault="00B9545E" w:rsidP="00B9545E">
      <w:pPr>
        <w:pStyle w:val="a4"/>
        <w:numPr>
          <w:ilvl w:val="1"/>
          <w:numId w:val="1"/>
        </w:numPr>
        <w:ind w:leftChars="0"/>
        <w:jc w:val="both"/>
        <w:rPr>
          <w:rFonts w:asciiTheme="majorEastAsia" w:eastAsiaTheme="majorEastAsia" w:hAnsiTheme="majorEastAsia"/>
          <w:sz w:val="24"/>
          <w:szCs w:val="28"/>
        </w:rPr>
      </w:pPr>
      <w:proofErr w:type="spellStart"/>
      <w:r>
        <w:rPr>
          <w:rFonts w:asciiTheme="majorEastAsia" w:eastAsiaTheme="majorEastAsia" w:hAnsiTheme="majorEastAsia" w:hint="eastAsia"/>
          <w:sz w:val="24"/>
          <w:szCs w:val="28"/>
        </w:rPr>
        <w:t>p</w:t>
      </w:r>
      <w:r>
        <w:rPr>
          <w:rFonts w:asciiTheme="majorEastAsia" w:eastAsiaTheme="majorEastAsia" w:hAnsiTheme="majorEastAsia"/>
          <w:sz w:val="24"/>
          <w:szCs w:val="28"/>
        </w:rPr>
        <w:t>MOS</w:t>
      </w:r>
      <w:proofErr w:type="spellEnd"/>
      <w:r>
        <w:rPr>
          <w:rFonts w:asciiTheme="majorEastAsia" w:eastAsiaTheme="majorEastAsia" w:hAnsiTheme="majorEastAsia" w:hint="eastAsia"/>
          <w:sz w:val="24"/>
          <w:szCs w:val="28"/>
        </w:rPr>
        <w:t>を使用する折り返し型乗算回路</w:t>
      </w:r>
    </w:p>
    <w:p w14:paraId="7D17A24E" w14:textId="456002CA" w:rsidR="002452E7" w:rsidRPr="002452E7" w:rsidRDefault="002452E7" w:rsidP="002452E7">
      <w:pPr>
        <w:pStyle w:val="a4"/>
        <w:ind w:leftChars="0" w:left="992" w:firstLine="0"/>
        <w:jc w:val="both"/>
        <w:rPr>
          <w:rFonts w:asciiTheme="majorEastAsia" w:eastAsiaTheme="majorEastAsia" w:hAnsiTheme="majorEastAsia" w:hint="eastAsia"/>
          <w:sz w:val="24"/>
          <w:szCs w:val="28"/>
        </w:rPr>
      </w:pPr>
      <w:proofErr w:type="spellStart"/>
      <w:r>
        <w:rPr>
          <w:rFonts w:asciiTheme="majorEastAsia" w:eastAsiaTheme="majorEastAsia" w:hAnsiTheme="majorEastAsia" w:hint="eastAsia"/>
          <w:sz w:val="24"/>
          <w:szCs w:val="28"/>
        </w:rPr>
        <w:t>p</w:t>
      </w:r>
      <w:r>
        <w:rPr>
          <w:rFonts w:asciiTheme="majorEastAsia" w:eastAsiaTheme="majorEastAsia" w:hAnsiTheme="majorEastAsia"/>
          <w:sz w:val="24"/>
          <w:szCs w:val="28"/>
        </w:rPr>
        <w:t>MOS</w:t>
      </w:r>
      <w:proofErr w:type="spellEnd"/>
      <w:r>
        <w:rPr>
          <w:rFonts w:asciiTheme="majorEastAsia" w:eastAsiaTheme="majorEastAsia" w:hAnsiTheme="majorEastAsia" w:hint="eastAsia"/>
          <w:sz w:val="24"/>
          <w:szCs w:val="28"/>
        </w:rPr>
        <w:t>を使用した回路とギルバート乗算回路との相違点や利得などについて説明する。</w:t>
      </w:r>
    </w:p>
    <w:p w14:paraId="2C4F99CD" w14:textId="6A891008" w:rsidR="00A12C82" w:rsidRDefault="00A12C82" w:rsidP="00A12C82">
      <w:pPr>
        <w:pStyle w:val="a4"/>
        <w:numPr>
          <w:ilvl w:val="2"/>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回路構成</w:t>
      </w:r>
    </w:p>
    <w:p w14:paraId="787FA8E1" w14:textId="56EE80F1" w:rsidR="002452E7" w:rsidRDefault="002452E7" w:rsidP="002452E7">
      <w:pPr>
        <w:pStyle w:val="a4"/>
        <w:ind w:leftChars="0" w:left="1418"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信号の経路や</w:t>
      </w:r>
      <w:proofErr w:type="spellStart"/>
      <w:r>
        <w:rPr>
          <w:rFonts w:asciiTheme="majorEastAsia" w:eastAsiaTheme="majorEastAsia" w:hAnsiTheme="majorEastAsia" w:hint="eastAsia"/>
          <w:sz w:val="24"/>
          <w:szCs w:val="28"/>
        </w:rPr>
        <w:t>p</w:t>
      </w:r>
      <w:r>
        <w:rPr>
          <w:rFonts w:asciiTheme="majorEastAsia" w:eastAsiaTheme="majorEastAsia" w:hAnsiTheme="majorEastAsia"/>
          <w:sz w:val="24"/>
          <w:szCs w:val="28"/>
        </w:rPr>
        <w:t>MOS</w:t>
      </w:r>
      <w:proofErr w:type="spellEnd"/>
      <w:r>
        <w:rPr>
          <w:rFonts w:asciiTheme="majorEastAsia" w:eastAsiaTheme="majorEastAsia" w:hAnsiTheme="majorEastAsia" w:hint="eastAsia"/>
          <w:sz w:val="24"/>
          <w:szCs w:val="28"/>
        </w:rPr>
        <w:t>を使用することについての相違点、考えられるメリット・デメリットを説明する。(</w:t>
      </w:r>
      <w:r>
        <w:rPr>
          <w:rFonts w:asciiTheme="majorEastAsia" w:eastAsiaTheme="majorEastAsia" w:hAnsiTheme="majorEastAsia"/>
          <w:sz w:val="24"/>
          <w:szCs w:val="28"/>
        </w:rPr>
        <w:t>1</w:t>
      </w:r>
      <w:r>
        <w:rPr>
          <w:rFonts w:asciiTheme="majorEastAsia" w:eastAsiaTheme="majorEastAsia" w:hAnsiTheme="majorEastAsia" w:hint="eastAsia"/>
          <w:sz w:val="24"/>
          <w:szCs w:val="28"/>
        </w:rPr>
        <w:t>ページ</w:t>
      </w:r>
      <w:r>
        <w:rPr>
          <w:rFonts w:asciiTheme="majorEastAsia" w:eastAsiaTheme="majorEastAsia" w:hAnsiTheme="majorEastAsia"/>
          <w:sz w:val="24"/>
          <w:szCs w:val="28"/>
        </w:rPr>
        <w:t>)</w:t>
      </w:r>
    </w:p>
    <w:p w14:paraId="3E76BF2E" w14:textId="2E23E044" w:rsidR="00B9545E" w:rsidRDefault="00B9545E" w:rsidP="00B9545E">
      <w:pPr>
        <w:pStyle w:val="a4"/>
        <w:numPr>
          <w:ilvl w:val="2"/>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小信号等価解析</w:t>
      </w:r>
    </w:p>
    <w:p w14:paraId="0B40F159" w14:textId="23711FB0" w:rsidR="002452E7" w:rsidRDefault="002452E7" w:rsidP="002452E7">
      <w:pPr>
        <w:pStyle w:val="a4"/>
        <w:ind w:leftChars="0" w:left="1418"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lastRenderedPageBreak/>
        <w:t xml:space="preserve">　小信号等価解析を行い、</w:t>
      </w:r>
      <w:proofErr w:type="spellStart"/>
      <w:r>
        <w:rPr>
          <w:rFonts w:asciiTheme="majorEastAsia" w:eastAsiaTheme="majorEastAsia" w:hAnsiTheme="majorEastAsia"/>
          <w:sz w:val="24"/>
          <w:szCs w:val="28"/>
        </w:rPr>
        <w:t>pMOS</w:t>
      </w:r>
      <w:proofErr w:type="spellEnd"/>
      <w:r>
        <w:rPr>
          <w:rFonts w:asciiTheme="majorEastAsia" w:eastAsiaTheme="majorEastAsia" w:hAnsiTheme="majorEastAsia" w:hint="eastAsia"/>
          <w:sz w:val="24"/>
          <w:szCs w:val="28"/>
        </w:rPr>
        <w:t>を使用した構成でも乗算ができることを示す。(</w:t>
      </w:r>
      <w:r>
        <w:rPr>
          <w:rFonts w:asciiTheme="majorEastAsia" w:eastAsiaTheme="majorEastAsia" w:hAnsiTheme="majorEastAsia"/>
          <w:sz w:val="24"/>
          <w:szCs w:val="28"/>
        </w:rPr>
        <w:t>5</w:t>
      </w:r>
      <w:r>
        <w:rPr>
          <w:rFonts w:asciiTheme="majorEastAsia" w:eastAsiaTheme="majorEastAsia" w:hAnsiTheme="majorEastAsia" w:hint="eastAsia"/>
          <w:sz w:val="24"/>
          <w:szCs w:val="28"/>
        </w:rPr>
        <w:t>ページ</w:t>
      </w:r>
      <w:r>
        <w:rPr>
          <w:rFonts w:asciiTheme="majorEastAsia" w:eastAsiaTheme="majorEastAsia" w:hAnsiTheme="majorEastAsia"/>
          <w:sz w:val="24"/>
          <w:szCs w:val="28"/>
        </w:rPr>
        <w:t>)</w:t>
      </w:r>
    </w:p>
    <w:p w14:paraId="53C318AF" w14:textId="304AB268" w:rsidR="00A12C82" w:rsidRDefault="00A12C82" w:rsidP="00B9545E">
      <w:pPr>
        <w:pStyle w:val="a4"/>
        <w:numPr>
          <w:ilvl w:val="2"/>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出力範囲</w:t>
      </w:r>
    </w:p>
    <w:p w14:paraId="42C89926" w14:textId="6A07D247" w:rsidR="002452E7" w:rsidRDefault="002452E7" w:rsidP="002452E7">
      <w:pPr>
        <w:pStyle w:val="a4"/>
        <w:ind w:leftChars="0" w:left="1418"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不等式で出力範囲を示す。(</w:t>
      </w:r>
      <w:r>
        <w:rPr>
          <w:rFonts w:asciiTheme="majorEastAsia" w:eastAsiaTheme="majorEastAsia" w:hAnsiTheme="majorEastAsia"/>
          <w:sz w:val="24"/>
          <w:szCs w:val="28"/>
        </w:rPr>
        <w:t>3</w:t>
      </w:r>
      <w:r>
        <w:rPr>
          <w:rFonts w:asciiTheme="majorEastAsia" w:eastAsiaTheme="majorEastAsia" w:hAnsiTheme="majorEastAsia" w:hint="eastAsia"/>
          <w:sz w:val="24"/>
          <w:szCs w:val="28"/>
        </w:rPr>
        <w:t>ページ</w:t>
      </w:r>
      <w:r>
        <w:rPr>
          <w:rFonts w:asciiTheme="majorEastAsia" w:eastAsiaTheme="majorEastAsia" w:hAnsiTheme="majorEastAsia"/>
          <w:sz w:val="24"/>
          <w:szCs w:val="28"/>
        </w:rPr>
        <w:t>)</w:t>
      </w:r>
    </w:p>
    <w:p w14:paraId="570EF9B8" w14:textId="654507F3" w:rsidR="00B9545E" w:rsidRDefault="00B9545E" w:rsidP="00B9545E">
      <w:pPr>
        <w:pStyle w:val="a4"/>
        <w:numPr>
          <w:ilvl w:val="1"/>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カレントミラーを使用する折り返し型乗算回路</w:t>
      </w:r>
    </w:p>
    <w:p w14:paraId="24FEB14A" w14:textId="16C55E9C" w:rsidR="002452E7" w:rsidRDefault="002452E7" w:rsidP="002452E7">
      <w:pPr>
        <w:pStyle w:val="a4"/>
        <w:ind w:leftChars="0" w:left="992"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カレントミラーを使用することによって考えられるメリット・デメリットについて説明する。</w:t>
      </w:r>
    </w:p>
    <w:p w14:paraId="6331D3F2" w14:textId="2BA46802" w:rsidR="002452E7" w:rsidRDefault="00A12C82" w:rsidP="002452E7">
      <w:pPr>
        <w:pStyle w:val="a4"/>
        <w:numPr>
          <w:ilvl w:val="2"/>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回路構成</w:t>
      </w:r>
    </w:p>
    <w:p w14:paraId="1CE15F94" w14:textId="0D1C6E6F" w:rsidR="002452E7" w:rsidRPr="002452E7" w:rsidRDefault="002452E7" w:rsidP="002452E7">
      <w:pPr>
        <w:pStyle w:val="a4"/>
        <w:ind w:leftChars="0" w:left="1418" w:firstLine="0"/>
        <w:jc w:val="both"/>
        <w:rPr>
          <w:rFonts w:asciiTheme="majorEastAsia" w:eastAsiaTheme="majorEastAsia" w:hAnsiTheme="majorEastAsia" w:hint="eastAsia"/>
          <w:sz w:val="24"/>
          <w:szCs w:val="28"/>
        </w:rPr>
      </w:pPr>
      <w:r>
        <w:rPr>
          <w:rFonts w:asciiTheme="majorEastAsia" w:eastAsiaTheme="majorEastAsia" w:hAnsiTheme="majorEastAsia" w:hint="eastAsia"/>
          <w:sz w:val="24"/>
          <w:szCs w:val="28"/>
        </w:rPr>
        <w:t xml:space="preserve">　</w:t>
      </w:r>
    </w:p>
    <w:p w14:paraId="75B1643F" w14:textId="2A977662" w:rsidR="00B9545E" w:rsidRDefault="00B9545E" w:rsidP="00B9545E">
      <w:pPr>
        <w:pStyle w:val="a4"/>
        <w:numPr>
          <w:ilvl w:val="2"/>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小信号等価解析</w:t>
      </w:r>
    </w:p>
    <w:p w14:paraId="09594D94" w14:textId="4BA9C969" w:rsidR="00A12C82" w:rsidRPr="00F93A89" w:rsidRDefault="00A12C82" w:rsidP="00B9545E">
      <w:pPr>
        <w:pStyle w:val="a4"/>
        <w:numPr>
          <w:ilvl w:val="2"/>
          <w:numId w:val="1"/>
        </w:numPr>
        <w:ind w:leftChars="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出力範囲</w:t>
      </w:r>
    </w:p>
    <w:p w14:paraId="09937D2A" w14:textId="39017E72" w:rsidR="009270BC" w:rsidRDefault="009270BC" w:rsidP="009270BC">
      <w:pPr>
        <w:ind w:left="0" w:firstLineChars="100" w:firstLine="240"/>
        <w:jc w:val="both"/>
        <w:rPr>
          <w:rFonts w:asciiTheme="majorEastAsia" w:eastAsiaTheme="majorEastAsia" w:hAnsiTheme="majorEastAsia"/>
          <w:sz w:val="24"/>
          <w:szCs w:val="28"/>
        </w:rPr>
      </w:pPr>
      <w:r>
        <w:rPr>
          <w:rFonts w:asciiTheme="majorEastAsia" w:eastAsiaTheme="majorEastAsia" w:hAnsiTheme="majorEastAsia" w:hint="eastAsia"/>
          <w:sz w:val="24"/>
          <w:szCs w:val="28"/>
        </w:rPr>
        <w:t>参考文献</w:t>
      </w:r>
    </w:p>
    <w:p w14:paraId="456007C0" w14:textId="0CC8465C" w:rsidR="009270BC" w:rsidRPr="009270BC" w:rsidRDefault="009270BC" w:rsidP="009270BC">
      <w:pPr>
        <w:ind w:left="0" w:firstLineChars="100" w:firstLine="240"/>
        <w:jc w:val="both"/>
        <w:rPr>
          <w:rFonts w:asciiTheme="majorEastAsia" w:eastAsiaTheme="majorEastAsia" w:hAnsiTheme="majorEastAsia"/>
          <w:sz w:val="24"/>
          <w:szCs w:val="28"/>
        </w:rPr>
      </w:pPr>
      <w:r>
        <w:rPr>
          <w:rFonts w:asciiTheme="majorEastAsia" w:eastAsiaTheme="majorEastAsia" w:hAnsiTheme="majorEastAsia" w:hint="eastAsia"/>
          <w:sz w:val="24"/>
          <w:szCs w:val="28"/>
        </w:rPr>
        <w:t>謝辞</w:t>
      </w:r>
    </w:p>
    <w:sectPr w:rsidR="009270BC" w:rsidRPr="009270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4BCC"/>
    <w:multiLevelType w:val="multilevel"/>
    <w:tmpl w:val="0409001D"/>
    <w:lvl w:ilvl="0">
      <w:start w:val="1"/>
      <w:numFmt w:val="decimal"/>
      <w:lvlText w:val="%1"/>
      <w:lvlJc w:val="left"/>
      <w:pPr>
        <w:ind w:left="425" w:hanging="425"/>
      </w:pPr>
      <w:rPr>
        <w:rFonts w:hint="default"/>
        <w:lang w:val="en-US"/>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2364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5"/>
    <w:rsid w:val="00120733"/>
    <w:rsid w:val="002452E7"/>
    <w:rsid w:val="0048525D"/>
    <w:rsid w:val="004A01EE"/>
    <w:rsid w:val="00704CBA"/>
    <w:rsid w:val="00876E61"/>
    <w:rsid w:val="009270BC"/>
    <w:rsid w:val="00A12C82"/>
    <w:rsid w:val="00B411A3"/>
    <w:rsid w:val="00B9545E"/>
    <w:rsid w:val="00BB4CA3"/>
    <w:rsid w:val="00C165F1"/>
    <w:rsid w:val="00EA10C2"/>
    <w:rsid w:val="00F64FB6"/>
    <w:rsid w:val="00F93A89"/>
    <w:rsid w:val="00F9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CC4AEA"/>
  <w15:chartTrackingRefBased/>
  <w15:docId w15:val="{F936CBCC-72B3-43C1-BEBF-DDF5AFB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992" w:hanging="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next w:val="a"/>
    <w:autoRedefine/>
    <w:uiPriority w:val="35"/>
    <w:unhideWhenUsed/>
    <w:qFormat/>
    <w:rsid w:val="00BB4CA3"/>
    <w:pPr>
      <w:ind w:firstLine="0"/>
      <w:jc w:val="center"/>
    </w:pPr>
    <w:rPr>
      <w:b/>
      <w:bCs/>
      <w:szCs w:val="21"/>
    </w:rPr>
  </w:style>
  <w:style w:type="paragraph" w:styleId="a4">
    <w:name w:val="List Paragraph"/>
    <w:basedOn w:val="a"/>
    <w:uiPriority w:val="34"/>
    <w:qFormat/>
    <w:rsid w:val="009270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193</Words>
  <Characters>1101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Kojima</dc:creator>
  <cp:keywords/>
  <dc:description/>
  <cp:lastModifiedBy>Hikaru Kojima</cp:lastModifiedBy>
  <cp:revision>3</cp:revision>
  <dcterms:created xsi:type="dcterms:W3CDTF">2023-12-09T05:09:00Z</dcterms:created>
  <dcterms:modified xsi:type="dcterms:W3CDTF">2023-12-09T13:20:00Z</dcterms:modified>
</cp:coreProperties>
</file>