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Ocean Import Shipment — Feature Overview</w:t>
      </w:r>
    </w:p>
    <w:p>
      <w:r>
        <w:t>GoFreight's Ocean Import (OI) module manages the lifecycle of inbound ocean freight shipments. A shipment is organized around a Master Bill of Lading (MBL) which can contain one or more House Bills of Lading (HBL). The shipment detail page provides four key tabs: Basic, Container, Accounting, and Doc Center.</w:t>
      </w:r>
    </w:p>
    <w:p>
      <w:pPr>
        <w:pStyle w:val="Heading1"/>
      </w:pPr>
      <w:r>
        <w:t>1. Basic Tab</w:t>
      </w:r>
    </w:p>
    <w:p>
      <w:r>
        <w:t>The Basic tab captures all core shipment information at both MBL and HBL levels.</w:t>
      </w:r>
    </w:p>
    <w:p>
      <w:pPr>
        <w:pStyle w:val="Heading2"/>
      </w:pPr>
      <w:r>
        <w:t>MBL Section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File No. (auto-generated), MB/L No., B/L Type, Post Date</w:t>
            </w:r>
          </w:p>
        </w:tc>
      </w:tr>
      <w:tr>
        <w:tc>
          <w:tcPr>
            <w:tcW w:type="dxa" w:w="4320"/>
          </w:tcPr>
          <w:p>
            <w:r>
              <w:t>Parties</w:t>
            </w:r>
          </w:p>
        </w:tc>
        <w:tc>
          <w:tcPr>
            <w:tcW w:type="dxa" w:w="4320"/>
          </w:tcPr>
          <w:p>
            <w:r>
              <w:t>Oversea Agent, Carrier, Forwarding Agent, Co-loader, Operator (OP)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Port of Loading (POL), Port of Discharge (POD), Place of Delivery (DEL), Final Destination (FDEST)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Vessel Name, Voyage</w:t>
            </w:r>
          </w:p>
        </w:tc>
      </w:tr>
      <w:tr>
        <w:tc>
          <w:tcPr>
            <w:tcW w:type="dxa" w:w="4320"/>
          </w:tcPr>
          <w:p>
            <w:r>
              <w:t>Key Dates</w:t>
            </w:r>
          </w:p>
        </w:tc>
        <w:tc>
          <w:tcPr>
            <w:tcW w:type="dxa" w:w="4320"/>
          </w:tcPr>
          <w:p>
            <w:r>
              <w:t>ETD, ETA, ATD, ATA, ETB</w:t>
            </w:r>
          </w:p>
        </w:tc>
      </w:tr>
      <w:tr>
        <w:tc>
          <w:tcPr>
            <w:tcW w:type="dxa" w:w="4320"/>
          </w:tcPr>
          <w:p>
            <w:r>
              <w:t>Shipment Config</w:t>
            </w:r>
          </w:p>
        </w:tc>
        <w:tc>
          <w:tcPr>
            <w:tcW w:type="dxa" w:w="4320"/>
          </w:tcPr>
          <w:p>
            <w:r>
              <w:t>Ship Mode (FCL/LCL/Bulk), Freight Term (Prepaid/Collect), Service Term (CY-CY, CFS-CFS, etc.), OB/L Type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CY Location, CFS Location</w:t>
            </w:r>
          </w:p>
        </w:tc>
      </w:tr>
    </w:tbl>
    <w:p/>
    <w:p>
      <w:pPr>
        <w:pStyle w:val="Heading3"/>
      </w:pPr>
      <w:r>
        <w:t>Notable MBL Features</w:t>
      </w:r>
    </w:p>
    <w:p>
      <w:pPr>
        <w:pStyle w:val="ListBullet"/>
      </w:pPr>
      <w:r>
        <w:rPr>
          <w:b/>
        </w:rPr>
        <w:t>Direct Master Mode</w:t>
      </w:r>
      <w:r>
        <w:t xml:space="preserve"> — When enabled, the MBL acts as both master and house, adding customer-facing fields (Shipper, Consignee, Notify, Customer, Bill To, Sales).</w:t>
      </w:r>
    </w:p>
    <w:p>
      <w:pPr>
        <w:pStyle w:val="ListBullet"/>
      </w:pPr>
      <w:r>
        <w:rPr>
          <w:b/>
        </w:rPr>
        <w:t>EDI Integration</w:t>
      </w:r>
      <w:r>
        <w:t xml:space="preserve"> — Routing fields show conflict indicators when EDI data differs from manual entries.</w:t>
      </w:r>
    </w:p>
    <w:p>
      <w:pPr>
        <w:pStyle w:val="ListBullet"/>
      </w:pPr>
      <w:r>
        <w:rPr>
          <w:b/>
        </w:rPr>
        <w:t>Field Sync</w:t>
      </w:r>
      <w:r>
        <w:t xml:space="preserve"> — MBL fields (CY location, IT No., service terms, etc.) can be synced down to all HBLs in one click.</w:t>
      </w:r>
    </w:p>
    <w:p>
      <w:pPr>
        <w:pStyle w:val="ListBullet"/>
      </w:pPr>
      <w:r>
        <w:rPr>
          <w:b/>
        </w:rPr>
        <w:t>Custom Fields</w:t>
      </w:r>
      <w:r>
        <w:t xml:space="preserve"> — Additional fields configurable per office/department.</w:t>
      </w:r>
    </w:p>
    <w:p>
      <w:pPr>
        <w:pStyle w:val="Heading2"/>
      </w:pPr>
      <w:r>
        <w:t>HBL Section</w:t>
      </w:r>
    </w:p>
    <w:p>
      <w:r>
        <w:t>Each HBL under the MBL tracks its own parties, routing, and compliance data.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HB/L No., AMS No., ISF No.</w:t>
            </w:r>
          </w:p>
        </w:tc>
      </w:tr>
      <w:tr>
        <w:tc>
          <w:tcPr>
            <w:tcW w:type="dxa" w:w="4320"/>
          </w:tcPr>
          <w:p>
            <w:r>
              <w:t>Parties</w:t>
            </w:r>
          </w:p>
        </w:tc>
        <w:tc>
          <w:tcPr>
            <w:tcW w:type="dxa" w:w="4320"/>
          </w:tcPr>
          <w:p>
            <w:r>
              <w:t>Shipper, Consignee, Notify, Customer, Bill To, Customs Broker, Trucker, Sales, OP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DEL, FDEST, Delivery Location, Rail Code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IT No./Date/Location, Cargo Control No. (Canada), ISF Filing</w:t>
            </w:r>
          </w:p>
        </w:tc>
      </w:tr>
      <w:tr>
        <w:tc>
          <w:tcPr>
            <w:tcW w:type="dxa" w:w="4320"/>
          </w:tcPr>
          <w:p>
            <w:r>
              <w:t>Status Flags</w:t>
            </w:r>
          </w:p>
        </w:tc>
        <w:tc>
          <w:tcPr>
            <w:tcW w:type="dxa" w:w="4320"/>
          </w:tcPr>
          <w:p>
            <w:r>
              <w:t>Hold, Customs Clearance, Customs Hold, Telex Release Received, Door Move</w:t>
            </w:r>
          </w:p>
        </w:tc>
      </w:tr>
      <w:tr>
        <w:tc>
          <w:tcPr>
            <w:tcW w:type="dxa" w:w="4320"/>
          </w:tcPr>
          <w:p>
            <w:r>
              <w:t>Document Dates</w:t>
            </w:r>
          </w:p>
        </w:tc>
        <w:tc>
          <w:tcPr>
            <w:tcW w:type="dxa" w:w="4320"/>
          </w:tcPr>
          <w:p>
            <w:r>
              <w:t>Arrival Notice Sent, Release Order Sent, Delivery Order Sent, Proof of Delivery Sent</w:t>
            </w:r>
          </w:p>
        </w:tc>
      </w:tr>
    </w:tbl>
    <w:p/>
    <w:p>
      <w:pPr>
        <w:pStyle w:val="Heading3"/>
      </w:pPr>
      <w:r>
        <w:t>Notable HBL Features</w:t>
      </w:r>
    </w:p>
    <w:p>
      <w:pPr>
        <w:pStyle w:val="ListBullet"/>
      </w:pPr>
      <w:r>
        <w:rPr>
          <w:b/>
        </w:rPr>
        <w:t>Multi-OP Support</w:t>
      </w:r>
      <w:r>
        <w:t xml:space="preserve"> — Supports OP and OP2 assignment per HBL.</w:t>
      </w:r>
    </w:p>
    <w:p>
      <w:pPr>
        <w:pStyle w:val="ListBullet"/>
      </w:pPr>
      <w:r>
        <w:rPr>
          <w:b/>
        </w:rPr>
        <w:t>Credit Hold Warning</w:t>
      </w:r>
      <w:r>
        <w:t xml:space="preserve"> — Alerts when the Bill To party has a credit hold.</w:t>
      </w:r>
    </w:p>
    <w:p>
      <w:pPr>
        <w:pStyle w:val="ListBullet"/>
      </w:pPr>
      <w:r>
        <w:rPr>
          <w:b/>
        </w:rPr>
        <w:t>Lazy Rendering</w:t>
      </w:r>
      <w:r>
        <w:t xml:space="preserve"> — Only visible HBLs are rendered for performance with large shipments.</w:t>
      </w:r>
    </w:p>
    <w:p>
      <w:pPr>
        <w:pStyle w:val="Heading1"/>
      </w:pPr>
      <w:r>
        <w:t>2. Container Tab</w:t>
      </w:r>
    </w:p>
    <w:p>
      <w:r>
        <w:t>The Container tab manages physical container information at the MBL level and cargo allocation at the HBL level.</w:t>
      </w:r>
    </w:p>
    <w:p>
      <w:pPr>
        <w:pStyle w:val="Heading2"/>
      </w:pPr>
      <w:r>
        <w:t>MBL Containers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4320"/>
          </w:tcPr>
          <w:p>
            <w:r>
              <w:t>Container Info</w:t>
            </w:r>
          </w:p>
        </w:tc>
        <w:tc>
          <w:tcPr>
            <w:tcW w:type="dxa" w:w="4320"/>
          </w:tcPr>
          <w:p>
            <w:r>
              <w:t>Container No., Size/Type, Seal No.(s), Pickup No.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Package Count, Gross Weight, Net Weight, Measurement, Tare, VGM</w:t>
            </w:r>
          </w:p>
        </w:tc>
      </w:tr>
      <w:tr>
        <w:tc>
          <w:tcPr>
            <w:tcW w:type="dxa" w:w="4320"/>
          </w:tcPr>
          <w:p>
            <w:r>
              <w:t>Key Dates</w:t>
            </w:r>
          </w:p>
        </w:tc>
        <w:tc>
          <w:tcPr>
            <w:tcW w:type="dxa" w:w="4320"/>
          </w:tcPr>
          <w:p>
            <w:r>
              <w:t>Gate In, Gate Out, LFD (Last Free Day), FDD (Free Detention Day), Available, Delivery, Empty Return, Appointment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Customs Clearance, Customs Hold, Carrier Release, Available for Pickup</w:t>
            </w:r>
          </w:p>
        </w:tc>
      </w:tr>
      <w:tr>
        <w:tc>
          <w:tcPr>
            <w:tcW w:type="dxa" w:w="4320"/>
          </w:tcPr>
          <w:p>
            <w:r>
              <w:t>Special</w:t>
            </w:r>
          </w:p>
        </w:tc>
        <w:tc>
          <w:tcPr>
            <w:tcW w:type="dxa" w:w="4320"/>
          </w:tcPr>
          <w:p>
            <w:r>
              <w:t>Temperature/Vent (reefer), Dangerous Goods flag, PO Numbers, Color Remark, Yard Location</w:t>
            </w:r>
          </w:p>
        </w:tc>
      </w:tr>
    </w:tbl>
    <w:p/>
    <w:p>
      <w:pPr>
        <w:pStyle w:val="Heading2"/>
      </w:pPr>
      <w:r>
        <w:t>HBL-Container Link</w:t>
      </w:r>
    </w:p>
    <w:p>
      <w:pPr>
        <w:pStyle w:val="ListBullet"/>
      </w:pPr>
      <w:r>
        <w:t>Each HBL can be assigned to one or more containers.</w:t>
      </w:r>
    </w:p>
    <w:p>
      <w:pPr>
        <w:pStyle w:val="ListBullet"/>
      </w:pPr>
      <w:r>
        <w:t>HBL-level cargo data (package, weight, measure) is tracked per container.</w:t>
      </w:r>
    </w:p>
    <w:p>
      <w:pPr>
        <w:pStyle w:val="ListBullet"/>
      </w:pPr>
      <w:r>
        <w:t>Container totals are aggregated from HBL data for consistency.</w:t>
      </w:r>
    </w:p>
    <w:p>
      <w:pPr>
        <w:pStyle w:val="Heading2"/>
      </w:pPr>
      <w:r>
        <w:t>Key Container Features</w:t>
      </w:r>
    </w:p>
    <w:p>
      <w:pPr>
        <w:pStyle w:val="ListBullet"/>
      </w:pPr>
      <w:r>
        <w:rPr>
          <w:b/>
        </w:rPr>
        <w:t>Bulk Add</w:t>
      </w:r>
      <w:r>
        <w:t xml:space="preserve"> — Add 1, 5, or a custom number of containers at once.</w:t>
      </w:r>
    </w:p>
    <w:p>
      <w:pPr>
        <w:pStyle w:val="ListBullet"/>
      </w:pPr>
      <w:r>
        <w:rPr>
          <w:b/>
        </w:rPr>
        <w:t>Excel Upload</w:t>
      </w:r>
      <w:r>
        <w:t xml:space="preserve"> — Bulk import containers and commodities from an Excel template (OI-specific template available).</w:t>
      </w:r>
    </w:p>
    <w:p>
      <w:pPr>
        <w:pStyle w:val="ListBullet"/>
      </w:pPr>
      <w:r>
        <w:rPr>
          <w:b/>
        </w:rPr>
        <w:t>Container-HBL Assignment</w:t>
      </w:r>
      <w:r>
        <w:t xml:space="preserve"> — Assign/unassign containers to HBLs via a selection interface.</w:t>
      </w:r>
    </w:p>
    <w:p>
      <w:pPr>
        <w:pStyle w:val="ListBullet"/>
      </w:pPr>
      <w:r>
        <w:rPr>
          <w:b/>
        </w:rPr>
        <w:t>PO Assignment</w:t>
      </w:r>
      <w:r>
        <w:t xml:space="preserve"> — Assign Purchase Order numbers to specific containers.</w:t>
      </w:r>
    </w:p>
    <w:p>
      <w:pPr>
        <w:pStyle w:val="ListBullet"/>
      </w:pPr>
      <w:r>
        <w:rPr>
          <w:b/>
        </w:rPr>
        <w:t>Copy from HBL</w:t>
      </w:r>
      <w:r>
        <w:t xml:space="preserve"> — Sync container totals from HBL-level data.</w:t>
      </w:r>
    </w:p>
    <w:p>
      <w:pPr>
        <w:pStyle w:val="ListBullet"/>
      </w:pPr>
      <w:r>
        <w:rPr>
          <w:b/>
        </w:rPr>
        <w:t>Tracking Integration</w:t>
      </w:r>
      <w:r>
        <w:t xml:space="preserve"> — Containers receive EDI tracking events: Gate In, ETD, ETA, ATA, Unload from Vessel, LFD, Gate Out, Delivery, Empty Return.</w:t>
      </w:r>
    </w:p>
    <w:p>
      <w:pPr>
        <w:pStyle w:val="ListBullet"/>
      </w:pPr>
      <w:r>
        <w:rPr>
          <w:b/>
        </w:rPr>
        <w:t>Ongoing Container View</w:t>
      </w:r>
      <w:r>
        <w:t xml:space="preserve"> — A dedicated "My Container" page lets operators monitor active containers with filters for date range, operator, and demurrage status.</w:t>
      </w:r>
    </w:p>
    <w:p>
      <w:pPr>
        <w:pStyle w:val="ListBullet"/>
      </w:pPr>
      <w:r>
        <w:rPr>
          <w:b/>
        </w:rPr>
        <w:t>Color Remark</w:t>
      </w:r>
      <w:r>
        <w:t xml:space="preserve"> — Visual color coding for container status organization.</w:t>
      </w:r>
    </w:p>
    <w:p>
      <w:pPr>
        <w:pStyle w:val="Heading1"/>
      </w:pPr>
      <w:r>
        <w:t>3. Accounting Tab</w:t>
      </w:r>
    </w:p>
    <w:p>
      <w:r>
        <w:t>The Accounting tab manages invoices, charges, and financial tracking for the shipment.</w:t>
      </w:r>
    </w:p>
    <w:p>
      <w:pPr>
        <w:pStyle w:val="Heading2"/>
      </w:pPr>
      <w:r>
        <w:t>Invoice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AR (Accounts Receivable)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Revenue invoices billed to customers</w:t>
            </w:r>
          </w:p>
        </w:tc>
      </w:tr>
      <w:tr>
        <w:tc>
          <w:tcPr>
            <w:tcW w:type="dxa" w:w="2880"/>
          </w:tcPr>
          <w:p>
            <w:r>
              <w:t>AP (Accounts Payable)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Cost invoices from vendors/carriers</w:t>
            </w:r>
          </w:p>
        </w:tc>
      </w:tr>
      <w:tr>
        <w:tc>
          <w:tcPr>
            <w:tcW w:type="dxa" w:w="2880"/>
          </w:tcPr>
          <w:p>
            <w:r>
              <w:t>DC (Debit/Credit Note)</w:t>
            </w:r>
          </w:p>
        </w:tc>
        <w:tc>
          <w:tcPr>
            <w:tcW w:type="dxa" w:w="2880"/>
          </w:tcPr>
          <w:p>
            <w:r>
              <w:t>D/C</w:t>
            </w:r>
          </w:p>
        </w:tc>
        <w:tc>
          <w:tcPr>
            <w:tcW w:type="dxa" w:w="2880"/>
          </w:tcPr>
          <w:p>
            <w:r>
              <w:t>Adjustments to existing invoices</w:t>
            </w:r>
          </w:p>
        </w:tc>
      </w:tr>
    </w:tbl>
    <w:p/>
    <w:p>
      <w:r>
        <w:t>Invoices can be created at both MBL and HBL levels.</w:t>
      </w:r>
    </w:p>
    <w:p>
      <w:pPr>
        <w:pStyle w:val="Heading2"/>
      </w:pPr>
      <w:r>
        <w:t>Charge Items (Freight Info)</w:t>
      </w:r>
    </w:p>
    <w:p>
      <w:pPr>
        <w:pStyle w:val="ListBullet"/>
      </w:pPr>
      <w:r>
        <w:rPr>
          <w:b/>
        </w:rPr>
        <w:t>Billing Code</w:t>
      </w:r>
      <w:r>
        <w:t xml:space="preserve"> — Predefined charge codes with GL account mappings, configured per invoice type and shipment type.</w:t>
      </w:r>
    </w:p>
    <w:p>
      <w:pPr>
        <w:pStyle w:val="ListBullet"/>
      </w:pPr>
      <w:r>
        <w:rPr>
          <w:b/>
        </w:rPr>
        <w:t>Pricing</w:t>
      </w:r>
      <w:r>
        <w:t xml:space="preserve"> — Unit, Volume, Rate, Amount, Currency per line item.</w:t>
      </w:r>
    </w:p>
    <w:p>
      <w:pPr>
        <w:pStyle w:val="ListBullet"/>
      </w:pPr>
      <w:r>
        <w:rPr>
          <w:b/>
        </w:rPr>
        <w:t>Agent Link Types</w:t>
      </w:r>
      <w:r>
        <w:t xml:space="preserve"> — Categorize charges as Our Cost, Pay for Agent, Collect for Agent, etc.</w:t>
      </w:r>
    </w:p>
    <w:p>
      <w:pPr>
        <w:pStyle w:val="ListBullet"/>
      </w:pPr>
      <w:r>
        <w:rPr>
          <w:b/>
        </w:rPr>
        <w:t>Profit Tracking</w:t>
      </w:r>
      <w:r>
        <w:t xml:space="preserve"> — Revenue and cost amounts per line item for profit calculation.</w:t>
      </w:r>
    </w:p>
    <w:p>
      <w:pPr>
        <w:pStyle w:val="ListBullet"/>
      </w:pPr>
      <w:r>
        <w:rPr>
          <w:b/>
        </w:rPr>
        <w:t>Tax</w:t>
      </w:r>
      <w:r>
        <w:t xml:space="preserve"> — Configurable tax options (Normal, Zero-rated, Exempt) with auto-calculated tax lines.</w:t>
      </w:r>
    </w:p>
    <w:p>
      <w:pPr>
        <w:pStyle w:val="Heading2"/>
      </w:pPr>
      <w:r>
        <w:t>Payment</w:t>
      </w:r>
    </w:p>
    <w:p>
      <w:pPr>
        <w:pStyle w:val="ListBullet"/>
      </w:pPr>
      <w:r>
        <w:t>Supports Cash, Check, Wire Transfer, and other payment types.</w:t>
      </w:r>
    </w:p>
    <w:p>
      <w:pPr>
        <w:pStyle w:val="ListBullet"/>
      </w:pPr>
      <w:r>
        <w:rPr>
          <w:b/>
        </w:rPr>
        <w:t>Payment Plans</w:t>
      </w:r>
      <w:r>
        <w:t xml:space="preserve"> — Group multiple invoices for batch payment processing.</w:t>
      </w:r>
    </w:p>
    <w:p>
      <w:pPr>
        <w:pStyle w:val="ListBullet"/>
      </w:pPr>
      <w:r>
        <w:rPr>
          <w:b/>
        </w:rPr>
        <w:t>Multi-Currency</w:t>
      </w:r>
      <w:r>
        <w:t xml:space="preserve"> — Full support for invoice currency, payment currency, and bank currency with exchange rate management.</w:t>
      </w:r>
    </w:p>
    <w:p>
      <w:pPr>
        <w:pStyle w:val="ListBullet"/>
      </w:pPr>
      <w:r>
        <w:rPr>
          <w:b/>
        </w:rPr>
        <w:t>Temporary Receipts</w:t>
      </w:r>
      <w:r>
        <w:t xml:space="preserve"> — Record advance payments and write off against future invoices.</w:t>
      </w:r>
    </w:p>
    <w:p>
      <w:pPr>
        <w:pStyle w:val="Heading2"/>
      </w:pPr>
      <w:r>
        <w:t>Blocking &amp; Approval</w:t>
      </w:r>
    </w:p>
    <w:p>
      <w:pPr>
        <w:pStyle w:val="ListBullet"/>
      </w:pPr>
      <w:r>
        <w:rPr>
          <w:b/>
        </w:rPr>
        <w:t>Chain-Based Blocking</w:t>
      </w:r>
      <w:r>
        <w:t xml:space="preserve"> — Blocking an MBL automatically blocks its HBLs and all associated invoices. Configurable per office.</w:t>
      </w:r>
    </w:p>
    <w:p>
      <w:pPr>
        <w:pStyle w:val="ListBullet"/>
      </w:pPr>
      <w:r>
        <w:rPr>
          <w:b/>
        </w:rPr>
        <w:t>Approval Workflows</w:t>
      </w:r>
      <w:r>
        <w:t xml:space="preserve"> — Integration with the job flow system for invoice approval.</w:t>
      </w:r>
    </w:p>
    <w:p>
      <w:pPr>
        <w:pStyle w:val="ListBullet"/>
      </w:pPr>
      <w:r>
        <w:rPr>
          <w:b/>
        </w:rPr>
        <w:t>Confirmation</w:t>
      </w:r>
      <w:r>
        <w:t xml:space="preserve"> — Invoices can be marked as confirmed with user/date tracking.</w:t>
      </w:r>
    </w:p>
    <w:p>
      <w:pPr>
        <w:pStyle w:val="Heading2"/>
      </w:pPr>
      <w:r>
        <w:t>Profit &amp; Loss</w:t>
      </w:r>
    </w:p>
    <w:p>
      <w:pPr>
        <w:pStyle w:val="ListBullet"/>
      </w:pPr>
      <w:r>
        <w:t>Profit tracked at the freight item level (AR revenue vs. AP cost).</w:t>
      </w:r>
    </w:p>
    <w:p>
      <w:pPr>
        <w:pStyle w:val="ListBullet"/>
      </w:pPr>
      <w:r>
        <w:rPr>
          <w:b/>
        </w:rPr>
        <w:t>Advance Invoice</w:t>
      </w:r>
      <w:r>
        <w:t xml:space="preserve"> — Links AR and AP for prepayment profit calculation.</w:t>
      </w:r>
    </w:p>
    <w:p>
      <w:pPr>
        <w:pStyle w:val="ListBullet"/>
      </w:pPr>
      <w:r>
        <w:t>Aging reports for outstanding AR/AP balances.</w:t>
      </w:r>
    </w:p>
    <w:p>
      <w:pPr>
        <w:pStyle w:val="Heading1"/>
      </w:pPr>
      <w:r>
        <w:t>4. Doc Center</w:t>
      </w:r>
    </w:p>
    <w:p>
      <w:r>
        <w:t>The Doc Center manages documents, forms, and communications for the shipment.</w:t>
      </w:r>
    </w:p>
    <w:p>
      <w:pPr>
        <w:pStyle w:val="Heading2"/>
      </w:pPr>
      <w:r>
        <w:t>Document Types</w:t>
      </w:r>
    </w:p>
    <w:p>
      <w:r>
        <w:t>System-Generated Forms (OI-specific):</w:t>
      </w:r>
    </w:p>
    <w:p>
      <w:pPr>
        <w:pStyle w:val="ListBullet"/>
      </w:pPr>
      <w:r>
        <w:t>Arrival Notice</w:t>
      </w:r>
    </w:p>
    <w:p>
      <w:pPr>
        <w:pStyle w:val="ListBullet"/>
      </w:pPr>
      <w:r>
        <w:t>Delivery Order</w:t>
      </w:r>
    </w:p>
    <w:p>
      <w:pPr>
        <w:pStyle w:val="ListBullet"/>
      </w:pPr>
      <w:r>
        <w:t>Release Order</w:t>
      </w:r>
    </w:p>
    <w:p>
      <w:pPr>
        <w:pStyle w:val="ListBullet"/>
      </w:pPr>
      <w:r>
        <w:t>Proof of Delivery</w:t>
      </w:r>
    </w:p>
    <w:p>
      <w:pPr>
        <w:pStyle w:val="ListBullet"/>
      </w:pPr>
      <w:r>
        <w:t>Preliminary Claim</w:t>
      </w:r>
    </w:p>
    <w:p>
      <w:pPr>
        <w:pStyle w:val="ListBullet"/>
      </w:pPr>
      <w:r>
        <w:t>USDA Hold</w:t>
      </w:r>
    </w:p>
    <w:p>
      <w:pPr>
        <w:pStyle w:val="ListBullet"/>
      </w:pPr>
      <w:r>
        <w:t>Carrier Certificate</w:t>
      </w:r>
    </w:p>
    <w:p>
      <w:pPr>
        <w:pStyle w:val="ListBullet"/>
      </w:pPr>
      <w:r>
        <w:t>Pickup/Delivery Instruction</w:t>
      </w:r>
    </w:p>
    <w:p>
      <w:pPr>
        <w:pStyle w:val="ListBullet"/>
      </w:pPr>
      <w:r>
        <w:t>Customs Instruction</w:t>
      </w:r>
    </w:p>
    <w:p>
      <w:pPr>
        <w:pStyle w:val="ListBullet"/>
      </w:pPr>
      <w:r>
        <w:t>Detention Notice</w:t>
      </w:r>
    </w:p>
    <w:p>
      <w:pPr>
        <w:pStyle w:val="ListBullet"/>
      </w:pPr>
      <w:r>
        <w:t>Telex Release Amendment</w:t>
      </w:r>
    </w:p>
    <w:p>
      <w:r>
        <w:t>User-Uploaded Documents:</w:t>
      </w:r>
    </w:p>
    <w:p>
      <w:pPr>
        <w:pStyle w:val="ListBullet"/>
      </w:pPr>
      <w:r>
        <w:t>Entry Summary</w:t>
      </w:r>
    </w:p>
    <w:p>
      <w:pPr>
        <w:pStyle w:val="ListBullet"/>
      </w:pPr>
      <w:r>
        <w:t>Customs Release</w:t>
      </w:r>
    </w:p>
    <w:p>
      <w:pPr>
        <w:pStyle w:val="ListBullet"/>
      </w:pPr>
      <w:r>
        <w:t>ACE</w:t>
      </w:r>
    </w:p>
    <w:p>
      <w:pPr>
        <w:pStyle w:val="ListBullet"/>
      </w:pPr>
      <w:r>
        <w:t>Commercial Invoice</w:t>
      </w:r>
    </w:p>
    <w:p>
      <w:pPr>
        <w:pStyle w:val="ListBullet"/>
      </w:pPr>
      <w:r>
        <w:t>Packing List</w:t>
      </w:r>
    </w:p>
    <w:p>
      <w:pPr>
        <w:pStyle w:val="ListBullet"/>
      </w:pPr>
      <w:r>
        <w:t>HBL Print</w:t>
      </w:r>
    </w:p>
    <w:p>
      <w:pPr>
        <w:pStyle w:val="ListBullet"/>
      </w:pPr>
      <w:r>
        <w:t>ISF Confirmation</w:t>
      </w:r>
    </w:p>
    <w:p>
      <w:pPr>
        <w:pStyle w:val="Heading2"/>
      </w:pPr>
      <w:r>
        <w:t>Upload &amp; Download</w:t>
      </w:r>
    </w:p>
    <w:p>
      <w:pPr>
        <w:pStyle w:val="ListBullet"/>
      </w:pPr>
      <w:r>
        <w:t>Multi-file upload with drag-and-drop (max 25 MB per file).</w:t>
      </w:r>
    </w:p>
    <w:p>
      <w:pPr>
        <w:pStyle w:val="ListBullet"/>
      </w:pPr>
      <w:r>
        <w:t>Document preview in browser and direct download.</w:t>
      </w:r>
    </w:p>
    <w:p>
      <w:pPr>
        <w:pStyle w:val="ListBullet"/>
      </w:pPr>
      <w:r>
        <w:rPr>
          <w:b/>
        </w:rPr>
        <w:t>Image Tools</w:t>
      </w:r>
      <w:r>
        <w:t xml:space="preserve"> — Rotate/transform image documents.</w:t>
      </w:r>
    </w:p>
    <w:p>
      <w:pPr>
        <w:pStyle w:val="ListBullet"/>
      </w:pPr>
      <w:r>
        <w:t>Automatic file deduplication by content hash.</w:t>
      </w:r>
    </w:p>
    <w:p>
      <w:pPr>
        <w:pStyle w:val="Heading2"/>
      </w:pPr>
      <w:r>
        <w:t>Email Integration</w:t>
      </w:r>
    </w:p>
    <w:p>
      <w:pPr>
        <w:pStyle w:val="ListBullet"/>
      </w:pPr>
      <w:r>
        <w:t>Select one or more documents and email them directly from the Doc Center.</w:t>
      </w:r>
    </w:p>
    <w:p>
      <w:pPr>
        <w:pStyle w:val="ListBullet"/>
      </w:pPr>
      <w:r>
        <w:t>Customizable subject, body, recipients (To/CC/BCC).</w:t>
      </w:r>
    </w:p>
    <w:p>
      <w:pPr>
        <w:pStyle w:val="ListBullet"/>
      </w:pPr>
      <w:r>
        <w:t>Office-specific email footers and full audit trail of all emails sent.</w:t>
      </w:r>
    </w:p>
    <w:p>
      <w:pPr>
        <w:pStyle w:val="Heading2"/>
      </w:pPr>
      <w:r>
        <w:t>Customer Portal (Tracking)</w:t>
      </w:r>
    </w:p>
    <w:p>
      <w:pPr>
        <w:pStyle w:val="ListBullet"/>
      </w:pPr>
      <w:r>
        <w:t>Upload documents to the customer-facing tracking portal.</w:t>
      </w:r>
    </w:p>
    <w:p>
      <w:pPr>
        <w:pStyle w:val="ListBullet"/>
      </w:pPr>
      <w:r>
        <w:t>Configurable auto-sync or manual upload per document type.</w:t>
      </w:r>
    </w:p>
    <w:p>
      <w:pPr>
        <w:pStyle w:val="ListBullet"/>
      </w:pPr>
      <w:r>
        <w:t>Email notifications sent when documents are shared with customers.</w:t>
      </w:r>
    </w:p>
    <w:p>
      <w:pPr>
        <w:pStyle w:val="Heading2"/>
      </w:pPr>
      <w:r>
        <w:t>Memo System</w:t>
      </w:r>
    </w:p>
    <w:p>
      <w:pPr>
        <w:pStyle w:val="ListBullet"/>
      </w:pPr>
      <w:r>
        <w:t>Internal notes attached to the shipment with optional document attachments.</w:t>
      </w:r>
    </w:p>
    <w:p>
      <w:pPr>
        <w:pStyle w:val="ListBullet"/>
      </w:pPr>
      <w:r>
        <w:t>Alert flag for urgent communications.</w:t>
      </w:r>
    </w:p>
    <w:p>
      <w:pPr>
        <w:pStyle w:val="Heading2"/>
      </w:pPr>
      <w:r>
        <w:t>Access Control</w:t>
      </w:r>
    </w:p>
    <w:p>
      <w:pPr>
        <w:pStyle w:val="ListBullet"/>
      </w:pPr>
      <w:r>
        <w:t>Separate permissions for View, Upload/Edit, and Delete.</w:t>
      </w:r>
    </w:p>
    <w:p>
      <w:pPr>
        <w:pStyle w:val="ListBullet"/>
      </w:pPr>
      <w:r>
        <w:t>Documents distinguished between MBL-level and HBL-level.</w:t>
      </w:r>
    </w:p>
    <w:p>
      <w:pPr>
        <w:pStyle w:val="ListBullet"/>
      </w:pPr>
      <w:r>
        <w:t>Batch operations supported (batch metadata update, batch email, batch print).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