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44cee3aa9764373"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a22dec4e8c1411a"/>
                    <a:stretch>
                      <a:fillRect/>
                    </a:stretch>
                  </pic:blipFill>
                  <pic:spPr>
                    <a:xfrm>
                      <a:off x="0" y="0"/>
                      <a:ext cx="7560000" cy="10692000"/>
                    </a:xfrm>
                    <a:prstGeom prst="rect"/>
                  </pic:spPr>
                </pic:pic>
              </a:graphicData>
            </a:graphic>
          </wp:anchor>
        </w:drawing>
      </w:r>
    </w:p>
    <w:p>
      <w:pPr>
        <w:spacing w:before="4800"/>
      </w:pPr>
      <w:r/>
    </w:p>
    <w:p>
      <w:pPr>
        <w:spacing w:after="120"/>
        <w:jc w:val="center"/>
      </w:pPr>
      <w:r>
        <w:rPr>
          <w:rFonts w:ascii="Georgia" w:hAnsi="Georgia"/>
          <w:b/>
          <w:color w:val="2c3e50"/>
          <w:spacing w:val="50"/>
          <w:sz w:val="80"/>
        </w:rPr>
        <w:t>SCTH CANON</w:t>
      </w:r>
    </w:p>
    <w:p>
      <w:pPr>
        <w:spacing w:after="600"/>
        <w:jc w:val="center"/>
      </w:pPr>
      <w:r>
        <w:rPr>
          <w:rFonts w:ascii="Georgia" w:hAnsi="Georgia"/>
          <w:color w:val="b85c44"/>
          <w:spacing w:val="80"/>
          <w:sz w:val="36"/>
        </w:rPr>
        <w:t>V E R S I O N   1 . 0</w:t>
      </w:r>
    </w:p>
    <w:p>
      <w:pPr>
        <w:spacing w:after="3600"/>
        <w:jc w:val="center"/>
      </w:pPr>
      <w:r>
        <w:rPr>
          <w:rFonts w:ascii="Georgia" w:hAnsi="Georgia"/>
          <w:i/>
          <w:color w:val="5a6e7f"/>
          <w:sz w:val="24"/>
        </w:rPr>
        <w:t>Foundational Beliefs Derived from Research</w:t>
      </w:r>
    </w:p>
    <w:p>
      <w:pPr>
        <w:jc w:val="center"/>
      </w:pPr>
      <w:r>
        <w:rPr>
          <w:rFonts w:ascii="Georgia" w:hAnsi="Georgia"/>
          <w:color w:val="8b9a8a"/>
          <w:sz w:val="20"/>
        </w:rPr>
        <w:t>July 2026</w:t>
      </w:r>
    </w:p>
    <w:p>
      <w:pPr>
        <w:sectPr>
          <w:type w:val="nextPage"/>
          <w:pgSz w:w="11906" w:h="16838"/>
          <w:pgMar w:top="0" w:right="0" w:bottom="0" w:left="0" w:header="0" w:footer="0"/>
          <w:titlePg/>
        </w:sectPr>
      </w:pPr>
    </w:p>
    <w:p>
      <w:pPr>
        <w:pStyle w:val="Heading1"/>
      </w:pPr>
      <w:r>
        <w:t>Table of Contents</w:t>
      </w:r>
    </w:p>
    <w:p>
      <w:pPr>
        <w:spacing w:after="300"/>
      </w:pPr>
      <w:r>
        <w:rPr>
          <w:color w:val="8b9a8a"/>
          <w:sz w:val="18"/>
        </w:rPr>
        <w:t>Right-click and select "Update Field" to refresh page numbers</w:t>
      </w:r>
    </w:p>
    <w:p>
      <w:r>
        <w:fldChar w:fldCharType="begin"/>
      </w:r>
      <w:r>
        <w:instrText xml:space="preserve"> TOC \o "1-2" \h \z \u </w:instrText>
      </w:r>
      <w:r>
        <w:fldChar w:fldCharType="separate"/>
      </w:r>
    </w:p>
    <w:p>
      <w:pPr>
        <w:pStyle w:val="TOC1"/>
      </w:pPr>
      <w:r>
        <w:t>Introduction: What Is the SCTH Canon?</w:t>
      </w:r>
      <w:r>
        <w:tab/>
      </w:r>
      <w:r>
        <w:t>3</w:t>
      </w:r>
    </w:p>
    <w:p>
      <w:pPr>
        <w:pStyle w:val="TOC1"/>
      </w:pPr>
      <w:r>
        <w:t>Part I: The Nature of Digital Exclusion</w:t>
      </w:r>
      <w:r>
        <w:tab/>
      </w:r>
      <w:r>
        <w:t>4</w:t>
      </w:r>
    </w:p>
    <w:p>
      <w:pPr>
        <w:pStyle w:val="TOC2"/>
      </w:pPr>
      <w:r>
        <w:t>Belief 1: Digital exclusion is a social issue, not a technology issue.</w:t>
      </w:r>
      <w:r>
        <w:tab/>
      </w:r>
      <w:r>
        <w:t>4</w:t>
      </w:r>
    </w:p>
    <w:p>
      <w:pPr>
        <w:pStyle w:val="TOC2"/>
      </w:pPr>
      <w:r>
        <w:t>Belief 2: Access does not equal inclusion.</w:t>
      </w:r>
      <w:r>
        <w:tab/>
      </w:r>
      <w:r>
        <w:t>5</w:t>
      </w:r>
    </w:p>
    <w:p>
      <w:pPr>
        <w:pStyle w:val="TOC2"/>
      </w:pPr>
      <w:r>
        <w:t>Belief 3: In emerging economies, the usage gap matters more than the coverage gap.</w:t>
      </w:r>
      <w:r>
        <w:tab/>
      </w:r>
      <w:r>
        <w:t>5</w:t>
      </w:r>
    </w:p>
    <w:p>
      <w:pPr>
        <w:pStyle w:val="TOC2"/>
      </w:pPr>
      <w:r>
        <w:t>Belief 4: Digital exclusion is a barrier to citizenship.</w:t>
      </w:r>
      <w:r>
        <w:tab/>
      </w:r>
      <w:r>
        <w:t>6</w:t>
      </w:r>
    </w:p>
    <w:p>
      <w:pPr>
        <w:pStyle w:val="TOC1"/>
      </w:pPr>
      <w:r>
        <w:t>Part II: The Role of Trust</w:t>
      </w:r>
      <w:r>
        <w:tab/>
      </w:r>
      <w:r>
        <w:t>7</w:t>
      </w:r>
    </w:p>
    <w:p>
      <w:pPr>
        <w:pStyle w:val="TOC2"/>
      </w:pPr>
      <w:r>
        <w:t>Belief 5: Trust is more important than technical skill.</w:t>
      </w:r>
      <w:r>
        <w:tab/>
      </w:r>
      <w:r>
        <w:t>7</w:t>
      </w:r>
    </w:p>
    <w:p>
      <w:pPr>
        <w:pStyle w:val="TOC2"/>
      </w:pPr>
      <w:r>
        <w:t>Belief 6: Trust creates skill — not the other way around.</w:t>
      </w:r>
      <w:r>
        <w:tab/>
      </w:r>
      <w:r>
        <w:t>8</w:t>
      </w:r>
    </w:p>
    <w:p>
      <w:pPr>
        <w:pStyle w:val="TOC2"/>
      </w:pPr>
      <w:r>
        <w:t>Belief 7: Transferred trust is the primary adoption mechanism.</w:t>
      </w:r>
      <w:r>
        <w:tab/>
      </w:r>
      <w:r>
        <w:t>8</w:t>
      </w:r>
    </w:p>
    <w:p>
      <w:pPr>
        <w:pStyle w:val="TOC2"/>
      </w:pPr>
      <w:r>
        <w:t>Belief 8: Skill without calibrated trust is dangerous.</w:t>
      </w:r>
      <w:r>
        <w:tab/>
      </w:r>
      <w:r>
        <w:t>9</w:t>
      </w:r>
    </w:p>
    <w:p>
      <w:pPr>
        <w:pStyle w:val="TOC1"/>
      </w:pPr>
      <w:r>
        <w:t>Part III: The Role of Human Intermediaries</w:t>
      </w:r>
      <w:r>
        <w:tab/>
      </w:r>
      <w:r>
        <w:t>10</w:t>
      </w:r>
    </w:p>
    <w:p>
      <w:pPr>
        <w:pStyle w:val="TOC2"/>
      </w:pPr>
      <w:r>
        <w:t>Belief 9: Human intermediaries accelerate adoption.</w:t>
      </w:r>
      <w:r>
        <w:tab/>
      </w:r>
      <w:r>
        <w:t>10</w:t>
      </w:r>
    </w:p>
    <w:p>
      <w:pPr>
        <w:pStyle w:val="TOC2"/>
      </w:pPr>
      <w:r>
        <w:t>Belief 10: Families are key technology enablers.</w:t>
      </w:r>
      <w:r>
        <w:tab/>
      </w:r>
      <w:r>
        <w:t>11</w:t>
      </w:r>
    </w:p>
    <w:p>
      <w:pPr>
        <w:pStyle w:val="TOC2"/>
      </w:pPr>
      <w:r>
        <w:t>Belief 11: Mediated access is not independent inclusion.</w:t>
      </w:r>
      <w:r>
        <w:tab/>
      </w:r>
      <w:r>
        <w:t>11</w:t>
      </w:r>
    </w:p>
    <w:p>
      <w:pPr>
        <w:pStyle w:val="TOC2"/>
      </w:pPr>
      <w:r>
        <w:t>Belief 12: Design for ecosystems, not individual users.</w:t>
      </w:r>
      <w:r>
        <w:tab/>
      </w:r>
      <w:r>
        <w:t>12</w:t>
      </w:r>
    </w:p>
    <w:p>
      <w:pPr>
        <w:pStyle w:val="TOC1"/>
      </w:pPr>
      <w:r>
        <w:t>Part IV: The Role of Social Infrastructure</w:t>
      </w:r>
      <w:r>
        <w:tab/>
      </w:r>
      <w:r>
        <w:t>13</w:t>
      </w:r>
    </w:p>
    <w:p>
      <w:pPr>
        <w:pStyle w:val="TOC2"/>
      </w:pPr>
      <w:r>
        <w:t>Belief 13: Technology succeeds only when embedded in social infrastructure.</w:t>
      </w:r>
      <w:r>
        <w:tab/>
      </w:r>
      <w:r>
        <w:t>13</w:t>
      </w:r>
    </w:p>
    <w:p>
      <w:pPr>
        <w:pStyle w:val="TOC2"/>
      </w:pPr>
      <w:r>
        <w:t>Belief 14: Hybrid service models are necessary, not optional.</w:t>
      </w:r>
      <w:r>
        <w:tab/>
      </w:r>
      <w:r>
        <w:t>14</w:t>
      </w:r>
    </w:p>
    <w:p>
      <w:pPr>
        <w:pStyle w:val="TOC2"/>
      </w:pPr>
      <w:r>
        <w:t>Belief 15: Digital health should complement human care, not replace it.</w:t>
      </w:r>
      <w:r>
        <w:tab/>
      </w:r>
      <w:r>
        <w:t>14</w:t>
      </w:r>
    </w:p>
    <w:p>
      <w:pPr>
        <w:pStyle w:val="TOC1"/>
      </w:pPr>
      <w:r>
        <w:t>Part V: The Role of Protection</w:t>
      </w:r>
      <w:r>
        <w:tab/>
      </w:r>
      <w:r>
        <w:t>15</w:t>
      </w:r>
    </w:p>
    <w:p>
      <w:pPr>
        <w:pStyle w:val="TOC2"/>
      </w:pPr>
      <w:r>
        <w:t>Belief 16: Fraud prevention is part of digital literacy.</w:t>
      </w:r>
      <w:r>
        <w:tab/>
      </w:r>
      <w:r>
        <w:t>15</w:t>
      </w:r>
    </w:p>
    <w:p>
      <w:pPr>
        <w:pStyle w:val="TOC2"/>
      </w:pPr>
      <w:r>
        <w:t>Belief 17: Inclusion without protection is dangerous.</w:t>
      </w:r>
      <w:r>
        <w:tab/>
      </w:r>
      <w:r>
        <w:t>16</w:t>
      </w:r>
    </w:p>
    <w:p>
      <w:pPr>
        <w:pStyle w:val="TOC2"/>
      </w:pPr>
      <w:r>
        <w:t>Belief 18: Social engineering, not technical hacking, is the dominant fraud threat.</w:t>
      </w:r>
      <w:r>
        <w:tab/>
      </w:r>
      <w:r>
        <w:t>16</w:t>
      </w:r>
    </w:p>
    <w:p>
      <w:pPr>
        <w:pStyle w:val="TOC1"/>
      </w:pPr>
      <w:r>
        <w:t>Epistemology: How SCTH Derives Beliefs</w:t>
      </w:r>
      <w:r>
        <w:tab/>
      </w:r>
      <w:r>
        <w:t>17</w:t>
      </w:r>
    </w:p>
    <w:p>
      <w:pPr>
        <w:pStyle w:val="TOC1"/>
      </w:pPr>
      <w:r>
        <w:t>Using the Canon</w:t>
      </w:r>
      <w:r>
        <w:tab/>
      </w:r>
      <w:r>
        <w:t>18</w:t>
      </w:r>
    </w:p>
    <w:p>
      <w:r>
        <w:fldChar w:fldCharType="end"/>
      </w:r>
    </w:p>
    <w:p>
      <w:pPr>
        <w:sectPr>
          <w:type w:val="nextPage"/>
          <w:pgSz w:w="11906" w:h="16838"/>
          <w:pgMar w:top="1800" w:right="1440" w:bottom="1440" w:left="1440" w:header="720" w:footer="720"/>
        </w:sectPr>
      </w:pPr>
    </w:p>
    <w:p>
      <w:pPr>
        <w:pStyle w:val="Heading1"/>
      </w:pPr>
      <w:r>
        <w:t>Introduction: What Is the SCTH Canon?</w:t>
      </w:r>
      <w:bookmarkStart w:name="_TocIntro" w:id="1"/>
      <w:bookmarkEnd w:id="1"/>
    </w:p>
    <w:p>
      <w:pPr>
        <w:spacing w:after="200" w:line="312" w:lineRule="auto"/>
      </w:pPr>
      <w:r>
        <w:rPr>
          <w:rFonts w:ascii="Georgia" w:hAnsi="Georgia"/>
          <w:color w:val="2c3e50"/>
          <w:sz w:val="22"/>
        </w:rPr>
        <w:t>The SCTH Canon is not a mission statement. It is not a vision document. It is a record of what SCTH believes — and why — based on evidence gathered across three layers of analysis: global research, African regional context, and Kenyan field evidence.</w:t>
      </w:r>
    </w:p>
    <w:p>
      <w:pPr>
        <w:spacing w:after="200" w:line="312" w:lineRule="auto"/>
      </w:pPr>
      <w:r>
        <w:rPr>
          <w:rFonts w:ascii="Georgia" w:hAnsi="Georgia"/>
          <w:color w:val="2c3e50"/>
          <w:sz w:val="22"/>
        </w:rPr>
        <w:t>Each belief in this Canon meets three criteria:</w:t>
      </w:r>
    </w:p>
    <w:p>
      <w:pPr>
        <w:spacing w:after="120" w:line="312" w:lineRule="auto"/>
        <w:ind w:left="720" w:hanging="360"/>
      </w:pPr>
      <w:r>
        <w:rPr>
          <w:rFonts w:ascii="Georgia" w:hAnsi="Georgia"/>
          <w:color w:val="2c3e50"/>
          <w:sz w:val="22"/>
        </w:rPr>
        <w:t>•  It is supported by evidence from multiple independent sources across all three research layers.</w:t>
      </w:r>
    </w:p>
    <w:p>
      <w:pPr>
        <w:spacing w:after="120" w:line="312" w:lineRule="auto"/>
        <w:ind w:left="720" w:hanging="360"/>
      </w:pPr>
      <w:r>
        <w:rPr>
          <w:rFonts w:ascii="Georgia" w:hAnsi="Georgia"/>
          <w:color w:val="2c3e50"/>
          <w:sz w:val="22"/>
        </w:rPr>
        <w:t>•  It is falsifiable — it can be proven wrong through further research.</w:t>
      </w:r>
    </w:p>
    <w:p>
      <w:pPr>
        <w:spacing w:after="120" w:line="312" w:lineRule="auto"/>
        <w:ind w:left="720" w:hanging="360"/>
      </w:pPr>
      <w:r>
        <w:rPr>
          <w:rFonts w:ascii="Georgia" w:hAnsi="Georgia"/>
          <w:color w:val="2c3e50"/>
          <w:sz w:val="22"/>
        </w:rPr>
        <w:t>•  It has direct implications for how SCTH designs interventions, advocates for policy, and measures success.</w:t>
      </w:r>
    </w:p>
    <w:p>
      <w:pPr>
        <w:spacing w:after="200" w:line="312" w:lineRule="auto"/>
      </w:pPr>
      <w:r>
        <w:rPr>
          <w:rFonts w:ascii="Georgia" w:hAnsi="Georgia"/>
          <w:color w:val="2c3e50"/>
          <w:sz w:val="22"/>
        </w:rPr>
        <w:t>The Canon is organised into five thematic parts, each addressing a distinct dimension of digital exclusion and inclusion:</w:t>
      </w:r>
    </w:p>
    <w:p>
      <w:pPr>
        <w:spacing w:after="120" w:line="312" w:lineRule="auto"/>
        <w:ind w:left="720" w:hanging="360"/>
      </w:pPr>
      <w:r>
        <w:rPr>
          <w:rFonts w:ascii="Georgia" w:hAnsi="Georgia"/>
          <w:color w:val="2c3e50"/>
          <w:sz w:val="22"/>
        </w:rPr>
        <w:t>•  Part I: The Nature of Digital Exclusion — What digital exclusion actually is, and what it is not.</w:t>
      </w:r>
    </w:p>
    <w:p>
      <w:pPr>
        <w:spacing w:after="120" w:line="312" w:lineRule="auto"/>
        <w:ind w:left="720" w:hanging="360"/>
      </w:pPr>
      <w:r>
        <w:rPr>
          <w:rFonts w:ascii="Georgia" w:hAnsi="Georgia"/>
          <w:color w:val="2c3e50"/>
          <w:sz w:val="22"/>
        </w:rPr>
        <w:t>•  Part II: The Role of Trust — Why trust precedes skill, not the reverse.</w:t>
      </w:r>
    </w:p>
    <w:p>
      <w:pPr>
        <w:spacing w:after="120" w:line="312" w:lineRule="auto"/>
        <w:ind w:left="720" w:hanging="360"/>
      </w:pPr>
      <w:r>
        <w:rPr>
          <w:rFonts w:ascii="Georgia" w:hAnsi="Georgia"/>
          <w:color w:val="2c3e50"/>
          <w:sz w:val="22"/>
        </w:rPr>
        <w:t>•  Part III: The Role of Human Intermediaries — Why people, not technology, are the primary enablers of adoption.</w:t>
      </w:r>
    </w:p>
    <w:p>
      <w:pPr>
        <w:spacing w:after="120" w:line="312" w:lineRule="auto"/>
        <w:ind w:left="720" w:hanging="360"/>
      </w:pPr>
      <w:r>
        <w:rPr>
          <w:rFonts w:ascii="Georgia" w:hAnsi="Georgia"/>
          <w:color w:val="2c3e50"/>
          <w:sz w:val="22"/>
        </w:rPr>
        <w:t>•  Part IV: The Role of Social Infrastructure — Why technology only works when embedded in existing social systems.</w:t>
      </w:r>
    </w:p>
    <w:p>
      <w:pPr>
        <w:spacing w:after="120" w:line="312" w:lineRule="auto"/>
        <w:ind w:left="720" w:hanging="360"/>
      </w:pPr>
      <w:r>
        <w:rPr>
          <w:rFonts w:ascii="Georgia" w:hAnsi="Georgia"/>
          <w:color w:val="2c3e50"/>
          <w:sz w:val="22"/>
        </w:rPr>
        <w:t>•  Part V: The Role of Protection — Why inclusion without protection is dangerous.</w:t>
      </w:r>
    </w:p>
    <w:p>
      <w:pPr>
        <w:spacing w:after="200" w:line="312" w:lineRule="auto"/>
      </w:pPr>
      <w:r>
        <w:rPr>
          <w:rFonts w:ascii="Georgia" w:hAnsi="Georgia"/>
          <w:color w:val="2c3e50"/>
          <w:sz w:val="22"/>
        </w:rPr>
        <w:t>This is Version 1.0. As SCTH's research base grows, beliefs will be refined, challenged, and — where evidence demands it — abandoned. A Canon that cannot be questioned is dogma. A Canon that evolves with evidence is knowledge.</w:t>
      </w:r>
    </w:p>
    <w:p>
      <w:pPr>
        <w:pStyle w:val="Heading1"/>
      </w:pPr>
      <w:r>
        <w:t>Part I: The Nature of Digital Exclusion</w:t>
      </w:r>
      <w:bookmarkStart w:name="_TocPart1" w:id="2"/>
      <w:bookmarkEnd w:id="2"/>
    </w:p>
    <w:p>
      <w:pPr>
        <w:spacing w:after="200" w:line="312" w:lineRule="auto"/>
      </w:pPr>
      <w:r>
        <w:rPr>
          <w:rFonts w:ascii="Georgia" w:hAnsi="Georgia"/>
          <w:color w:val="2c3e50"/>
          <w:sz w:val="22"/>
        </w:rPr>
        <w:t>Digital exclusion is the foundation upon which all other SCTH beliefs rest. Before we can address how older adults are excluded, we must understand what exclusion actually means — and what it does not.</w:t>
      </w:r>
    </w:p>
    <w:p>
      <w:pPr>
        <w:pStyle w:val="Heading2"/>
      </w:pPr>
      <w:r>
        <w:t>Belief 1</w:t>
      </w:r>
    </w:p>
    <w:p>
      <w:pPr>
        <w:pStyle w:val="Belief"/>
      </w:pPr>
      <w:r>
        <w:rPr>
          <w:rFonts w:ascii="Georgia" w:hAnsi="Georgia"/>
          <w:i/>
          <w:color w:val="2c3e50"/>
          <w:sz w:val="24"/>
        </w:rPr>
        <w:t>Digital exclusion is a social issue, not a technology issue.</w:t>
      </w:r>
    </w:p>
    <w:p>
      <w:pPr>
        <w:spacing w:after="200" w:line="312" w:lineRule="auto"/>
      </w:pPr>
      <w:r>
        <w:rPr>
          <w:rFonts w:ascii="Georgia" w:hAnsi="Georgia"/>
          <w:color w:val="2c3e50"/>
          <w:sz w:val="22"/>
        </w:rPr>
        <w:t>The global evidence is unambiguous: digital exclusion follows existing social fault lines. It is concentrated among low-income households, older adults, people with disabilities, racial and ethnic minorities, migrants, rural populations, and women. The "third-level divide" proves that even when access and skills are equal, disadvantaged users derive fewer material benefits than privileged counterparts.</w:t>
      </w:r>
    </w:p>
    <w:p>
      <w:pPr>
        <w:spacing w:after="200" w:line="312" w:lineRule="auto"/>
      </w:pPr>
      <w:r>
        <w:rPr>
          <w:rFonts w:ascii="Georgia" w:hAnsi="Georgia"/>
          <w:color w:val="2c3e50"/>
          <w:sz w:val="22"/>
        </w:rPr>
        <w:t>In Kenya, older adults are excluded from eCitizen, M-Pesa, and digital health not because the systems do not exist, but because they were designed without considering age, literacy, trust, and human intermediation. Kenya has fiber, 4G, M-Pesa, eCitizen, and digital health platforms. What it lacks is social scaffolding — literacy training designed for elders, trusted human intermediaries, offline alternatives, and interfaces that respect cognitive aging.</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The third-level divide shows access + skills do not equal outcomes. Social stratification determines who benefits.</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1 billion people are covered by mobile networks but not using them. The gap is social, not technical.</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Older adults are excluded from digital systems because those systems were designed without considering their needs.</w:t>
            </w:r>
          </w:p>
        </w:tc>
      </w:tr>
    </w:tbl>
    <w:p>
      <w:pPr>
        <w:pStyle w:val="Heading2"/>
      </w:pPr>
      <w:r>
        <w:t>Belief 2</w:t>
      </w:r>
    </w:p>
    <w:p>
      <w:pPr>
        <w:pStyle w:val="Belief"/>
      </w:pPr>
      <w:r>
        <w:rPr>
          <w:rFonts w:ascii="Georgia" w:hAnsi="Georgia"/>
          <w:i/>
          <w:color w:val="2c3e50"/>
          <w:sz w:val="24"/>
        </w:rPr>
        <w:t>Access does not equal inclusion.</w:t>
      </w:r>
    </w:p>
    <w:p>
      <w:pPr>
        <w:spacing w:after="200" w:line="312" w:lineRule="auto"/>
      </w:pPr>
      <w:r>
        <w:rPr>
          <w:rFonts w:ascii="Georgia" w:hAnsi="Georgia"/>
          <w:color w:val="2c3e50"/>
          <w:sz w:val="22"/>
        </w:rPr>
        <w:t>The three-level model of digital exclusion is definitive: first-level divides (access to devices and connectivity) are necessary but not sufficient. Second-level divides (skills and literacy) and third-level divides (outcomes) persist even when first-level gaps are closed.</w:t>
      </w:r>
    </w:p>
    <w:p>
      <w:pPr>
        <w:spacing w:after="200" w:line="312" w:lineRule="auto"/>
      </w:pPr>
      <w:r>
        <w:rPr>
          <w:rFonts w:ascii="Georgia" w:hAnsi="Georgia"/>
          <w:color w:val="2c3e50"/>
          <w:sz w:val="22"/>
        </w:rPr>
        <w:t>In Africa, mobile money "inclusion" statistics mask a deeper reality: older adults are "included" only because someone else operates the system for them. 70% of beneficiaries in Uganda's SAGE programme did not own mobile phones at the start. Technology penetration statistics are meaningless without measuring independent capability.</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The third-level divide: equal access and equal skills do not produce equal benefits when underlying social inequalities persist.</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inclusion statistics hide dependency on human intermediaries. The elderly are included only because someone else operates the system.</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82.9% formal financial inclusion headline masks the reality that older adults cannot navigate M-Pesa independently.</w:t>
            </w:r>
          </w:p>
        </w:tc>
      </w:tr>
    </w:tbl>
    <w:p>
      <w:pPr>
        <w:pStyle w:val="Heading2"/>
      </w:pPr>
      <w:r>
        <w:t>Belief 3</w:t>
      </w:r>
    </w:p>
    <w:p>
      <w:pPr>
        <w:pStyle w:val="Belief"/>
      </w:pPr>
      <w:r>
        <w:rPr>
          <w:rFonts w:ascii="Georgia" w:hAnsi="Georgia"/>
          <w:i/>
          <w:color w:val="2c3e50"/>
          <w:sz w:val="24"/>
        </w:rPr>
        <w:t>In emerging economies, the usage gap matters more than the coverage gap.</w:t>
      </w:r>
    </w:p>
    <w:p>
      <w:pPr>
        <w:spacing w:after="200" w:line="312" w:lineRule="auto"/>
      </w:pPr>
      <w:r>
        <w:rPr>
          <w:rFonts w:ascii="Georgia" w:hAnsi="Georgia"/>
          <w:color w:val="2c3e50"/>
          <w:sz w:val="22"/>
        </w:rPr>
        <w:t>In OECD contexts, digital exclusion debates focus on broadband speed and fiber deployment. In Africa, the barrier is getting people to use the services that already exist. Almost 1 billion people in Africa are covered by mobile networks but not using mobile internet — representing 63% of the population.</w:t>
      </w:r>
    </w:p>
    <w:p>
      <w:pPr>
        <w:spacing w:after="200" w:line="312" w:lineRule="auto"/>
      </w:pPr>
      <w:r>
        <w:rPr>
          <w:rFonts w:ascii="Georgia" w:hAnsi="Georgia"/>
          <w:color w:val="2c3e50"/>
          <w:sz w:val="22"/>
        </w:rPr>
        <w:t>GSMA data shows that after years of infrastructure investment, the "usage gap" (people covered by networks but not using them) is the dominant challenge. The divide is driven by device affordability, limited digital skills, and lack of relevant content in local languages — not by missing infrastructure.</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OECD digital exclusion debates focus on broadband speed. In emerging economies, the problem is different.</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63% of the population is covered by networks but not using mobile internet. The barrier is usage, not coverage.</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Nairobi: 64.7% internet usage. West Pokot: 9.1%. The divide is not about coverage — it is about who can use what already exists.</w:t>
            </w:r>
          </w:p>
        </w:tc>
      </w:tr>
    </w:tbl>
    <w:p>
      <w:pPr>
        <w:pStyle w:val="Heading2"/>
      </w:pPr>
      <w:r>
        <w:t>Belief 4</w:t>
      </w:r>
    </w:p>
    <w:p>
      <w:pPr>
        <w:pStyle w:val="Belief"/>
      </w:pPr>
      <w:r>
        <w:rPr>
          <w:rFonts w:ascii="Georgia" w:hAnsi="Georgia"/>
          <w:i/>
          <w:color w:val="2c3e50"/>
          <w:sz w:val="24"/>
        </w:rPr>
        <w:t>Digital exclusion is a barrier to citizenship.</w:t>
      </w:r>
    </w:p>
    <w:p>
      <w:pPr>
        <w:spacing w:after="200" w:line="312" w:lineRule="auto"/>
      </w:pPr>
      <w:r>
        <w:rPr>
          <w:rFonts w:ascii="Georgia" w:hAnsi="Georgia"/>
          <w:color w:val="2c3e50"/>
          <w:sz w:val="22"/>
        </w:rPr>
        <w:t>The UN has declared internet access a human right. In Kenya, where digital access is now required to receive social protection (Inua Jamii), access health services, and engage with government, digital exclusion is becoming a barrier to citizenship itself.</w:t>
      </w:r>
    </w:p>
    <w:p>
      <w:pPr>
        <w:spacing w:after="200" w:line="312" w:lineRule="auto"/>
      </w:pPr>
      <w:r>
        <w:rPr>
          <w:rFonts w:ascii="Georgia" w:hAnsi="Georgia"/>
          <w:color w:val="2c3e50"/>
          <w:sz w:val="22"/>
        </w:rPr>
        <w:t>Only 51% of Kenyans felt e-services reached all citizens, including the elderly and disabled. 36% said they did not. When government services move online without inclusive design, the digitally excluded are structurally excluded from their rights as citizens.</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The UN declares internet access a human right. Digital exclusion becomes a rights violation.</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Government cash transfers moving to digital payments exclude those without digital literacy from their own social protection.</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Inua Jamii requires digital access. eCitizen is mandatory. Those without digital skills are excluded from citizenship entitlements.</w:t>
            </w:r>
          </w:p>
        </w:tc>
      </w:tr>
    </w:tbl>
    <w:p>
      <w:pPr>
        <w:pStyle w:val="Heading1"/>
      </w:pPr>
      <w:r>
        <w:t>Part II: The Role of Trust</w:t>
      </w:r>
      <w:bookmarkStart w:name="_TocPart2" w:id="3"/>
      <w:bookmarkEnd w:id="3"/>
    </w:p>
    <w:p>
      <w:pPr>
        <w:spacing w:after="200" w:line="312" w:lineRule="auto"/>
      </w:pPr>
      <w:r>
        <w:rPr>
          <w:rFonts w:ascii="Georgia" w:hAnsi="Georgia"/>
          <w:color w:val="2c3e50"/>
          <w:sz w:val="22"/>
        </w:rPr>
        <w:t>Trust is the binding agent of digital inclusion. Without it, access and skill are irrelevant. This part establishes why trust precedes skill, how trust operates as a transfer mechanism, and why skill without calibrated trust is dangerous.</w:t>
      </w:r>
    </w:p>
    <w:p>
      <w:pPr>
        <w:pStyle w:val="Heading2"/>
      </w:pPr>
      <w:r>
        <w:t>Belief 5</w:t>
      </w:r>
    </w:p>
    <w:p>
      <w:pPr>
        <w:pStyle w:val="Belief"/>
      </w:pPr>
      <w:r>
        <w:rPr>
          <w:rFonts w:ascii="Georgia" w:hAnsi="Georgia"/>
          <w:i/>
          <w:color w:val="2c3e50"/>
          <w:sz w:val="24"/>
        </w:rPr>
        <w:t>Trust is more important than technical skill.</w:t>
      </w:r>
    </w:p>
    <w:p>
      <w:pPr>
        <w:spacing w:after="200" w:line="312" w:lineRule="auto"/>
      </w:pPr>
      <w:r>
        <w:rPr>
          <w:rFonts w:ascii="Georgia" w:hAnsi="Georgia"/>
          <w:color w:val="2c3e50"/>
          <w:sz w:val="22"/>
        </w:rPr>
        <w:t>Across decades of technology acceptance research, one finding has remained robust: trust in a system is a stronger predictor of whether someone will use it than their technical ability to operate it. The Technology Acceptance Model and its successors consistently show that perceived usefulness and ease of use are themselves shaped by trust. Without trust, ease of use and usefulness do not translate into adoption.</w:t>
      </w:r>
    </w:p>
    <w:p>
      <w:pPr>
        <w:spacing w:after="200" w:line="312" w:lineRule="auto"/>
      </w:pPr>
      <w:r>
        <w:rPr>
          <w:rFonts w:ascii="Georgia" w:hAnsi="Georgia"/>
          <w:color w:val="2c3e50"/>
          <w:sz w:val="22"/>
        </w:rPr>
        <w:t>In Kenya, M-Pesa works because agents are trusted. E-Citizen is accessed through cybercafe staff or family members because citizens do not trust their own judgment or the state's digital security. Digital health is trusted only when the same provider consistently delivers care. In every case, the barrier is not the absence of technical skill. It is the absence of trust.</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TAM and UTAUT research show trust is a foundational factor shaping perceived usefulness and ease of use.</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is trusted because of known agents and peer networks, not because of institutional regulation.</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M-Pesa, eCitizen, and digital health all function only when mediated by trusted human intermediaries.</w:t>
            </w:r>
          </w:p>
        </w:tc>
      </w:tr>
    </w:tbl>
    <w:p>
      <w:pPr>
        <w:pStyle w:val="Heading2"/>
      </w:pPr>
      <w:r>
        <w:t>Belief 6</w:t>
      </w:r>
    </w:p>
    <w:p>
      <w:pPr>
        <w:pStyle w:val="Belief"/>
      </w:pPr>
      <w:r>
        <w:rPr>
          <w:rFonts w:ascii="Georgia" w:hAnsi="Georgia"/>
          <w:i/>
          <w:color w:val="2c3e50"/>
          <w:sz w:val="24"/>
        </w:rPr>
        <w:t>Trust creates skill — not the other way around.</w:t>
      </w:r>
    </w:p>
    <w:p>
      <w:pPr>
        <w:spacing w:after="200" w:line="312" w:lineRule="auto"/>
      </w:pPr>
      <w:r>
        <w:rPr>
          <w:rFonts w:ascii="Georgia" w:hAnsi="Georgia"/>
          <w:color w:val="2c3e50"/>
          <w:sz w:val="22"/>
        </w:rPr>
        <w:t>Most digital literacy programs assume: teach skill, then trust follows. The evidence suggests the opposite: build trust, practice increases, skill develops. The trust-risk cascade proves that low trust causes low skill through avoidance, not merely the reverse.</w:t>
      </w:r>
    </w:p>
    <w:p>
      <w:pPr>
        <w:spacing w:after="200" w:line="312" w:lineRule="auto"/>
      </w:pPr>
      <w:r>
        <w:rPr>
          <w:rFonts w:ascii="Georgia" w:hAnsi="Georgia"/>
          <w:color w:val="2c3e50"/>
          <w:sz w:val="22"/>
        </w:rPr>
        <w:t>When older adults distrust a system, they avoid it. Because they avoid it, they never develop skills. Because they lack skills, their trust falls further. The cycle starts with trust, not ability. This means SCTH's intervention model should prioritise trust-building before skill instruction.</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The trust-risk cascade: low trust causes avoidance, which limits exposure and impedes skill acquisition.</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Users develop experience trust over time through repeated successful transactions, which then enables independent use.</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Older adults who trust their family intermediaries gradually develop confidence to attempt digital tasks themselves.</w:t>
            </w:r>
          </w:p>
        </w:tc>
      </w:tr>
    </w:tbl>
    <w:p>
      <w:pPr>
        <w:pStyle w:val="Heading2"/>
      </w:pPr>
      <w:r>
        <w:t>Belief 7</w:t>
      </w:r>
    </w:p>
    <w:p>
      <w:pPr>
        <w:pStyle w:val="Belief"/>
      </w:pPr>
      <w:r>
        <w:rPr>
          <w:rFonts w:ascii="Georgia" w:hAnsi="Georgia"/>
          <w:i/>
          <w:color w:val="2c3e50"/>
          <w:sz w:val="24"/>
        </w:rPr>
        <w:t>Transferred trust is the primary adoption mechanism.</w:t>
      </w:r>
    </w:p>
    <w:p>
      <w:pPr>
        <w:spacing w:after="200" w:line="312" w:lineRule="auto"/>
      </w:pPr>
      <w:r>
        <w:rPr>
          <w:rFonts w:ascii="Georgia" w:hAnsi="Georgia"/>
          <w:color w:val="2c3e50"/>
          <w:sz w:val="22"/>
        </w:rPr>
        <w:t>In many African contexts, trust is transferred socially: I trust my son. My son trusts M-Pesa. Therefore I trust M-Pesa. Or: I trust the CHV. The CHV trusts this app. Therefore I trust the app. This mechanism — which we call transferred trust — is arguably the single most important driver of technology adoption among older adults in contexts where formal institutions are weak.</w:t>
      </w:r>
    </w:p>
    <w:p>
      <w:pPr>
        <w:spacing w:after="200" w:line="312" w:lineRule="auto"/>
      </w:pPr>
      <w:r>
        <w:rPr>
          <w:rFonts w:ascii="Georgia" w:hAnsi="Georgia"/>
          <w:color w:val="2c3e50"/>
          <w:sz w:val="22"/>
        </w:rPr>
        <w:t>Where formal institutions have historically failed, users rely on informal mechanisms that blend traditional and digital practices. Trust in technology is not institutional; it is personal and communal. This has profound implications for design: technology is adopted not on its own merits, but through the trustworthiness of the people who introduce it.</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Family support has the strongest association with older adults' technology adoption (beta = .413) compared to general social influence.</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Users trust mobile agents they know personally more than abstract banking institutions.</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WhatsApp succeeds among older adults not because it is simple, but because families have domesticated it — integrating it into existing communication patterns.</w:t>
            </w:r>
          </w:p>
        </w:tc>
      </w:tr>
    </w:tbl>
    <w:p>
      <w:pPr>
        <w:pStyle w:val="Heading2"/>
      </w:pPr>
      <w:r>
        <w:t>Belief 8</w:t>
      </w:r>
    </w:p>
    <w:p>
      <w:pPr>
        <w:pStyle w:val="Belief"/>
      </w:pPr>
      <w:r>
        <w:rPr>
          <w:rFonts w:ascii="Georgia" w:hAnsi="Georgia"/>
          <w:i/>
          <w:color w:val="2c3e50"/>
          <w:sz w:val="24"/>
        </w:rPr>
        <w:t>Skill without calibrated trust is dangerous.</w:t>
      </w:r>
    </w:p>
    <w:p>
      <w:pPr>
        <w:spacing w:after="200" w:line="312" w:lineRule="auto"/>
      </w:pPr>
      <w:r>
        <w:rPr>
          <w:rFonts w:ascii="Georgia" w:hAnsi="Georgia"/>
          <w:color w:val="2c3e50"/>
          <w:sz w:val="22"/>
        </w:rPr>
        <w:t>A 2026 study on digital literacy and trust vulnerability among Chinese older adults (n=1,583) found a paradox: higher digital literacy is associated with stronger trust in strangers, which increases exposure to digital risks. Competence may heighten older adults' inclination to trust and increase exposure to digital risks.</w:t>
      </w:r>
    </w:p>
    <w:p>
      <w:pPr>
        <w:spacing w:after="200" w:line="312" w:lineRule="auto"/>
      </w:pPr>
      <w:r>
        <w:rPr>
          <w:rFonts w:ascii="Georgia" w:hAnsi="Georgia"/>
          <w:color w:val="2c3e50"/>
          <w:sz w:val="22"/>
        </w:rPr>
        <w:t>This means that skill without calibrated trust — the ability to discern whom and what to trust — is not merely insufficient. It is actively dangerous. A digitally literate older adult who trusts the wrong person or system is more vulnerable than one who avoids digital tools entirely.</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Higher digital literacy correlates with stronger trust in strangers, increasing fraud exposure among older adults.</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users with moderate literacy are targeted by social engineering precisely because they engage with digital systems.</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SIM swap fraud targets users who are engaged enough to have accounts but not literate enough to protect them.</w:t>
            </w:r>
          </w:p>
        </w:tc>
      </w:tr>
    </w:tbl>
    <w:p>
      <w:pPr>
        <w:pStyle w:val="Heading1"/>
      </w:pPr>
      <w:r>
        <w:t>Part III: The Role of Human Intermediaries</w:t>
      </w:r>
      <w:bookmarkStart w:name="_TocPart3" w:id="4"/>
      <w:bookmarkEnd w:id="4"/>
    </w:p>
    <w:p>
      <w:pPr>
        <w:spacing w:after="200" w:line="312" w:lineRule="auto"/>
      </w:pPr>
      <w:r>
        <w:rPr>
          <w:rFonts w:ascii="Georgia" w:hAnsi="Georgia"/>
          <w:color w:val="2c3e50"/>
          <w:sz w:val="22"/>
        </w:rPr>
        <w:t>If trust is the binding agent, human intermediaries are the delivery mechanism. This part establishes why people — particularly family members — are the primary infrastructure of digital inclusion, and why their role must be designed for rather than ignored.</w:t>
      </w:r>
    </w:p>
    <w:p>
      <w:pPr>
        <w:pStyle w:val="Heading2"/>
      </w:pPr>
      <w:r>
        <w:t>Belief 9</w:t>
      </w:r>
    </w:p>
    <w:p>
      <w:pPr>
        <w:pStyle w:val="Belief"/>
      </w:pPr>
      <w:r>
        <w:rPr>
          <w:rFonts w:ascii="Georgia" w:hAnsi="Georgia"/>
          <w:i/>
          <w:color w:val="2c3e50"/>
          <w:sz w:val="24"/>
        </w:rPr>
        <w:t>Human intermediaries accelerate adoption.</w:t>
      </w:r>
    </w:p>
    <w:p>
      <w:pPr>
        <w:spacing w:after="200" w:line="312" w:lineRule="auto"/>
      </w:pPr>
      <w:r>
        <w:rPr>
          <w:rFonts w:ascii="Georgia" w:hAnsi="Georgia"/>
          <w:color w:val="2c3e50"/>
          <w:sz w:val="22"/>
        </w:rPr>
        <w:t>The concept of the "warm expert" — a trusted person within an older adult's social network who provides both emotional support and technical guidance — is the most robust theoretical framework for understanding technology adoption. Unlike formal trainers or call-center operators, warm experts are embedded in ongoing relationships, making their support sustainable, contextual, and culturally attuned.</w:t>
      </w:r>
    </w:p>
    <w:p>
      <w:pPr>
        <w:spacing w:after="200" w:line="312" w:lineRule="auto"/>
      </w:pPr>
      <w:r>
        <w:rPr>
          <w:rFonts w:ascii="Georgia" w:hAnsi="Georgia"/>
          <w:color w:val="2c3e50"/>
          <w:sz w:val="22"/>
        </w:rPr>
        <w:t>Research across Sweden, the UK, and the US consistently identifies warm experts as most often children and grandchildren, preferred over formal support, and active across all stages of technology adoption. Warm experts do more than fix problems. They shape how older adults imagine technology — framing what it is for, how it fits into daily life, and whether it is worth the effort to learn.</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Warm experts have the strongest empirical association with older adults' technology adoption. Family support reduces digital anxiety and builds achievement.</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Community Health Volunteers, mobile money agents, and family members form a layered intermediation network that is the actual architecture of digital inclusion.</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M-Pesa agents, cybercafe operators, family members, and CHVs are all essential human intermediaries without whom digital systems do not function for older adults.</w:t>
            </w:r>
          </w:p>
        </w:tc>
      </w:tr>
    </w:tbl>
    <w:p>
      <w:pPr>
        <w:pStyle w:val="Heading2"/>
      </w:pPr>
      <w:r>
        <w:t>Belief 10</w:t>
      </w:r>
    </w:p>
    <w:p>
      <w:pPr>
        <w:pStyle w:val="Belief"/>
      </w:pPr>
      <w:r>
        <w:rPr>
          <w:rFonts w:ascii="Georgia" w:hAnsi="Georgia"/>
          <w:i/>
          <w:color w:val="2c3e50"/>
          <w:sz w:val="24"/>
        </w:rPr>
        <w:t>Families are key technology enablers.</w:t>
      </w:r>
    </w:p>
    <w:p>
      <w:pPr>
        <w:spacing w:after="200" w:line="312" w:lineRule="auto"/>
      </w:pPr>
      <w:r>
        <w:rPr>
          <w:rFonts w:ascii="Georgia" w:hAnsi="Georgia"/>
          <w:color w:val="2c3e50"/>
          <w:sz w:val="22"/>
        </w:rPr>
        <w:t>In contexts where formal support is scarce, families are not just the primary enablers — they are often the only enablers. In Africa, with limited state social services and thin nonprofit infrastructure, families are the primary source of support for older adults navigating digital systems.</w:t>
      </w:r>
    </w:p>
    <w:p>
      <w:pPr>
        <w:spacing w:after="200" w:line="312" w:lineRule="auto"/>
      </w:pPr>
      <w:r>
        <w:rPr>
          <w:rFonts w:ascii="Georgia" w:hAnsi="Georgia"/>
          <w:color w:val="2c3e50"/>
          <w:sz w:val="22"/>
        </w:rPr>
        <w:t>Family support operates through three dimensions: instrumental (hands-on technical assistance), emotional (encouragement and reassurance that reduce digital anxiety), and informational (guiding older adults to relevant services and interpreting digital content). All three are necessary. None can be replaced by technology alone.</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Family support has the strongest association with older adults' technology adoption intention across all studied populations.</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and digital service inclusion is largely mediated through family and community intermediaries. Formal support is too thin.</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M-Pesa, eCitizen, digital health, and social protection systems all function for older adults only when family members operate them.</w:t>
            </w:r>
          </w:p>
        </w:tc>
      </w:tr>
    </w:tbl>
    <w:p>
      <w:pPr>
        <w:pStyle w:val="Heading2"/>
      </w:pPr>
      <w:r>
        <w:t>Belief 11</w:t>
      </w:r>
    </w:p>
    <w:p>
      <w:pPr>
        <w:pStyle w:val="Belief"/>
      </w:pPr>
      <w:r>
        <w:rPr>
          <w:rFonts w:ascii="Georgia" w:hAnsi="Georgia"/>
          <w:i/>
          <w:color w:val="2c3e50"/>
          <w:sz w:val="24"/>
        </w:rPr>
        <w:t>Mediated access is not independent inclusion.</w:t>
      </w:r>
    </w:p>
    <w:p>
      <w:pPr>
        <w:spacing w:after="200" w:line="312" w:lineRule="auto"/>
      </w:pPr>
      <w:r>
        <w:rPr>
          <w:rFonts w:ascii="Georgia" w:hAnsi="Georgia"/>
          <w:color w:val="2c3e50"/>
          <w:sz w:val="22"/>
        </w:rPr>
        <w:t>The greatest strategic risk in digital inclusion work is conflating "the family helps" with "the older adult is included." When family members handle all digital tasks on behalf of older adults, the older adult never develops independent skills. This creates a dependency trap: the older adult cannot use services when the family member is unavailable, and the family member's absence creates sudden, catastrophic exclusion.</w:t>
      </w:r>
    </w:p>
    <w:p>
      <w:pPr>
        <w:spacing w:after="200" w:line="312" w:lineRule="auto"/>
      </w:pPr>
      <w:r>
        <w:rPr>
          <w:rFonts w:ascii="Georgia" w:hAnsi="Georgia"/>
          <w:color w:val="2c3e50"/>
          <w:sz w:val="22"/>
        </w:rPr>
        <w:t>Technology penetration statistics that count households rather than individuals systematically overstate inclusion. SCTH must measure independent digital capability, not just household access, and track what happens when the family intermediary is unavailable through migration, illness, or conflict.</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Assistance from family members may act as a substitute for technology, negatively affecting older adults' acceptance of home technology.</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inclusion statistics obscure a deeper dependency on human intermediaries. The elderly are included only because someone else operates the system.</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Inua Jamii digital disbursement creates structural dependency. Older adults must rely on family members to receive and manage their own entitlements.</w:t>
            </w:r>
          </w:p>
        </w:tc>
      </w:tr>
    </w:tbl>
    <w:p>
      <w:pPr>
        <w:pStyle w:val="Heading2"/>
      </w:pPr>
      <w:r>
        <w:t>Belief 12</w:t>
      </w:r>
    </w:p>
    <w:p>
      <w:pPr>
        <w:pStyle w:val="Belief"/>
      </w:pPr>
      <w:r>
        <w:rPr>
          <w:rFonts w:ascii="Georgia" w:hAnsi="Georgia"/>
          <w:i/>
          <w:color w:val="2c3e50"/>
          <w:sz w:val="24"/>
        </w:rPr>
        <w:t>Design for ecosystems, not individual users.</w:t>
      </w:r>
    </w:p>
    <w:p>
      <w:pPr>
        <w:spacing w:after="200" w:line="312" w:lineRule="auto"/>
      </w:pPr>
      <w:r>
        <w:rPr>
          <w:rFonts w:ascii="Georgia" w:hAnsi="Georgia"/>
          <w:color w:val="2c3e50"/>
          <w:sz w:val="22"/>
        </w:rPr>
        <w:t>Every SCTH digital intervention should be designed assuming that a family member or community intermediary will be involved. This means creating proxy user features with appropriate safeguards, designing interfaces that support shared use, and providing family training materials — not just individual user guides.</w:t>
      </w:r>
    </w:p>
    <w:p>
      <w:pPr>
        <w:spacing w:after="200" w:line="312" w:lineRule="auto"/>
      </w:pPr>
      <w:r>
        <w:rPr>
          <w:rFonts w:ascii="Georgia" w:hAnsi="Georgia"/>
          <w:color w:val="2c3e50"/>
          <w:sz w:val="22"/>
        </w:rPr>
        <w:t>African family structures — multigenerational households, strong filial obligations, reciprocal care relationships — are assets, not obstacles. Programs should reinforce rather than replace family care networks. Data privacy frameworks must account for shared device and shared account use in multigenerational households.</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Family members become de facto digital welfare brokers as governments move services online. Design must account for this reality.</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Daughters and daughters-in-law often bear disproportionate burden of elder care and digital mediation. Gendered division of digital labor must be designed for.</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Adult children register parents on eCitizen. Grandchildren handle online applications. Spouses act as informal intermediaries. The ecosystem is the user.</w:t>
            </w:r>
          </w:p>
        </w:tc>
      </w:tr>
    </w:tbl>
    <w:p>
      <w:pPr>
        <w:pStyle w:val="Heading1"/>
      </w:pPr>
      <w:r>
        <w:t>Part IV: The Role of Social Infrastructure</w:t>
      </w:r>
      <w:bookmarkStart w:name="_TocPart4" w:id="5"/>
      <w:bookmarkEnd w:id="5"/>
    </w:p>
    <w:p>
      <w:pPr>
        <w:spacing w:after="200" w:line="312" w:lineRule="auto"/>
      </w:pPr>
      <w:r>
        <w:rPr>
          <w:rFonts w:ascii="Georgia" w:hAnsi="Georgia"/>
          <w:color w:val="2c3e50"/>
          <w:sz w:val="22"/>
        </w:rPr>
        <w:t>Technology does not exist in a vacuum. It functions only when embedded in social infrastructure — the networks, institutions, and practices that give it meaning and stability. This part establishes why social infrastructure is not optional but foundational.</w:t>
      </w:r>
    </w:p>
    <w:p>
      <w:pPr>
        <w:pStyle w:val="Heading2"/>
      </w:pPr>
      <w:r>
        <w:t>Belief 13</w:t>
      </w:r>
    </w:p>
    <w:p>
      <w:pPr>
        <w:pStyle w:val="Belief"/>
      </w:pPr>
      <w:r>
        <w:rPr>
          <w:rFonts w:ascii="Georgia" w:hAnsi="Georgia"/>
          <w:i/>
          <w:color w:val="2c3e50"/>
          <w:sz w:val="24"/>
        </w:rPr>
        <w:t>Technology succeeds only when embedded in social infrastructure.</w:t>
      </w:r>
    </w:p>
    <w:p>
      <w:pPr>
        <w:spacing w:after="200" w:line="312" w:lineRule="auto"/>
      </w:pPr>
      <w:r>
        <w:rPr>
          <w:rFonts w:ascii="Georgia" w:hAnsi="Georgia"/>
          <w:color w:val="2c3e50"/>
          <w:sz w:val="22"/>
        </w:rPr>
        <w:t>The M-Pesa case study is instructive. M-Pesa's success is not a triumph of technology but a triumph of human intermediation: 250,000 agents who function as physical infrastructure, tutors, troubleshooters, and trusted faces. Without the agent network, M-Pesa would have been software without a delivery mechanism.</w:t>
      </w:r>
    </w:p>
    <w:p>
      <w:pPr>
        <w:spacing w:after="200" w:line="312" w:lineRule="auto"/>
      </w:pPr>
      <w:r>
        <w:rPr>
          <w:rFonts w:ascii="Georgia" w:hAnsi="Georgia"/>
          <w:color w:val="2c3e50"/>
          <w:sz w:val="22"/>
        </w:rPr>
        <w:t>Libraries, churches, community centers, and Community Health Volunteers are already functioning as informal digital inclusion hubs. SCTH should invest in formalising and funding these social intermediaries rather than building parallel tech solutions. The evidence shows that older adults use digital tools successfully only when CHVs, family members, or community agents act as bridges.</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The third-level divide demonstrates that technology benefits are determined by social context, not technical quality.</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succeeded because it built human infrastructure (agents) alongside digital infrastructure.</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CHVs, agents, cybercafes, and family members are the actual infrastructure of digital inclusion. Technology alone does not reach older adults.</w:t>
            </w:r>
          </w:p>
        </w:tc>
      </w:tr>
    </w:tbl>
    <w:p>
      <w:pPr>
        <w:pStyle w:val="Heading2"/>
      </w:pPr>
      <w:r>
        <w:t>Belief 14</w:t>
      </w:r>
    </w:p>
    <w:p>
      <w:pPr>
        <w:pStyle w:val="Belief"/>
      </w:pPr>
      <w:r>
        <w:rPr>
          <w:rFonts w:ascii="Georgia" w:hAnsi="Georgia"/>
          <w:i/>
          <w:color w:val="2c3e50"/>
          <w:sz w:val="24"/>
        </w:rPr>
        <w:t>Hybrid service models are necessary, not optional.</w:t>
      </w:r>
    </w:p>
    <w:p>
      <w:pPr>
        <w:spacing w:after="200" w:line="312" w:lineRule="auto"/>
      </w:pPr>
      <w:r>
        <w:rPr>
          <w:rFonts w:ascii="Georgia" w:hAnsi="Georgia"/>
          <w:color w:val="2c3e50"/>
          <w:sz w:val="22"/>
        </w:rPr>
        <w:t>The "digital by default" approach in Kenya's e-government and health systems is actively excluding seniors. When government services move entirely online without maintaining face-to-face alternatives, those who cannot navigate digital systems — or who do not trust them — are structurally excluded from their rights.</w:t>
      </w:r>
    </w:p>
    <w:p>
      <w:pPr>
        <w:spacing w:after="200" w:line="312" w:lineRule="auto"/>
      </w:pPr>
      <w:r>
        <w:rPr>
          <w:rFonts w:ascii="Georgia" w:hAnsi="Georgia"/>
          <w:color w:val="2c3e50"/>
          <w:sz w:val="22"/>
        </w:rPr>
        <w:t>Older adults adopt hybrid strategies that combine digital and traditional information sources. They rely heavily on family members and community health volunteers as intermediaries. SCTH should advocate for hybrid models that maintain face-to-face alternatives and design digital systems as complements to human care, not replacements.</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E-government deployed without sufficient consideration of citizen readiness leads to partial implementation with limited effects.</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Informal support networks (family, CHVs, agents) are the primary social infrastructure for digital inclusion.</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72% of citizens say digital literacy and public awareness are the top priority for improving digital services — above infrastructure.</w:t>
            </w:r>
          </w:p>
        </w:tc>
      </w:tr>
    </w:tbl>
    <w:p>
      <w:pPr>
        <w:pStyle w:val="Heading2"/>
      </w:pPr>
      <w:r>
        <w:t>Belief 15</w:t>
      </w:r>
    </w:p>
    <w:p>
      <w:pPr>
        <w:pStyle w:val="Belief"/>
      </w:pPr>
      <w:r>
        <w:rPr>
          <w:rFonts w:ascii="Georgia" w:hAnsi="Georgia"/>
          <w:i/>
          <w:color w:val="2c3e50"/>
          <w:sz w:val="24"/>
        </w:rPr>
        <w:t>Digital health should complement human care, not replace it.</w:t>
      </w:r>
    </w:p>
    <w:p>
      <w:pPr>
        <w:spacing w:after="200" w:line="312" w:lineRule="auto"/>
      </w:pPr>
      <w:r>
        <w:rPr>
          <w:rFonts w:ascii="Georgia" w:hAnsi="Georgia"/>
          <w:color w:val="2c3e50"/>
          <w:sz w:val="22"/>
        </w:rPr>
        <w:t>A 2026 study in PeerJ analysing over 500 Kenyan patients (average age over 70) with chronic diseases found that age is the strongest factor determining whether patients use mobile health tools. The study concluded: digital health should complement human care, not replace it.</w:t>
      </w:r>
    </w:p>
    <w:p>
      <w:pPr>
        <w:spacing w:after="200" w:line="312" w:lineRule="auto"/>
      </w:pPr>
      <w:r>
        <w:rPr>
          <w:rFonts w:ascii="Georgia" w:hAnsi="Georgia"/>
          <w:color w:val="2c3e50"/>
          <w:sz w:val="22"/>
        </w:rPr>
        <w:t>The trust-risk cascade is particularly acute in health: privacy and security concerns reinforce each other, creating a cycle of distrust. As trust diminishes, older adults avoid digital platforms, limiting exposure and impeding skill acquisition. Digital health tools are trusted only when embedded in existing human relationships. A new app from an unknown provider is distrusted regardless of its technical quality.</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Digital distrust has a significant positive relationship with user resistance to e-health services. Distrust is active, not passive.</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CHVs serve as human bridges between digital health systems and older patients. The human intermediary is the delivery mechanism.</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Age is the strongest factor determining whether patients use mobile health tools. Low digital literacy means older patients are left behind as Kenya pushes digital health under UHC.</w:t>
            </w:r>
          </w:p>
        </w:tc>
      </w:tr>
    </w:tbl>
    <w:p>
      <w:pPr>
        <w:pStyle w:val="Heading1"/>
      </w:pPr>
      <w:r>
        <w:t>Part V: The Role of Protection</w:t>
      </w:r>
      <w:bookmarkStart w:name="_TocPart5" w:id="6"/>
      <w:bookmarkEnd w:id="6"/>
    </w:p>
    <w:p>
      <w:pPr>
        <w:spacing w:after="200" w:line="312" w:lineRule="auto"/>
      </w:pPr>
      <w:r>
        <w:rPr>
          <w:rFonts w:ascii="Georgia" w:hAnsi="Georgia"/>
          <w:color w:val="2c3e50"/>
          <w:sz w:val="22"/>
        </w:rPr>
        <w:t>Inclusion without protection is not inclusion — it is exposure. As digital systems expand, so do the risks they carry. This part establishes why fraud prevention is inseparable from digital literacy, and why protection must be embedded in every inclusion effort.</w:t>
      </w:r>
    </w:p>
    <w:p>
      <w:pPr>
        <w:pStyle w:val="Heading2"/>
      </w:pPr>
      <w:r>
        <w:t>Belief 16</w:t>
      </w:r>
    </w:p>
    <w:p>
      <w:pPr>
        <w:pStyle w:val="Belief"/>
      </w:pPr>
      <w:r>
        <w:rPr>
          <w:rFonts w:ascii="Georgia" w:hAnsi="Georgia"/>
          <w:i/>
          <w:color w:val="2c3e50"/>
          <w:sz w:val="24"/>
        </w:rPr>
        <w:t>Fraud prevention is part of digital literacy.</w:t>
      </w:r>
    </w:p>
    <w:p>
      <w:pPr>
        <w:spacing w:after="200" w:line="312" w:lineRule="auto"/>
      </w:pPr>
      <w:r>
        <w:rPr>
          <w:rFonts w:ascii="Georgia" w:hAnsi="Georgia"/>
          <w:color w:val="2c3e50"/>
          <w:sz w:val="22"/>
        </w:rPr>
        <w:t>A landmark 2024 study found that digital literacy has a statistically significant negative effect on residents' vulnerability to fraud losses — the effect is strongest among elderly people. The OECD/EU Financial Competence Framework explicitly integrates fraud prevention into digital financial literacy as one of its essential pillars.</w:t>
      </w:r>
    </w:p>
    <w:p>
      <w:pPr>
        <w:spacing w:after="200" w:line="312" w:lineRule="auto"/>
      </w:pPr>
      <w:r>
        <w:rPr>
          <w:rFonts w:ascii="Georgia" w:hAnsi="Georgia"/>
          <w:color w:val="2c3e50"/>
          <w:sz w:val="22"/>
        </w:rPr>
        <w:t>A person who can navigate a banking app but cannot recognise a phishing SMS is not digitally literate — they are digitally dangerous to themselves. Fraud prevention is not an add-on to digital literacy; it is one of its core pillars. Every SCTH digital literacy curriculum must integrate threat recognition alongside app navigation.</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Digital literacy has the strongest fraud-reducing effect on elderly people. Fraud prevention education delivers 15.27:1 ROI.</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58-72% of mobile money fraud is social engineering. Only 20-28% of rural users can recognise phishing. Education level directly predicts fraud vulnerability.</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Nearly half of mobile money users have been defrauded. Over 60% of victims do not know grievance mechanisms.</w:t>
            </w:r>
          </w:p>
        </w:tc>
      </w:tr>
    </w:tbl>
    <w:p>
      <w:pPr>
        <w:pStyle w:val="Heading2"/>
      </w:pPr>
      <w:r>
        <w:t>Belief 17</w:t>
      </w:r>
    </w:p>
    <w:p>
      <w:pPr>
        <w:pStyle w:val="Belief"/>
      </w:pPr>
      <w:r>
        <w:rPr>
          <w:rFonts w:ascii="Georgia" w:hAnsi="Georgia"/>
          <w:i/>
          <w:color w:val="2c3e50"/>
          <w:sz w:val="24"/>
        </w:rPr>
        <w:t>Inclusion without protection is dangerous.</w:t>
      </w:r>
    </w:p>
    <w:p>
      <w:pPr>
        <w:spacing w:after="200" w:line="312" w:lineRule="auto"/>
      </w:pPr>
      <w:r>
        <w:rPr>
          <w:rFonts w:ascii="Georgia" w:hAnsi="Georgia"/>
          <w:color w:val="2c3e50"/>
          <w:sz w:val="22"/>
        </w:rPr>
        <w:t>Mobile money has achieved remarkable financial inclusion in Africa — but inclusion without protection is dangerous. 90% of individuals utilising digital financial services encountered at least one risk, with 43% mentioning fraud attempts and 32% reporting actual financial loss. The very tool designed to lift people out of poverty becomes a vector for pushing them deeper into it.</w:t>
      </w:r>
    </w:p>
    <w:p>
      <w:pPr>
        <w:spacing w:after="200" w:line="312" w:lineRule="auto"/>
      </w:pPr>
      <w:r>
        <w:rPr>
          <w:rFonts w:ascii="Georgia" w:hAnsi="Georgia"/>
          <w:color w:val="2c3e50"/>
          <w:sz w:val="22"/>
        </w:rPr>
        <w:t>Fraud victimisation does not just cause financial loss — it causes digital withdrawal. An older adult who is scammed once may abandon digital tools entirely, losing access to healthcare, banking, government services, and social connection. The cycle of distrust destroys the very inclusion digital services are meant to create.</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Fraud victimisation causes digital withdrawal — a cycle of distrust that destroys inclusion itself.</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Mobile money inclusion has outpaced protection. The more people use digital financial services, the more they are exposed to fraud.</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Social protection digitisation (Inua Jamii) creates new fraud vectors for older adults who share PINs and rely on agents.</w:t>
            </w:r>
          </w:p>
        </w:tc>
      </w:tr>
    </w:tbl>
    <w:p>
      <w:pPr>
        <w:pStyle w:val="Heading2"/>
      </w:pPr>
      <w:r>
        <w:t>Belief 18</w:t>
      </w:r>
    </w:p>
    <w:p>
      <w:pPr>
        <w:pStyle w:val="Belief"/>
      </w:pPr>
      <w:r>
        <w:rPr>
          <w:rFonts w:ascii="Georgia" w:hAnsi="Georgia"/>
          <w:i/>
          <w:color w:val="2c3e50"/>
          <w:sz w:val="24"/>
        </w:rPr>
        <w:t>Social engineering, not technical hacking, is the dominant fraud threat.</w:t>
      </w:r>
    </w:p>
    <w:p>
      <w:pPr>
        <w:spacing w:after="200" w:line="312" w:lineRule="auto"/>
      </w:pPr>
      <w:r>
        <w:rPr>
          <w:rFonts w:ascii="Georgia" w:hAnsi="Georgia"/>
          <w:color w:val="2c3e50"/>
          <w:sz w:val="22"/>
        </w:rPr>
        <w:t>58-72% of mobile money fraud across Kenya, Ghana, Nigeria, Tanzania, Rwanda, and Uganda is attributed to social engineering — not technical hacking, but manipulation of human trust. The two most prevalent attack vectors are SIM swap scams (43%) and agent-assisted fraud (38%).</w:t>
      </w:r>
    </w:p>
    <w:p>
      <w:pPr>
        <w:spacing w:after="200" w:line="312" w:lineRule="auto"/>
      </w:pPr>
      <w:r>
        <w:rPr>
          <w:rFonts w:ascii="Georgia" w:hAnsi="Georgia"/>
          <w:color w:val="2c3e50"/>
          <w:sz w:val="22"/>
        </w:rPr>
        <w:t>This means the threat is not primarily technical. It is human. Fraudsters exploit trust, urgency, fear, and confusion — not encryption weaknesses. Fraud prevention literacy must therefore teach how to think when confronted with uncertainty, not just what to look for in a phishing email. Process-based training (decision-making under ambiguity) is more effective than strategy-based training (detecting specific cues).</w:t>
      </w:r>
    </w:p>
    <w:tbl>
      <w:tblPr>
        <w:tblW w:w="5000" w:type="pct"/>
        <w:tblBorders>
          <w:top w:val="single" w:color="2c3e50" w:sz="8"/>
          <w:left w:val="nil"/>
          <w:bottom w:val="single" w:color="2c3e50" w:sz="8"/>
          <w:right w:val="nil"/>
          <w:insideH w:val="nil"/>
          <w:insideV w:val="nil"/>
        </w:tblBorders>
      </w:tblPr>
      <w:tblGrid>
        <w:gridCol w:w="1800"/>
        <w:gridCol w:w="7200"/>
      </w:tblGrid>
      <w:tr>
        <w:trPr>
          <w:tblHeader/>
        </w:trPr>
        <w:tc>
          <w:tcPr>
            <w:tcW w:w="1800" w:type="dxa"/>
            <w:tcBorders>
              <w:bottom w:val="single" w:color="d5d0c8" w:sz="4"/>
            </w:tcBorders>
            <w:shd w:val="clear" w:fill="f0ede8"/>
          </w:tcPr>
          <w:p>
            <w:pPr>
              <w:spacing w:before="60" w:after="60"/>
            </w:pPr>
            <w:r>
              <w:rPr>
                <w:rFonts w:ascii="Georgia" w:hAnsi="Georgia"/>
                <w:b/>
                <w:color w:val="2c3e50"/>
                <w:sz w:val="18"/>
              </w:rPr>
              <w:t>Layer</w:t>
            </w:r>
          </w:p>
        </w:tc>
        <w:tc>
          <w:tcPr>
            <w:tcW w:w="7200" w:type="dxa"/>
            <w:tcBorders>
              <w:bottom w:val="single" w:color="d5d0c8" w:sz="4"/>
            </w:tcBorders>
            <w:shd w:val="clear" w:fill="f0ede8"/>
          </w:tcPr>
          <w:p>
            <w:pPr>
              <w:spacing w:before="60" w:after="60"/>
            </w:pPr>
            <w:r>
              <w:rPr>
                <w:rFonts w:ascii="Georgia" w:hAnsi="Georgia"/>
                <w:b/>
                <w:color w:val="2c3e50"/>
                <w:sz w:val="18"/>
              </w:rPr>
              <w:t>Evidence</w:t>
            </w:r>
          </w:p>
        </w:tc>
      </w:tr>
      <w:tr>
        <w:tc>
          <w:tcPr>
            <w:tcW w:w="1800" w:type="dxa"/>
          </w:tcPr>
          <w:p>
            <w:pPr>
              <w:spacing w:before="40" w:after="40"/>
            </w:pPr>
            <w:r>
              <w:rPr>
                <w:rFonts w:ascii="Georgia" w:hAnsi="Georgia"/>
                <w:color w:val="5a6e7f"/>
                <w:sz w:val="18"/>
              </w:rPr>
              <w:t>Global</w:t>
            </w:r>
          </w:p>
        </w:tc>
        <w:tc>
          <w:tcPr>
            <w:tcW w:w="7200" w:type="dxa"/>
          </w:tcPr>
          <w:p>
            <w:pPr>
              <w:spacing w:before="40" w:after="40"/>
            </w:pPr>
            <w:r>
              <w:rPr>
                <w:rFonts w:ascii="Georgia" w:hAnsi="Georgia"/>
                <w:color w:val="2c3e50"/>
                <w:sz w:val="18"/>
              </w:rPr>
              <w:t>Training interventions can enhance deception detection ability, but they must be process-based rather than strategy-based.</w:t>
            </w:r>
          </w:p>
        </w:tc>
      </w:tr>
      <w:tr>
        <w:tc>
          <w:tcPr>
            <w:tcW w:w="1800" w:type="dxa"/>
          </w:tcPr>
          <w:p>
            <w:pPr>
              <w:spacing w:before="40" w:after="40"/>
            </w:pPr>
            <w:r>
              <w:rPr>
                <w:rFonts w:ascii="Georgia" w:hAnsi="Georgia"/>
                <w:color w:val="5a6e7f"/>
                <w:sz w:val="18"/>
              </w:rPr>
              <w:t>Africa</w:t>
            </w:r>
          </w:p>
        </w:tc>
        <w:tc>
          <w:tcPr>
            <w:tcW w:w="7200" w:type="dxa"/>
          </w:tcPr>
          <w:p>
            <w:pPr>
              <w:spacing w:before="40" w:after="40"/>
            </w:pPr>
            <w:r>
              <w:rPr>
                <w:rFonts w:ascii="Georgia" w:hAnsi="Georgia"/>
                <w:color w:val="2c3e50"/>
                <w:sz w:val="18"/>
              </w:rPr>
              <w:t>Agents — the human face of digital finance — are also the single largest fraud vector (38% of cases).</w:t>
            </w:r>
          </w:p>
        </w:tc>
      </w:tr>
      <w:tr>
        <w:tc>
          <w:tcPr>
            <w:tcW w:w="1800" w:type="dxa"/>
          </w:tcPr>
          <w:p>
            <w:pPr>
              <w:spacing w:before="40" w:after="40"/>
            </w:pPr>
            <w:r>
              <w:rPr>
                <w:rFonts w:ascii="Georgia" w:hAnsi="Georgia"/>
                <w:color w:val="5a6e7f"/>
                <w:sz w:val="18"/>
              </w:rPr>
              <w:t>Kenya</w:t>
            </w:r>
          </w:p>
        </w:tc>
        <w:tc>
          <w:tcPr>
            <w:tcW w:w="7200" w:type="dxa"/>
          </w:tcPr>
          <w:p>
            <w:pPr>
              <w:spacing w:before="40" w:after="40"/>
            </w:pPr>
            <w:r>
              <w:rPr>
                <w:rFonts w:ascii="Georgia" w:hAnsi="Georgia"/>
                <w:color w:val="2c3e50"/>
                <w:sz w:val="18"/>
              </w:rPr>
              <w:t>SIM swap fraud is a national crisis. Scammers impersonate officials, bank representatives, and even family members to extract PINs.</w:t>
            </w:r>
          </w:p>
        </w:tc>
      </w:tr>
    </w:tbl>
    <w:p>
      <w:pPr>
        <w:pStyle w:val="Heading1"/>
      </w:pPr>
      <w:r>
        <w:t>Epistemology: How SCTH Derives Beliefs</w:t>
      </w:r>
      <w:bookmarkStart w:name="_TocEpi" w:id="7"/>
      <w:bookmarkEnd w:id="7"/>
    </w:p>
    <w:p>
      <w:pPr>
        <w:spacing w:after="200" w:line="312" w:lineRule="auto"/>
      </w:pPr>
      <w:r>
        <w:rPr>
          <w:rFonts w:ascii="Georgia" w:hAnsi="Georgia"/>
          <w:color w:val="2c3e50"/>
          <w:sz w:val="22"/>
        </w:rPr>
        <w:t>The SCTH Canon is not a collection of opinions. It is a record of beliefs derived from evidence through a specific methodology designed to produce testable, falsifiable positions.</w:t>
      </w:r>
    </w:p>
    <w:p>
      <w:pPr>
        <w:pStyle w:val="Heading2"/>
      </w:pPr>
      <w:r>
        <w:t>The Three-Layer Method</w:t>
      </w:r>
    </w:p>
    <w:p>
      <w:pPr>
        <w:spacing w:after="200" w:line="312" w:lineRule="auto"/>
      </w:pPr>
      <w:r>
        <w:rPr>
          <w:rFonts w:ascii="Georgia" w:hAnsi="Georgia"/>
          <w:color w:val="2c3e50"/>
          <w:sz w:val="22"/>
        </w:rPr>
        <w:t>Every belief in this Canon is grounded in evidence collected across three layers:</w:t>
      </w:r>
    </w:p>
    <w:p>
      <w:pPr>
        <w:spacing w:after="120" w:line="312" w:lineRule="auto"/>
        <w:ind w:left="720" w:hanging="360"/>
      </w:pPr>
      <w:r>
        <w:rPr>
          <w:rFonts w:ascii="Georgia" w:hAnsi="Georgia"/>
          <w:color w:val="2c3e50"/>
          <w:sz w:val="22"/>
        </w:rPr>
        <w:t>•  Global Layer (20%): Intellectual rigour — definitions, models, theories from peer-reviewed research.</w:t>
      </w:r>
    </w:p>
    <w:p>
      <w:pPr>
        <w:spacing w:after="120" w:line="312" w:lineRule="auto"/>
        <w:ind w:left="720" w:hanging="360"/>
      </w:pPr>
      <w:r>
        <w:rPr>
          <w:rFonts w:ascii="Georgia" w:hAnsi="Georgia"/>
          <w:color w:val="2c3e50"/>
          <w:sz w:val="22"/>
        </w:rPr>
        <w:t>•  Africa Layer (30%): Regional context — mobile-first realities, informal support networks, infrastructure constraints.</w:t>
      </w:r>
    </w:p>
    <w:p>
      <w:pPr>
        <w:spacing w:after="120" w:line="312" w:lineRule="auto"/>
        <w:ind w:left="720" w:hanging="360"/>
      </w:pPr>
      <w:r>
        <w:rPr>
          <w:rFonts w:ascii="Georgia" w:hAnsi="Georgia"/>
          <w:color w:val="2c3e50"/>
          <w:sz w:val="22"/>
        </w:rPr>
        <w:t>•  Kenya Layer (50%): Local grounding — eCitizen, M-Pesa, health systems, family structures, field evidence.</w:t>
      </w:r>
    </w:p>
    <w:p>
      <w:pPr>
        <w:spacing w:after="200" w:line="312" w:lineRule="auto"/>
      </w:pPr>
      <w:r>
        <w:rPr>
          <w:rFonts w:ascii="Georgia" w:hAnsi="Georgia"/>
          <w:color w:val="2c3e50"/>
          <w:sz w:val="22"/>
        </w:rPr>
        <w:t>No belief enters the Canon unless it is supported by evidence from all three layers. This prevents the common failure mode of importing global research without testing its local applicability.</w:t>
      </w:r>
    </w:p>
    <w:p>
      <w:pPr>
        <w:pStyle w:val="Heading2"/>
      </w:pPr>
      <w:r>
        <w:t>Falsifiability as a Criterion</w:t>
      </w:r>
    </w:p>
    <w:p>
      <w:pPr>
        <w:spacing w:after="200" w:line="312" w:lineRule="auto"/>
      </w:pPr>
      <w:r>
        <w:rPr>
          <w:rFonts w:ascii="Georgia" w:hAnsi="Georgia"/>
          <w:color w:val="2c3e50"/>
          <w:sz w:val="22"/>
        </w:rPr>
        <w:t>A belief is only useful if it can be proven wrong. Each belief in this Canon is stated in a form that permits refutation through further research. For example: "Trust is more important than technical skill" can be disproven by showing cases where skill acquisition led to adoption in the absence of trust. This makes the Canon a scientific document, not a doctrinal one.</w:t>
      </w:r>
    </w:p>
    <w:p>
      <w:pPr>
        <w:pStyle w:val="Heading2"/>
      </w:pPr>
      <w:r>
        <w:t>Counterargument as Discipline</w:t>
      </w:r>
    </w:p>
    <w:p>
      <w:pPr>
        <w:spacing w:after="200" w:line="312" w:lineRule="auto"/>
      </w:pPr>
      <w:r>
        <w:rPr>
          <w:rFonts w:ascii="Georgia" w:hAnsi="Georgia"/>
          <w:color w:val="2c3e50"/>
          <w:sz w:val="22"/>
        </w:rPr>
        <w:t>A foundational brief should try to destroy its own thesis. SCTH actively seeks evidence that contradicts its beliefs. Belief 8 — Skill without calibrated trust is dangerous — exists because the evidence contained a paradox that challenged the simpler claim that more skill is always better. The Canon evolves when evidence demands it, not when convenience permits.</w:t>
      </w:r>
    </w:p>
    <w:p>
      <w:pPr>
        <w:pStyle w:val="Heading1"/>
      </w:pPr>
      <w:r>
        <w:t>Using the Canon</w:t>
      </w:r>
      <w:bookmarkStart w:name="_TocUse" w:id="8"/>
      <w:bookmarkEnd w:id="8"/>
    </w:p>
    <w:p>
      <w:pPr>
        <w:spacing w:after="200" w:line="312" w:lineRule="auto"/>
      </w:pPr>
      <w:r>
        <w:rPr>
          <w:rFonts w:ascii="Georgia" w:hAnsi="Georgia"/>
          <w:color w:val="2c3e50"/>
          <w:sz w:val="22"/>
        </w:rPr>
        <w:t>The SCTH Canon is a working document. It serves three practical functions:</w:t>
      </w:r>
    </w:p>
    <w:p>
      <w:pPr>
        <w:pStyle w:val="Heading2"/>
      </w:pPr>
      <w:r>
        <w:t>1. Program Design</w:t>
      </w:r>
    </w:p>
    <w:p>
      <w:pPr>
        <w:spacing w:after="200" w:line="312" w:lineRule="auto"/>
      </w:pPr>
      <w:r>
        <w:rPr>
          <w:rFonts w:ascii="Georgia" w:hAnsi="Georgia"/>
          <w:color w:val="2c3e50"/>
          <w:sz w:val="22"/>
        </w:rPr>
        <w:t>Every SCTH intervention should be traceable to at least one Canon belief. If a program cannot be linked to a belief, the program should not exist. If a program contradicts a belief, the program should be redesigned or abandoned.</w:t>
      </w:r>
    </w:p>
    <w:p>
      <w:pPr>
        <w:spacing w:after="200" w:line="312" w:lineRule="auto"/>
      </w:pPr>
      <w:r>
        <w:rPr>
          <w:rFonts w:ascii="Georgia" w:hAnsi="Georgia"/>
          <w:color w:val="2c3e50"/>
          <w:sz w:val="22"/>
        </w:rPr>
        <w:t>Example: A digital literacy program that teaches older adults to use M-Pesa without addressing trust deficits contradicts Belief 5 (Trust is more important than technical skill) and Belief 6 (Trust creates skill). The program should integrate trust calibration alongside technical instruction.</w:t>
      </w:r>
    </w:p>
    <w:p>
      <w:pPr>
        <w:pStyle w:val="Heading2"/>
      </w:pPr>
      <w:r>
        <w:t>2. Policy Advocacy</w:t>
      </w:r>
    </w:p>
    <w:p>
      <w:pPr>
        <w:spacing w:after="200" w:line="312" w:lineRule="auto"/>
      </w:pPr>
      <w:r>
        <w:rPr>
          <w:rFonts w:ascii="Georgia" w:hAnsi="Georgia"/>
          <w:color w:val="2c3e50"/>
          <w:sz w:val="22"/>
        </w:rPr>
        <w:t>The Canon provides an evidence-based foundation for advocacy positions. When SCTH argues for hybrid service models, it can point to Belief 14 supported by evidence from all three layers. When SCTH argues for fraud prevention literacy integration, it can point to Belief 16 with global ROI data and Kenyan fraud statistics.</w:t>
      </w:r>
    </w:p>
    <w:p>
      <w:pPr>
        <w:pStyle w:val="Heading2"/>
      </w:pPr>
      <w:r>
        <w:t>3. Measurement and Evaluation</w:t>
      </w:r>
    </w:p>
    <w:p>
      <w:pPr>
        <w:spacing w:after="200" w:line="312" w:lineRule="auto"/>
      </w:pPr>
      <w:r>
        <w:rPr>
          <w:rFonts w:ascii="Georgia" w:hAnsi="Georgia"/>
          <w:color w:val="2c3e50"/>
          <w:sz w:val="22"/>
        </w:rPr>
        <w:t>The Canon defines what SCTH should measure. Not access. Not registration. Not household penetration. The Canon demands measurement of: independent digital capability (Belief 2), trust levels (Belief 5), fraud literacy (Belief 16), and outcomes (Belief 1). If a metric does not map to a Canon belief, it is probably the wrong metric.</w:t>
      </w:r>
    </w:p>
    <w:p>
      <w:pPr>
        <w:spacing w:after="200" w:line="312" w:lineRule="auto"/>
      </w:pPr>
      <w:r>
        <w:rPr>
          <w:rFonts w:ascii="Georgia" w:hAnsi="Georgia"/>
          <w:color w:val="2c3e50"/>
          <w:sz w:val="22"/>
        </w:rPr>
        <w:t> </w:t>
      </w:r>
    </w:p>
    <w:p>
      <w:pPr>
        <w:spacing w:after="200" w:line="312" w:lineRule="auto"/>
      </w:pPr>
      <w:r>
        <w:rPr>
          <w:rFonts w:ascii="Georgia" w:hAnsi="Georgia"/>
          <w:color w:val="2c3e50"/>
          <w:sz w:val="22"/>
        </w:rPr>
        <w:t> </w:t>
      </w:r>
    </w:p>
    <w:p>
      <w:pPr>
        <w:spacing w:before="600"/>
        <w:jc w:val="center"/>
      </w:pPr>
      <w:r>
        <w:rPr>
          <w:rFonts w:ascii="Georgia" w:hAnsi="Georgia"/>
          <w:i/>
          <w:color w:val="5a6e7f"/>
          <w:sz w:val="20"/>
        </w:rPr>
        <w:t>This Canon is a living document. Version 2.0 will replace it when evidence demands.</w:t>
      </w:r>
    </w:p>
    <w:p>
      <w:pPr>
        <w:sectPr>
          <w:headerReference w:type="default" r:id="Re745dbbd3123469b"/>
          <w:footerReference w:type="default" r:id="R6a3888f01ae8494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2e4f7f6cb65142ed"/>
                    <a:stretch>
                      <a:fillRect/>
                    </a:stretch>
                  </pic:blipFill>
                  <pic:spPr>
                    <a:xfrm>
                      <a:off x="0" y="0"/>
                      <a:ext cx="7560000" cy="10692000"/>
                    </a:xfrm>
                    <a:prstGeom prst="rect"/>
                  </pic:spPr>
                </pic:pic>
              </a:graphicData>
            </a:graphic>
          </wp:anchor>
        </w:drawing>
      </w:r>
    </w:p>
    <w:p>
      <w:pPr>
        <w:spacing w:before="6000"/>
      </w:pPr>
      <w:r/>
    </w:p>
    <w:p>
      <w:pPr>
        <w:spacing w:after="200"/>
        <w:jc w:val="center"/>
      </w:pPr>
      <w:r>
        <w:rPr>
          <w:rFonts w:ascii="Georgia" w:hAnsi="Georgia"/>
          <w:b/>
          <w:color w:val="2c3e50"/>
          <w:spacing w:val="60"/>
          <w:sz w:val="44"/>
        </w:rPr>
        <w:t>SCTH</w:t>
      </w:r>
    </w:p>
    <w:p>
      <w:pPr>
        <w:spacing w:after="400"/>
        <w:jc w:val="center"/>
      </w:pPr>
      <w:r>
        <w:rPr>
          <w:rFonts w:ascii="Georgia" w:hAnsi="Georgia"/>
          <w:color w:val="5a6e7f"/>
          <w:sz w:val="22"/>
        </w:rPr>
        <w:t>Strategic Foundation for Connected Tomorrow's Heroes</w:t>
      </w:r>
    </w:p>
    <w:p>
      <w:pPr>
        <w:jc w:val="center"/>
      </w:pPr>
      <w:r>
        <w:rPr>
          <w:rFonts w:ascii="Georgia" w:hAnsi="Georgia"/>
          <w:color w:val="8b9a8a"/>
          <w:sz w:val="16"/>
        </w:rPr>
        <w:t>July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b9a8a"/>
        <w:sz w:val="18"/>
      </w:rPr>
      <w:t xml:space="preserve">— </w:t>
    </w:r>
    <w:r>
      <w:rPr>
        <w:color w:val="8b9a8a"/>
        <w:sz w:val="18"/>
      </w:rPr>
      <w:fldChar w:fldCharType="begin"/>
    </w:r>
    <w:r>
      <w:rPr>
        <w:color w:val="8b9a8a"/>
        <w:sz w:val="18"/>
      </w:rPr>
      <w:instrText xml:space="preserve"> PAGE </w:instrText>
    </w:r>
    <w:r>
      <w:rPr>
        <w:color w:val="8b9a8a"/>
        <w:sz w:val="18"/>
      </w:rPr>
      <w:fldChar w:fldCharType="separate"/>
    </w:r>
    <w:r>
      <w:rPr>
        <w:color w:val="8b9a8a"/>
        <w:sz w:val="18"/>
      </w:rPr>
      <w:t>1</w:t>
    </w:r>
    <w:r>
      <w:rPr>
        <w:color w:val="8b9a8a"/>
        <w:sz w:val="18"/>
      </w:rPr>
      <w:fldChar w:fldCharType="end"/>
    </w:r>
    <w:r>
      <w:rPr>
        <w:color w:val="8b9a8a"/>
        <w:sz w:val="18"/>
      </w:rPr>
      <w:t xml:space="preserve"> —</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b64f57b582d54c57"/>
                  <a:stretch>
                    <a:fillRect/>
                  </a:stretch>
                </pic:blipFill>
                <pic:spPr>
                  <a:xfrm>
                    <a:off x="0" y="0"/>
                    <a:ext cx="7560000" cy="10692000"/>
                  </a:xfrm>
                  <a:prstGeom prst="rect"/>
                </pic:spPr>
              </pic:pic>
            </a:graphicData>
          </a:graphic>
        </wp:anchor>
      </w:drawing>
    </w:r>
  </w:p>
  <w:p>
    <w:pPr>
      <w:jc w:val="right"/>
    </w:pPr>
    <w:r>
      <w:rPr>
        <w:rFonts w:ascii="Georgia" w:hAnsi="Georgia"/>
        <w:color w:val="8b9a8a"/>
        <w:sz w:val="16"/>
      </w:rPr>
      <w:t>SCTH Canon v1</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Georgia" w:hAnsi="Georgia" w:eastAsia="Microsoft YaHei"/>
      <w:color w:val="2c3e50"/>
      <w:sz w:val="22"/>
    </w:rPr>
  </w:style>
  <w:style w:type="paragraph" w:styleId="Heading1">
    <w:name w:val="heading 1"/>
    <w:basedOn w:val="Normal"/>
    <w:pPr>
      <w:keepNext/>
      <w:keepLines/>
      <w:spacing w:before="480" w:after="240"/>
      <w:outlineLvl w:val="0"/>
    </w:pPr>
    <w:rPr>
      <w:rFonts w:ascii="Georgia" w:hAnsi="Georgia" w:eastAsia="Microsoft YaHei"/>
      <w:b/>
      <w:color w:val="2c3e50"/>
      <w:sz w:val="40"/>
    </w:rPr>
  </w:style>
  <w:style w:type="paragraph" w:styleId="Heading2">
    <w:name w:val="heading 2"/>
    <w:basedOn w:val="Normal"/>
    <w:pPr>
      <w:keepNext/>
      <w:keepLines/>
      <w:spacing w:before="360" w:after="160"/>
      <w:outlineLvl w:val="1"/>
    </w:pPr>
    <w:rPr>
      <w:rFonts w:ascii="Georgia" w:hAnsi="Georgia" w:eastAsia="Microsoft YaHei"/>
      <w:b/>
      <w:color w:val="2c3e50"/>
      <w:sz w:val="28"/>
    </w:rPr>
  </w:style>
  <w:style w:type="paragraph" w:styleId="Heading3">
    <w:name w:val="heading 3"/>
    <w:basedOn w:val="Normal"/>
    <w:pPr>
      <w:keepNext/>
      <w:keepLines/>
      <w:spacing w:before="280" w:after="120"/>
      <w:outlineLvl w:val="2"/>
    </w:pPr>
    <w:rPr>
      <w:rFonts w:ascii="Georgia" w:hAnsi="Georgia" w:eastAsia="Microsoft YaHei"/>
      <w:b/>
      <w:color w:val="5a6e7f"/>
      <w:sz w:val="24"/>
    </w:rPr>
  </w:style>
  <w:style w:type="paragraph" w:styleId="Belief">
    <w:name w:val="Belief"/>
    <w:basedOn w:val="Normal"/>
    <w:pPr>
      <w:pBdr>
        <w:left w:val="single" w:color="b85c44" w:sz="18" w:space="12"/>
      </w:pBdr>
      <w:spacing w:before="360" w:after="200"/>
      <w:ind w:left="480" w:right="480"/>
    </w:pPr>
    <w:rPr>
      <w:rFonts w:ascii="Georgia" w:hAnsi="Georgia" w:eastAsia="Microsoft YaHei"/>
      <w:i/>
      <w:color w:val="2c3e50"/>
      <w:sz w:val="24"/>
    </w:rPr>
  </w:style>
  <w:style w:type="paragraph" w:styleId="TOC1">
    <w:name w:val="toc 1"/>
    <w:basedOn w:val="Normal"/>
    <w:pPr>
      <w:tabs>
        <w:tab w:val="right" w:leader="dot" w:pos="9350"/>
      </w:tabs>
      <w:spacing w:before="160" w:after="60"/>
    </w:pPr>
    <w:rPr>
      <w:b/>
      <w:color w:val="2c3e50"/>
    </w:rPr>
  </w:style>
  <w:style w:type="paragraph" w:styleId="TOC2">
    <w:name w:val="toc 2"/>
    <w:basedOn w:val="Normal"/>
    <w:pPr>
      <w:tabs>
        <w:tab w:val="right" w:leader="dot" w:pos="9350"/>
      </w:tabs>
      <w:spacing w:before="80" w:after="40"/>
      <w:ind w:left="360"/>
    </w:pPr>
    <w:rPr>
      <w:color w:val="5a6e7f"/>
    </w:rPr>
  </w:style>
</w:styles>
</file>

<file path=word/_rels/document.xml.rels><?xml version='1.0' encoding='UTF-8'?>
<Relationships xmlns="http://schemas.openxmlformats.org/package/2006/relationships"><Relationship Type="http://schemas.openxmlformats.org/officeDocument/2006/relationships/styles" Target="styles.xml" Id="R1534688c0016490d" /><Relationship Type="http://schemas.openxmlformats.org/officeDocument/2006/relationships/image" Target="media/image.png" Id="Rca22dec4e8c1411a" /><Relationship Type="http://schemas.openxmlformats.org/officeDocument/2006/relationships/image" Target="media/image2.png" Id="R2e4f7f6cb65142ed" /><Relationship Type="http://schemas.openxmlformats.org/officeDocument/2006/relationships/header" Target="header1.xml" Id="Re745dbbd3123469b" /><Relationship Type="http://schemas.openxmlformats.org/officeDocument/2006/relationships/footer" Target="footer1.xml" Id="R6a3888f01ae84945" /><Relationship Type="http://schemas.openxmlformats.org/officeDocument/2006/relationships/settings" Target="settings.xml" Id="R987e2fd4d70c44b8" /></Relationships>
</file>

<file path=word/_rels/header1.xml.rels><?xml version='1.0' encoding='UTF-8'?>
<Relationships xmlns="http://schemas.openxmlformats.org/package/2006/relationships"><Relationship Type="http://schemas.openxmlformats.org/officeDocument/2006/relationships/image" Target="media/image3.png" Id="Rb64f57b582d54c57" /></Relationships>
</file>