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Norway has a long and fascinating history shaped by geography, seafaring, and resilience. </w:t>
        <w:br/>
        <w:t xml:space="preserve">The earliest inhabitants arrived after the last Ice Age, gradually forming small communities along the coast. </w:t>
        <w:br/>
        <w:t xml:space="preserve">During the Viking Age, roughly from the late 8th to the 11th century, Norwegians became known as skilled sailors, traders, and explorers. </w:t>
        <w:br/>
        <w:t>They traveled across Europe and even reached North America centuries before Columbus.</w:t>
        <w:br/>
        <w:br/>
        <w:t xml:space="preserve">In the Middle Ages, Norway was united under a single monarchy and later entered unions with Denmark and Sweden. </w:t>
        <w:br/>
        <w:t xml:space="preserve">The union with Denmark lasted for over 400 years and had a lasting influence on Norwegian culture, language, and governance. </w:t>
        <w:br/>
        <w:t>In 1814, Norway adopted its own constitution, one of the oldest still in use today, although it remained in union with Sweden until 1905.</w:t>
        <w:br/>
        <w:br/>
        <w:t xml:space="preserve">After gaining full independence, Norway developed into a modern democratic state. </w:t>
        <w:br/>
        <w:t>The discovery of oil in the North Sea in the late 20th century transformed its economy, making it one of the wealthiest nations in the world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