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6DA" w:rsidRDefault="00F526DA" w:rsidP="00114A65">
      <w:pPr>
        <w:keepNext/>
        <w:jc w:val="center"/>
        <w:rPr>
          <w:b/>
          <w:sz w:val="36"/>
          <w:szCs w:val="36"/>
        </w:rPr>
      </w:pPr>
      <w:bookmarkStart w:id="0" w:name="_GoBack"/>
      <w:bookmarkEnd w:id="0"/>
      <w:r>
        <w:rPr>
          <w:b/>
          <w:sz w:val="36"/>
          <w:szCs w:val="36"/>
        </w:rPr>
        <w:t xml:space="preserve">Yeast Fluctuation </w:t>
      </w:r>
      <w:r w:rsidR="00B647F8">
        <w:rPr>
          <w:b/>
          <w:sz w:val="36"/>
          <w:szCs w:val="36"/>
        </w:rPr>
        <w:t>Session</w:t>
      </w:r>
      <w:r>
        <w:rPr>
          <w:b/>
          <w:sz w:val="36"/>
          <w:szCs w:val="36"/>
        </w:rPr>
        <w:t xml:space="preserve"> 3</w:t>
      </w:r>
    </w:p>
    <w:p w:rsidR="00F526DA" w:rsidRDefault="00F526DA" w:rsidP="00535A01">
      <w:pPr>
        <w:keepNext/>
      </w:pPr>
    </w:p>
    <w:p w:rsidR="00535A01" w:rsidRPr="00535A01" w:rsidRDefault="00535A01" w:rsidP="00535A01">
      <w:pPr>
        <w:keepNext/>
        <w:rPr>
          <w:b/>
        </w:rPr>
      </w:pPr>
      <w:r>
        <w:rPr>
          <w:b/>
        </w:rPr>
        <w:t xml:space="preserve">Assigned reading to be completed </w:t>
      </w:r>
      <w:r w:rsidRPr="00535A01">
        <w:rPr>
          <w:b/>
          <w:u w:val="single"/>
        </w:rPr>
        <w:t>before</w:t>
      </w:r>
      <w:r>
        <w:rPr>
          <w:b/>
        </w:rPr>
        <w:t xml:space="preserve"> Session 3</w:t>
      </w:r>
    </w:p>
    <w:p w:rsidR="00535A01" w:rsidRDefault="00535A01" w:rsidP="00535A01">
      <w:pPr>
        <w:keepNext/>
      </w:pPr>
    </w:p>
    <w:p w:rsidR="00535A01" w:rsidRDefault="00535A01" w:rsidP="00535A01">
      <w:pPr>
        <w:pStyle w:val="ListParagraph"/>
        <w:keepNext/>
        <w:numPr>
          <w:ilvl w:val="0"/>
          <w:numId w:val="40"/>
        </w:numPr>
      </w:pPr>
      <w:r>
        <w:t xml:space="preserve">This </w:t>
      </w:r>
      <w:r w:rsidR="00B00FAE">
        <w:t>handout</w:t>
      </w:r>
    </w:p>
    <w:p w:rsidR="00535A01" w:rsidRDefault="00535A01" w:rsidP="00535A01">
      <w:pPr>
        <w:pStyle w:val="ListParagraph"/>
        <w:keepNext/>
        <w:numPr>
          <w:ilvl w:val="0"/>
          <w:numId w:val="40"/>
        </w:numPr>
      </w:pPr>
      <w:r w:rsidRPr="00535A01">
        <w:t>YeastFluctuationSession2Discussion</w:t>
      </w:r>
      <w:r>
        <w:t>.ppt</w:t>
      </w:r>
      <w:r w:rsidR="00AA3743">
        <w:t>, including</w:t>
      </w:r>
      <w:r w:rsidR="00B00FAE">
        <w:t xml:space="preserve"> especially</w:t>
      </w:r>
      <w:r w:rsidR="00AA3743">
        <w:t xml:space="preserve"> the extensive notes in the Notes section under each slide</w:t>
      </w:r>
    </w:p>
    <w:p w:rsidR="00535A01" w:rsidRPr="00535A01" w:rsidRDefault="00535A01" w:rsidP="00535A01">
      <w:pPr>
        <w:keepNext/>
      </w:pPr>
    </w:p>
    <w:p w:rsidR="005923B4" w:rsidRPr="00251B7F" w:rsidRDefault="005923B4" w:rsidP="005923B4">
      <w:pPr>
        <w:keepNext/>
        <w:rPr>
          <w:b/>
          <w:sz w:val="28"/>
          <w:szCs w:val="28"/>
        </w:rPr>
      </w:pPr>
      <w:r>
        <w:rPr>
          <w:b/>
          <w:sz w:val="28"/>
          <w:szCs w:val="28"/>
        </w:rPr>
        <w:t>Counting colonies</w:t>
      </w:r>
    </w:p>
    <w:p w:rsidR="005923B4" w:rsidRDefault="005923B4" w:rsidP="005923B4">
      <w:pPr>
        <w:keepNext/>
      </w:pPr>
    </w:p>
    <w:p w:rsidR="005923B4" w:rsidRDefault="005923B4" w:rsidP="005923B4">
      <w:pPr>
        <w:keepNext/>
      </w:pPr>
      <w:r>
        <w:t xml:space="preserve">You’ll count the red and white mutant colonies on all 120 selective agar dishes—70 dishes with individual 60-µl cultures, 50 dishes with 60-µl bulk culture samples.  The instructor will give you instructions to facilitate the counting.  You’ll write down the colony counts on a data entry sheet that will be provided.  </w:t>
      </w:r>
    </w:p>
    <w:p w:rsidR="005923B4" w:rsidRDefault="005923B4" w:rsidP="005923B4">
      <w:pPr>
        <w:keepNext/>
      </w:pPr>
    </w:p>
    <w:p w:rsidR="00570F51" w:rsidRPr="00251B7F" w:rsidRDefault="00140403" w:rsidP="005923B4">
      <w:pPr>
        <w:keepNext/>
        <w:rPr>
          <w:b/>
          <w:sz w:val="28"/>
          <w:szCs w:val="28"/>
        </w:rPr>
      </w:pPr>
      <w:r>
        <w:rPr>
          <w:b/>
          <w:sz w:val="28"/>
          <w:szCs w:val="28"/>
        </w:rPr>
        <w:t xml:space="preserve">Sequencing the mutant gene in red mutant </w:t>
      </w:r>
      <w:r w:rsidR="00F83B69">
        <w:rPr>
          <w:b/>
          <w:sz w:val="28"/>
          <w:szCs w:val="28"/>
        </w:rPr>
        <w:t>colonies</w:t>
      </w:r>
    </w:p>
    <w:p w:rsidR="00570F51" w:rsidRDefault="00570F51" w:rsidP="00114A65">
      <w:pPr>
        <w:keepNext/>
      </w:pPr>
    </w:p>
    <w:p w:rsidR="00C33F82" w:rsidRDefault="00404398" w:rsidP="00570F51">
      <w:r>
        <w:t xml:space="preserve">As you’ll see, </w:t>
      </w:r>
      <w:r w:rsidR="00DE73FE">
        <w:t>sequencing</w:t>
      </w:r>
      <w:r>
        <w:t xml:space="preserve"> the mutant </w:t>
      </w:r>
      <w:r w:rsidR="00DE73FE">
        <w:t xml:space="preserve">“red” </w:t>
      </w:r>
      <w:r>
        <w:t xml:space="preserve">gene </w:t>
      </w:r>
      <w:r w:rsidR="00DE73FE">
        <w:t>from</w:t>
      </w:r>
      <w:r>
        <w:t xml:space="preserve"> a sampling of the red </w:t>
      </w:r>
      <w:proofErr w:type="spellStart"/>
      <w:r>
        <w:t>canavanine</w:t>
      </w:r>
      <w:proofErr w:type="spellEnd"/>
      <w:r>
        <w:t>-res</w:t>
      </w:r>
      <w:r w:rsidR="00DE73FE">
        <w:t xml:space="preserve">istant mutant colonies </w:t>
      </w:r>
      <w:r w:rsidR="00F83B69">
        <w:t>on</w:t>
      </w:r>
      <w:r w:rsidR="00DE73FE">
        <w:t xml:space="preserve"> individual culture </w:t>
      </w:r>
      <w:r>
        <w:t>dishes</w:t>
      </w:r>
      <w:r w:rsidR="00DE73FE">
        <w:t xml:space="preserve"> provides a powerful and independent test of the pre-exposure versus post-exposure hypotheses.  </w:t>
      </w:r>
      <w:r>
        <w:t xml:space="preserve">We will do </w:t>
      </w:r>
      <w:r w:rsidR="00DE73FE">
        <w:t>the sequencing</w:t>
      </w:r>
      <w:r>
        <w:t xml:space="preserve"> in two stages</w:t>
      </w:r>
      <w:r w:rsidR="00C33F82">
        <w:t>:</w:t>
      </w:r>
    </w:p>
    <w:p w:rsidR="00C33F82" w:rsidRDefault="00C33F82" w:rsidP="00570F51"/>
    <w:p w:rsidR="00C33F82" w:rsidRDefault="00404398" w:rsidP="00C33F82">
      <w:pPr>
        <w:pStyle w:val="ListParagraph"/>
        <w:numPr>
          <w:ilvl w:val="0"/>
          <w:numId w:val="19"/>
        </w:numPr>
      </w:pPr>
      <w:r>
        <w:t xml:space="preserve">First, </w:t>
      </w:r>
      <w:r w:rsidR="00327E2A">
        <w:t xml:space="preserve">in Session 3 </w:t>
      </w:r>
      <w:r>
        <w:t>we’ll use the polymerase chain reaction (PCR) to specifically amplify a tiny (</w:t>
      </w:r>
      <w:r w:rsidR="0094274B">
        <w:t>763</w:t>
      </w:r>
      <w:r>
        <w:t>-</w:t>
      </w:r>
      <w:r w:rsidR="00D162BA">
        <w:t>bp</w:t>
      </w:r>
      <w:r w:rsidR="00D162BA">
        <w:rPr>
          <w:rStyle w:val="FootnoteReference"/>
        </w:rPr>
        <w:footnoteReference w:id="1"/>
      </w:r>
      <w:r>
        <w:t xml:space="preserve">) segment of the yeast genome (12.5 million base pairs altogether) that contains the </w:t>
      </w:r>
      <w:r w:rsidR="005923B4">
        <w:t>“red”</w:t>
      </w:r>
      <w:r>
        <w:t xml:space="preserve"> gene</w:t>
      </w:r>
      <w:r w:rsidR="00D162BA">
        <w:t>.  The input to PCR—the “template” in PCR parlance—will be a tiny, very crude sample of genomic DNA obtained just by extracting a bit of colony.  At most this template will have a million copies of the yeast genome, but in practice probably more like 10,000 or 100,000 copies; the number isn’t important</w:t>
      </w:r>
      <w:r w:rsidR="00C33F82">
        <w:t>, and neither is purity</w:t>
      </w:r>
      <w:r>
        <w:t xml:space="preserve">.  </w:t>
      </w:r>
      <w:r w:rsidR="00D162BA">
        <w:t xml:space="preserve">The output—the “PCR product”—will be a large amount (a few µg) of nearly pure </w:t>
      </w:r>
      <w:r w:rsidR="0094274B">
        <w:t>763</w:t>
      </w:r>
      <w:r w:rsidR="00D162BA">
        <w:t>-bp fragment</w:t>
      </w:r>
      <w:r w:rsidR="00CE712E">
        <w:t xml:space="preserve">.  That’s about 10 trillion copies of the fragment!  So PCR amplifies one tiny </w:t>
      </w:r>
      <w:r w:rsidR="0094274B">
        <w:t>763</w:t>
      </w:r>
      <w:r w:rsidR="00CE712E">
        <w:t>-bp segment of the genome by a factor of at least 10 million (and probably more like 100 million or a billion), while leaving the remaining 12.5 million base pairs of the genome unamplified.</w:t>
      </w:r>
      <w:r w:rsidR="00D162BA">
        <w:t xml:space="preserve">  </w:t>
      </w:r>
      <w:r w:rsidR="00C33F82">
        <w:t xml:space="preserve">You’ll learn the logic of PCR’s magic in this introduction.  </w:t>
      </w:r>
      <w:r w:rsidR="00327E2A">
        <w:t xml:space="preserve">In Session 4 we’ll purify the PCR products in order to free them of </w:t>
      </w:r>
      <w:r w:rsidR="00B27C10">
        <w:t xml:space="preserve">interfering molecules. </w:t>
      </w:r>
    </w:p>
    <w:p w:rsidR="00404398" w:rsidRDefault="00404398" w:rsidP="00C33F82">
      <w:pPr>
        <w:pStyle w:val="ListParagraph"/>
        <w:numPr>
          <w:ilvl w:val="0"/>
          <w:numId w:val="19"/>
        </w:numPr>
      </w:pPr>
      <w:r>
        <w:t xml:space="preserve">Second, </w:t>
      </w:r>
      <w:r w:rsidR="005923B4">
        <w:t>in Session 4 we’ll submit the purified products to a DNA sequencing facility.  That facility</w:t>
      </w:r>
      <w:r>
        <w:t xml:space="preserve"> will </w:t>
      </w:r>
      <w:r w:rsidR="00707AF6">
        <w:t xml:space="preserve">use the chain termination method to </w:t>
      </w:r>
      <w:r>
        <w:t xml:space="preserve">determine the nucleotide sequence of </w:t>
      </w:r>
      <w:r w:rsidR="00707AF6">
        <w:t>each</w:t>
      </w:r>
      <w:r>
        <w:t xml:space="preserve"> PCR </w:t>
      </w:r>
      <w:r w:rsidR="00707AF6">
        <w:t xml:space="preserve">product.  </w:t>
      </w:r>
      <w:r w:rsidR="005923B4">
        <w:t>T</w:t>
      </w:r>
      <w:r w:rsidR="00707AF6">
        <w:t>he sequencing results</w:t>
      </w:r>
      <w:r w:rsidR="005923B4">
        <w:t xml:space="preserve"> will be returned</w:t>
      </w:r>
      <w:r w:rsidR="00707AF6">
        <w:t xml:space="preserve"> as computer </w:t>
      </w:r>
      <w:r w:rsidR="00DE73FE">
        <w:t>documents</w:t>
      </w:r>
      <w:r w:rsidR="00707AF6">
        <w:t>.</w:t>
      </w:r>
    </w:p>
    <w:p w:rsidR="00404398" w:rsidRDefault="00404398" w:rsidP="00570F51"/>
    <w:p w:rsidR="00DE73FE" w:rsidRPr="00251B7F" w:rsidRDefault="00F83B69" w:rsidP="00DE73FE">
      <w:pPr>
        <w:keepNext/>
        <w:rPr>
          <w:b/>
          <w:sz w:val="28"/>
          <w:szCs w:val="28"/>
        </w:rPr>
      </w:pPr>
      <w:r>
        <w:rPr>
          <w:b/>
          <w:sz w:val="28"/>
          <w:szCs w:val="28"/>
        </w:rPr>
        <w:lastRenderedPageBreak/>
        <w:t xml:space="preserve">Review of </w:t>
      </w:r>
      <w:r w:rsidR="00023D51">
        <w:rPr>
          <w:b/>
          <w:sz w:val="28"/>
          <w:szCs w:val="28"/>
        </w:rPr>
        <w:t xml:space="preserve">DNA </w:t>
      </w:r>
      <w:r>
        <w:rPr>
          <w:b/>
          <w:sz w:val="28"/>
          <w:szCs w:val="28"/>
        </w:rPr>
        <w:t>structure and function</w:t>
      </w:r>
    </w:p>
    <w:p w:rsidR="00DE73FE" w:rsidRDefault="00DE73FE" w:rsidP="00DE73FE">
      <w:pPr>
        <w:keepNext/>
      </w:pPr>
    </w:p>
    <w:p w:rsidR="005F5A44" w:rsidRPr="00F526DA" w:rsidRDefault="005F5A44" w:rsidP="005F5A44">
      <w:pPr>
        <w:keepNext/>
        <w:rPr>
          <w:i/>
        </w:rPr>
      </w:pPr>
      <w:r w:rsidRPr="00F526DA">
        <w:rPr>
          <w:i/>
        </w:rPr>
        <w:t>Structure of double-stranded DNA</w:t>
      </w:r>
    </w:p>
    <w:p w:rsidR="00C33F82" w:rsidRDefault="00C33F82" w:rsidP="005F5A44">
      <w:pPr>
        <w:keepNext/>
      </w:pPr>
    </w:p>
    <w:p w:rsidR="009F35E8" w:rsidRDefault="005F5A44" w:rsidP="00570F51">
      <w:r>
        <w:tab/>
      </w:r>
      <w:r w:rsidR="00074AAA">
        <w:t xml:space="preserve">Please read </w:t>
      </w:r>
      <w:r w:rsidR="00207077">
        <w:t>the Wikipedia</w:t>
      </w:r>
      <w:r w:rsidR="00074AAA">
        <w:t xml:space="preserve"> article on DNA at </w:t>
      </w:r>
      <w:hyperlink r:id="rId9" w:history="1">
        <w:r w:rsidR="00074AAA" w:rsidRPr="00D66F5E">
          <w:rPr>
            <w:rStyle w:val="Hyperlink"/>
          </w:rPr>
          <w:t>http://en.wikipedia.org/wiki/DNA</w:t>
        </w:r>
      </w:hyperlink>
      <w:r w:rsidR="00074AAA">
        <w:t>.</w:t>
      </w:r>
      <w:r w:rsidR="009F35E8">
        <w:t xml:space="preserve">  As you’ll learn there</w:t>
      </w:r>
      <w:r w:rsidR="00207077">
        <w:t xml:space="preserve"> (or undoubtedly know already)</w:t>
      </w:r>
      <w:r w:rsidR="009F35E8">
        <w:t>, n</w:t>
      </w:r>
      <w:r w:rsidR="00A329A1">
        <w:t xml:space="preserve">atural double-stranded DNA molecules contain two strands that are complementary to each other.  The nucleotides in each strand are strung together </w:t>
      </w:r>
      <w:r w:rsidR="009F35E8">
        <w:t>like beads on a string, and are held together by very strong covalent bonds.  Each DNA strand has two different kinds of ends and thus a natural “direction” or polarity.  The two kinds of end are called 5´ and 3´.</w:t>
      </w:r>
    </w:p>
    <w:p w:rsidR="009F35E8" w:rsidRDefault="009F35E8" w:rsidP="00570F51"/>
    <w:p w:rsidR="005F5A44" w:rsidRDefault="009F5409" w:rsidP="00570F51">
      <w:r>
        <w:tab/>
      </w:r>
      <w:r w:rsidR="009F35E8">
        <w:t>In contrast</w:t>
      </w:r>
      <w:r>
        <w:t xml:space="preserve"> to the strong covalent bonds that link the nucleotides within a single strand</w:t>
      </w:r>
      <w:r w:rsidR="009F35E8">
        <w:t xml:space="preserve">, the two </w:t>
      </w:r>
      <w:r w:rsidR="00207077">
        <w:t xml:space="preserve">complementary </w:t>
      </w:r>
      <w:r w:rsidR="009F35E8">
        <w:t xml:space="preserve">strands of </w:t>
      </w:r>
      <w:r w:rsidR="00207077">
        <w:t xml:space="preserve">double-stranded DNA are </w:t>
      </w:r>
      <w:r w:rsidR="009F35E8">
        <w:t>held together by weak, non-covalent bonds</w:t>
      </w:r>
      <w:r>
        <w:t xml:space="preserve">.  The double-stranded complex is nevertheless reasonably stable because there are </w:t>
      </w:r>
      <w:r w:rsidR="00937CFC">
        <w:t>hundred</w:t>
      </w:r>
      <w:r>
        <w:t>s to billions of such weak bonds in a single double-stranded molecule.  The weak bonds</w:t>
      </w:r>
      <w:r w:rsidR="009F35E8">
        <w:t xml:space="preserve"> can form only when a base in one strand is matched in </w:t>
      </w:r>
      <w:r w:rsidR="004E6529">
        <w:t>a specific</w:t>
      </w:r>
      <w:r w:rsidR="009F35E8">
        <w:t xml:space="preserve"> geometric arrangement with the complementary base in the opposite strand.  </w:t>
      </w:r>
      <w:r w:rsidR="00EB5BF0">
        <w:t xml:space="preserve">The two properly-positioned bases form a non-covalent complex that is called a base pair, and are said to “base-pair” with each other.  </w:t>
      </w:r>
      <w:r w:rsidR="009F35E8">
        <w:t xml:space="preserve">This geometry requires that the two strands lie against each other with opposite polarity and be twisted around each other to </w:t>
      </w:r>
      <w:r w:rsidR="004E6529">
        <w:t>form</w:t>
      </w:r>
      <w:r w:rsidR="009F35E8">
        <w:t xml:space="preserve"> a right-handed double-helix.  </w:t>
      </w:r>
      <w:r w:rsidR="00EB5BF0">
        <w:t xml:space="preserve">The two strands in the </w:t>
      </w:r>
      <w:r w:rsidR="008D0CBF">
        <w:t xml:space="preserve">helical </w:t>
      </w:r>
      <w:r w:rsidR="00EB5BF0">
        <w:t xml:space="preserve">complex, like the individual base-pairs, are said to “base-pair” with each other.  By extension, formation of the double helix from two complementary DNA strands is called base-pairing; it’s also called “annealing” and “hybridization.” </w:t>
      </w:r>
      <w:r w:rsidR="009F35E8">
        <w:t xml:space="preserve">The </w:t>
      </w:r>
      <w:r w:rsidR="004E6529">
        <w:t xml:space="preserve">excellent </w:t>
      </w:r>
      <w:r>
        <w:t xml:space="preserve">animation in the Wikipedia article shows the basic </w:t>
      </w:r>
      <w:r w:rsidR="00EB5BF0">
        <w:t xml:space="preserve">double helix </w:t>
      </w:r>
      <w:r>
        <w:t>structure very clearly.</w:t>
      </w:r>
    </w:p>
    <w:p w:rsidR="00EB5BF0" w:rsidRDefault="00EB5BF0" w:rsidP="00570F51"/>
    <w:p w:rsidR="00EB5BF0" w:rsidRDefault="00EB5BF0" w:rsidP="00570F51">
      <w:r>
        <w:tab/>
        <w:t xml:space="preserve">Two complementary strands that are base paired with each other can be separated by “denaturing” the double helix.  </w:t>
      </w:r>
      <w:r w:rsidR="009C376F">
        <w:t xml:space="preserve">Denaturation breaks the non-covalent base-pairing bonds that hold the helix together, but doesn’t break the covalent bonds that keep the single strands intact.  Denaturation is most often accomplished experimentally simply by heating a solution of DNA to 94–98ºC.  Because heat is so often used to denature DNA, denaturation is often called “melting”—even when denaturation is not accomplished by heating.  The two DNA strands that are separated by denaturation are “separated” only at the </w:t>
      </w:r>
      <w:r w:rsidR="008D0CBF">
        <w:t>molecular</w:t>
      </w:r>
      <w:r w:rsidR="009C376F">
        <w:t xml:space="preserve"> level.  They remain dissolved together in a single solution.  If, say, a solution of a million identical double-stranded DNA molecules is denatured, the result is a solution with a million identical “plus” strands and a million identical “minus” strands all mixed together randomly in a single solution.  Under denaturing conditions (e.g., at 94–98ºC), the two strands can’t base-pair with each other to make a stable double helix.  If the solution is then returned to non-denaturing conditions (e.g., if the temperature is cooled to, say, 65ºC)</w:t>
      </w:r>
      <w:r w:rsidR="00114A65">
        <w:t>, compl</w:t>
      </w:r>
      <w:r w:rsidR="0014211F">
        <w:t>em</w:t>
      </w:r>
      <w:r w:rsidR="00114A65">
        <w:t xml:space="preserve">entary “plus” and “minus” strands can now form stable helices, and eventually the solution consists entirely of </w:t>
      </w:r>
      <w:r w:rsidR="008D0CBF">
        <w:t xml:space="preserve">re-formed </w:t>
      </w:r>
      <w:r w:rsidR="00114A65">
        <w:t>double-stranded helices.</w:t>
      </w:r>
    </w:p>
    <w:p w:rsidR="002F7C7D" w:rsidRDefault="002F7C7D" w:rsidP="00570F51"/>
    <w:p w:rsidR="002F7C7D" w:rsidRPr="00F526DA" w:rsidRDefault="00FE0888" w:rsidP="00114A65">
      <w:pPr>
        <w:keepNext/>
        <w:rPr>
          <w:i/>
        </w:rPr>
      </w:pPr>
      <w:r w:rsidRPr="00F526DA">
        <w:rPr>
          <w:i/>
        </w:rPr>
        <w:t>Representing the DNA structure</w:t>
      </w:r>
    </w:p>
    <w:p w:rsidR="002F7C7D" w:rsidRDefault="002F7C7D" w:rsidP="00114A65">
      <w:pPr>
        <w:keepNext/>
      </w:pPr>
    </w:p>
    <w:p w:rsidR="00FE0888" w:rsidRDefault="00FE0888" w:rsidP="00570F51">
      <w:r>
        <w:tab/>
        <w:t>In most cases, i</w:t>
      </w:r>
      <w:r w:rsidR="008D0CBF">
        <w:t>t i</w:t>
      </w:r>
      <w:r>
        <w:t xml:space="preserve">s the nucleotide sequence of DNA molecules that’s of primary importance.  It’s in the order of the As, Cs, </w:t>
      </w:r>
      <w:proofErr w:type="spellStart"/>
      <w:r>
        <w:t>Gs</w:t>
      </w:r>
      <w:proofErr w:type="spellEnd"/>
      <w:r>
        <w:t xml:space="preserve"> and </w:t>
      </w:r>
      <w:proofErr w:type="spellStart"/>
      <w:r>
        <w:t>Ts</w:t>
      </w:r>
      <w:proofErr w:type="spellEnd"/>
      <w:r>
        <w:t xml:space="preserve"> that its information content lies.  So consider the following three representations of a simple 6-bp DNA sequence</w:t>
      </w:r>
    </w:p>
    <w:p w:rsidR="00FE0888" w:rsidRDefault="00FE0888" w:rsidP="00570F51"/>
    <w:p w:rsidR="00FE0888" w:rsidRDefault="00B17387" w:rsidP="00FE0888">
      <w:pPr>
        <w:jc w:val="center"/>
      </w:pPr>
      <w:r>
        <w:rPr>
          <w:noProof/>
        </w:rPr>
        <w:lastRenderedPageBreak/>
        <mc:AlternateContent>
          <mc:Choice Requires="wpc">
            <w:drawing>
              <wp:inline distT="0" distB="0" distL="0" distR="0" wp14:anchorId="60EFC74B" wp14:editId="69BD7916">
                <wp:extent cx="1867535" cy="1588135"/>
                <wp:effectExtent l="0" t="0" r="0" b="2540"/>
                <wp:docPr id="30"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 name="Rectangle 60"/>
                        <wps:cNvSpPr>
                          <a:spLocks noChangeArrowheads="1"/>
                        </wps:cNvSpPr>
                        <wps:spPr bwMode="auto">
                          <a:xfrm>
                            <a:off x="38100" y="46355"/>
                            <a:ext cx="1829435"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26DA" w:rsidRDefault="00F526DA" w:rsidP="00FE0888">
                              <w:r>
                                <w:rPr>
                                  <w:rFonts w:ascii="Courier New" w:hAnsi="Courier New" w:cs="Courier New"/>
                                  <w:color w:val="1F1A17"/>
                                  <w:sz w:val="40"/>
                                  <w:szCs w:val="40"/>
                                </w:rPr>
                                <w:t>5’-ACTTGA-3’</w:t>
                              </w:r>
                            </w:p>
                          </w:txbxContent>
                        </wps:txbx>
                        <wps:bodyPr rot="0" vert="horz" wrap="none" lIns="0" tIns="0" rIns="0" bIns="0" anchor="t" anchorCtr="0" upright="1">
                          <a:spAutoFit/>
                        </wps:bodyPr>
                      </wps:wsp>
                      <wps:wsp>
                        <wps:cNvPr id="27" name="Rectangle 61"/>
                        <wps:cNvSpPr>
                          <a:spLocks noChangeArrowheads="1"/>
                        </wps:cNvSpPr>
                        <wps:spPr bwMode="auto">
                          <a:xfrm>
                            <a:off x="459105" y="527050"/>
                            <a:ext cx="915035"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26DA" w:rsidRDefault="00F526DA" w:rsidP="00FE0888">
                              <w:r>
                                <w:rPr>
                                  <w:rFonts w:ascii="Courier New" w:hAnsi="Courier New" w:cs="Courier New"/>
                                  <w:color w:val="1F1A17"/>
                                  <w:sz w:val="40"/>
                                  <w:szCs w:val="40"/>
                                </w:rPr>
                                <w:t>ACTTGA</w:t>
                              </w:r>
                            </w:p>
                          </w:txbxContent>
                        </wps:txbx>
                        <wps:bodyPr rot="0" vert="horz" wrap="none" lIns="0" tIns="0" rIns="0" bIns="0" anchor="t" anchorCtr="0" upright="1">
                          <a:spAutoFit/>
                        </wps:bodyPr>
                      </wps:wsp>
                      <wps:wsp>
                        <wps:cNvPr id="28" name="Rectangle 62"/>
                        <wps:cNvSpPr>
                          <a:spLocks noChangeArrowheads="1"/>
                        </wps:cNvSpPr>
                        <wps:spPr bwMode="auto">
                          <a:xfrm>
                            <a:off x="38100" y="1019810"/>
                            <a:ext cx="1829435"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26DA" w:rsidRDefault="00F526DA" w:rsidP="00FE0888">
                              <w:r>
                                <w:rPr>
                                  <w:rFonts w:ascii="Courier New" w:hAnsi="Courier New" w:cs="Courier New"/>
                                  <w:color w:val="1F1A17"/>
                                  <w:sz w:val="40"/>
                                  <w:szCs w:val="40"/>
                                </w:rPr>
                                <w:t>5’-ACTTGA-3’</w:t>
                              </w:r>
                            </w:p>
                          </w:txbxContent>
                        </wps:txbx>
                        <wps:bodyPr rot="0" vert="horz" wrap="none" lIns="0" tIns="0" rIns="0" bIns="0" anchor="t" anchorCtr="0" upright="1">
                          <a:spAutoFit/>
                        </wps:bodyPr>
                      </wps:wsp>
                      <wps:wsp>
                        <wps:cNvPr id="29" name="Rectangle 63"/>
                        <wps:cNvSpPr>
                          <a:spLocks noChangeArrowheads="1"/>
                        </wps:cNvSpPr>
                        <wps:spPr bwMode="auto">
                          <a:xfrm>
                            <a:off x="38100" y="1300480"/>
                            <a:ext cx="1829435"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26DA" w:rsidRDefault="00F526DA" w:rsidP="00FE0888">
                              <w:r>
                                <w:rPr>
                                  <w:rFonts w:ascii="Courier New" w:hAnsi="Courier New" w:cs="Courier New"/>
                                  <w:color w:val="1F1A17"/>
                                  <w:sz w:val="40"/>
                                  <w:szCs w:val="40"/>
                                </w:rPr>
                                <w:t>3’-TGAACT-5’</w:t>
                              </w:r>
                            </w:p>
                          </w:txbxContent>
                        </wps:txbx>
                        <wps:bodyPr rot="0" vert="horz" wrap="none" lIns="0" tIns="0" rIns="0" bIns="0" anchor="t" anchorCtr="0" upright="1">
                          <a:spAutoFit/>
                        </wps:bodyPr>
                      </wps:wsp>
                    </wpc:wpc>
                  </a:graphicData>
                </a:graphic>
              </wp:inline>
            </w:drawing>
          </mc:Choice>
          <mc:Fallback>
            <w:pict>
              <v:group id="Canvas 7" o:spid="_x0000_s1026" editas="canvas" style="width:147.05pt;height:125.05pt;mso-position-horizontal-relative:char;mso-position-vertical-relative:line" coordsize="18675,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8675;height:15881;visibility:visible;mso-wrap-style:square">
                  <v:fill o:detectmouseclick="t"/>
                  <v:path o:connecttype="none"/>
                </v:shape>
                <v:rect id="Rectangle 60" o:spid="_x0000_s1028" style="position:absolute;left:381;top:463;width:18294;height:28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rsidR="00F526DA" w:rsidRDefault="00F526DA" w:rsidP="00FE0888">
                        <w:r>
                          <w:rPr>
                            <w:rFonts w:ascii="Courier New" w:hAnsi="Courier New" w:cs="Courier New"/>
                            <w:color w:val="1F1A17"/>
                            <w:sz w:val="40"/>
                            <w:szCs w:val="40"/>
                          </w:rPr>
                          <w:t>5’-ACTTGA-3’</w:t>
                        </w:r>
                      </w:p>
                    </w:txbxContent>
                  </v:textbox>
                </v:rect>
                <v:rect id="Rectangle 61" o:spid="_x0000_s1029" style="position:absolute;left:4591;top:5270;width:9150;height:28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F526DA" w:rsidRDefault="00F526DA" w:rsidP="00FE0888">
                        <w:r>
                          <w:rPr>
                            <w:rFonts w:ascii="Courier New" w:hAnsi="Courier New" w:cs="Courier New"/>
                            <w:color w:val="1F1A17"/>
                            <w:sz w:val="40"/>
                            <w:szCs w:val="40"/>
                          </w:rPr>
                          <w:t>ACTTGA</w:t>
                        </w:r>
                      </w:p>
                    </w:txbxContent>
                  </v:textbox>
                </v:rect>
                <v:rect id="Rectangle 62" o:spid="_x0000_s1030" style="position:absolute;left:381;top:10198;width:18294;height:28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F526DA" w:rsidRDefault="00F526DA" w:rsidP="00FE0888">
                        <w:r>
                          <w:rPr>
                            <w:rFonts w:ascii="Courier New" w:hAnsi="Courier New" w:cs="Courier New"/>
                            <w:color w:val="1F1A17"/>
                            <w:sz w:val="40"/>
                            <w:szCs w:val="40"/>
                          </w:rPr>
                          <w:t>5’-ACTTGA-3’</w:t>
                        </w:r>
                      </w:p>
                    </w:txbxContent>
                  </v:textbox>
                </v:rect>
                <v:rect id="Rectangle 63" o:spid="_x0000_s1031" style="position:absolute;left:381;top:13004;width:18294;height:28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F526DA" w:rsidRDefault="00F526DA" w:rsidP="00FE0888">
                        <w:r>
                          <w:rPr>
                            <w:rFonts w:ascii="Courier New" w:hAnsi="Courier New" w:cs="Courier New"/>
                            <w:color w:val="1F1A17"/>
                            <w:sz w:val="40"/>
                            <w:szCs w:val="40"/>
                          </w:rPr>
                          <w:t>3’-TGAACT-5’</w:t>
                        </w:r>
                      </w:p>
                    </w:txbxContent>
                  </v:textbox>
                </v:rect>
                <w10:anchorlock/>
              </v:group>
            </w:pict>
          </mc:Fallback>
        </mc:AlternateContent>
      </w:r>
    </w:p>
    <w:p w:rsidR="00FE0888" w:rsidRDefault="00FE0888" w:rsidP="00570F51"/>
    <w:p w:rsidR="00FE0888" w:rsidRDefault="00FE0888" w:rsidP="00570F51">
      <w:r>
        <w:t>In the first, just one strand is represented, the other being implied in context.  The 5´</w:t>
      </w:r>
      <w:r>
        <w:sym w:font="Symbol" w:char="F0AE"/>
      </w:r>
      <w:r>
        <w:t>3´ polarity of the strand is explicitly represented.  The second representation is like the first except that polarity is understood, not explicitly represented.  Unless otherwise specified, the polarity of a string of letters representing nucleotides is assumed to be written with the 5´</w:t>
      </w:r>
      <w:r>
        <w:sym w:font="Symbol" w:char="F0AE"/>
      </w:r>
      <w:r>
        <w:t>3´ polarity going from left to right.  In the third representation, the two strands of the double helix are explicitly represented.</w:t>
      </w:r>
      <w:r w:rsidR="000B325B">
        <w:t xml:space="preserve">  Polarity must be explicitly represented here, since the “bottom” strand is written with the 5´</w:t>
      </w:r>
      <w:r w:rsidR="000B325B">
        <w:sym w:font="Symbol" w:char="F0AE"/>
      </w:r>
      <w:r w:rsidR="000B325B">
        <w:t>3´ going from right to left.</w:t>
      </w:r>
    </w:p>
    <w:p w:rsidR="000B325B" w:rsidRDefault="000B325B" w:rsidP="00570F51"/>
    <w:p w:rsidR="000B325B" w:rsidRDefault="000B325B" w:rsidP="00570F51">
      <w:r>
        <w:tab/>
        <w:t>If we’re talking about DNA structure generically without regard to its information content, we often use an arrowed line to represent each single strand.  The arrowhead end of the line is the 3´ end, while the feather end (the feathers almost never being included) is the 5´ end.  The arrowed line “points” in the 5´</w:t>
      </w:r>
      <w:r>
        <w:sym w:font="Symbol" w:char="F0AE"/>
      </w:r>
      <w:r>
        <w:t>3´ direction.</w:t>
      </w:r>
      <w:r w:rsidR="00E01A2F">
        <w:t xml:space="preserve">  The following represent single strands and double-stranded helices, either with or without explicit designation of 5´</w:t>
      </w:r>
      <w:r w:rsidR="00E01A2F">
        <w:sym w:font="Symbol" w:char="F0AE"/>
      </w:r>
      <w:r w:rsidR="00E01A2F">
        <w:t>3´ polarity:</w:t>
      </w:r>
    </w:p>
    <w:p w:rsidR="00E01A2F" w:rsidRDefault="00E01A2F" w:rsidP="00570F51"/>
    <w:p w:rsidR="00E01A2F" w:rsidRDefault="00E01A2F" w:rsidP="00E01A2F">
      <w:pPr>
        <w:jc w:val="center"/>
      </w:pPr>
      <w:r w:rsidRPr="00E01A2F">
        <w:rPr>
          <w:noProof/>
        </w:rPr>
        <w:drawing>
          <wp:inline distT="0" distB="0" distL="0" distR="0" wp14:anchorId="24DB2FF7" wp14:editId="07CBCA96">
            <wp:extent cx="3009900" cy="1684020"/>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009900" cy="1684020"/>
                    </a:xfrm>
                    <a:prstGeom prst="rect">
                      <a:avLst/>
                    </a:prstGeom>
                    <a:noFill/>
                    <a:ln w="9525">
                      <a:noFill/>
                      <a:miter lim="800000"/>
                      <a:headEnd/>
                      <a:tailEnd/>
                    </a:ln>
                  </pic:spPr>
                </pic:pic>
              </a:graphicData>
            </a:graphic>
          </wp:inline>
        </w:drawing>
      </w:r>
    </w:p>
    <w:p w:rsidR="000B325B" w:rsidRDefault="000B325B" w:rsidP="00570F51"/>
    <w:p w:rsidR="00E01A2F" w:rsidRPr="00F526DA" w:rsidRDefault="00E01A2F" w:rsidP="00EB5BF0">
      <w:pPr>
        <w:keepNext/>
        <w:rPr>
          <w:i/>
        </w:rPr>
      </w:pPr>
      <w:r w:rsidRPr="00F526DA">
        <w:rPr>
          <w:i/>
        </w:rPr>
        <w:t>DNA polymerases</w:t>
      </w:r>
    </w:p>
    <w:p w:rsidR="00E01A2F" w:rsidRDefault="00E01A2F" w:rsidP="00EB5BF0">
      <w:pPr>
        <w:keepNext/>
      </w:pPr>
    </w:p>
    <w:p w:rsidR="00E01A2F" w:rsidRDefault="00E01A2F" w:rsidP="00570F51">
      <w:r>
        <w:tab/>
        <w:t>Both PCR and DNA sequencing depend critically on the properties of DNA polymerases.  All known DNA polymerases have a single function: they add a new nucleotide to the 3´ end of a “primer” strand that’s base-paired with a template strand:</w:t>
      </w:r>
    </w:p>
    <w:p w:rsidR="009D1F79" w:rsidRDefault="009D1F79" w:rsidP="00570F51"/>
    <w:p w:rsidR="009D1F79" w:rsidRDefault="009D1F79" w:rsidP="009D1F79">
      <w:pPr>
        <w:jc w:val="center"/>
      </w:pPr>
      <w:r w:rsidRPr="009D1F79">
        <w:rPr>
          <w:noProof/>
        </w:rPr>
        <w:lastRenderedPageBreak/>
        <w:drawing>
          <wp:inline distT="0" distB="0" distL="0" distR="0" wp14:anchorId="30278448" wp14:editId="770A82F0">
            <wp:extent cx="2674620" cy="1249680"/>
            <wp:effectExtent l="1905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2674620" cy="1249680"/>
                    </a:xfrm>
                    <a:prstGeom prst="rect">
                      <a:avLst/>
                    </a:prstGeom>
                    <a:noFill/>
                    <a:ln w="9525">
                      <a:noFill/>
                      <a:miter lim="800000"/>
                      <a:headEnd/>
                      <a:tailEnd/>
                    </a:ln>
                  </pic:spPr>
                </pic:pic>
              </a:graphicData>
            </a:graphic>
          </wp:inline>
        </w:drawing>
      </w:r>
    </w:p>
    <w:p w:rsidR="00E01A2F" w:rsidRDefault="00E01A2F" w:rsidP="00570F51"/>
    <w:p w:rsidR="009D1F79" w:rsidRDefault="009D1F79" w:rsidP="00570F51">
      <w:r>
        <w:t>A simple job, but many DNA polymerases</w:t>
      </w:r>
      <w:r w:rsidR="00831C4C">
        <w:t>, especially those that are responsible for replicating our chromosomes,</w:t>
      </w:r>
      <w:r>
        <w:t xml:space="preserve"> perform it extraordinarily well: they make a phenomenally small number of mistakes.  A mistake would be when a polymerase adds a nucleotide that is not complementary to the opposite base on the template strand.</w:t>
      </w:r>
    </w:p>
    <w:p w:rsidR="00114A65" w:rsidRDefault="00114A65" w:rsidP="00570F51"/>
    <w:p w:rsidR="00114A65" w:rsidRDefault="00114A65" w:rsidP="00570F51">
      <w:r>
        <w:tab/>
      </w:r>
      <w:r w:rsidR="0032381B">
        <w:t xml:space="preserve">DNA polymerases use </w:t>
      </w:r>
      <w:proofErr w:type="spellStart"/>
      <w:r w:rsidR="0032381B">
        <w:t>deoxynucleoside</w:t>
      </w:r>
      <w:proofErr w:type="spellEnd"/>
      <w:r w:rsidR="0032381B">
        <w:t xml:space="preserve"> triphosphates</w:t>
      </w:r>
      <w:r w:rsidR="00F85932">
        <w:t xml:space="preserve"> (</w:t>
      </w:r>
      <w:proofErr w:type="spellStart"/>
      <w:r w:rsidR="00F85932">
        <w:t>dNTPs</w:t>
      </w:r>
      <w:proofErr w:type="spellEnd"/>
      <w:r w:rsidR="00F85932">
        <w:t>)</w:t>
      </w:r>
      <w:r w:rsidR="0032381B">
        <w:t xml:space="preserve"> as the nucleotide monomers.  As each new nucleotide is added to the growing primer strand, two of the phosphates </w:t>
      </w:r>
      <w:r w:rsidR="008D0CBF">
        <w:t xml:space="preserve">are </w:t>
      </w:r>
      <w:r w:rsidR="000042BA">
        <w:t>cleaved from the triphosphate</w:t>
      </w:r>
      <w:r w:rsidR="0032381B">
        <w:t>, the remaining one becoming pa</w:t>
      </w:r>
      <w:r w:rsidR="000042BA">
        <w:t>rt of the growing primer strand</w:t>
      </w:r>
      <w:r w:rsidR="0032381B">
        <w:t xml:space="preserve">.  The bonds that </w:t>
      </w:r>
      <w:r w:rsidR="000042BA">
        <w:t>link</w:t>
      </w:r>
      <w:r w:rsidR="0032381B">
        <w:t xml:space="preserve"> the chain of three phosphates together are high-energy bonds; it is the breaking of these high-energy bonds that provides the </w:t>
      </w:r>
      <w:r w:rsidR="000042BA">
        <w:t xml:space="preserve">chemical </w:t>
      </w:r>
      <w:r w:rsidR="0032381B">
        <w:t xml:space="preserve">energy </w:t>
      </w:r>
      <w:r w:rsidR="000042BA">
        <w:t>that drives</w:t>
      </w:r>
      <w:r w:rsidR="0032381B">
        <w:t xml:space="preserve"> DNA polymerization.</w:t>
      </w:r>
    </w:p>
    <w:p w:rsidR="009D1F79" w:rsidRDefault="009D1F79" w:rsidP="00570F51"/>
    <w:p w:rsidR="009D1F79" w:rsidRDefault="009D1F79" w:rsidP="00570F51">
      <w:r>
        <w:tab/>
        <w:t xml:space="preserve">When a DNA polymerase completes its one job, it can’t just go home and watch TV.  That’s because the structure it thus creates is again a primed template (that’s what we call a primer strand base-paired with a template strand).  So it goes ahead and adds another nucleotide.  </w:t>
      </w:r>
      <w:proofErr w:type="gramStart"/>
      <w:r>
        <w:t>Then another.</w:t>
      </w:r>
      <w:proofErr w:type="gramEnd"/>
      <w:r>
        <w:t xml:space="preserve">  </w:t>
      </w:r>
      <w:proofErr w:type="gramStart"/>
      <w:r>
        <w:t>Then another.</w:t>
      </w:r>
      <w:proofErr w:type="gramEnd"/>
      <w:r>
        <w:t xml:space="preserve">  Etc.  Only when it gets to the end of the template can it stop:</w:t>
      </w:r>
    </w:p>
    <w:p w:rsidR="009D1F79" w:rsidRDefault="009D1F79" w:rsidP="00570F51"/>
    <w:p w:rsidR="009D1F79" w:rsidRDefault="004A34A0" w:rsidP="004A34A0">
      <w:pPr>
        <w:jc w:val="center"/>
      </w:pPr>
      <w:r w:rsidRPr="004A34A0">
        <w:rPr>
          <w:noProof/>
        </w:rPr>
        <w:drawing>
          <wp:inline distT="0" distB="0" distL="0" distR="0" wp14:anchorId="694E27A6" wp14:editId="7653EBE2">
            <wp:extent cx="2705100" cy="708660"/>
            <wp:effectExtent l="1905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2705100" cy="708660"/>
                    </a:xfrm>
                    <a:prstGeom prst="rect">
                      <a:avLst/>
                    </a:prstGeom>
                    <a:noFill/>
                    <a:ln w="9525">
                      <a:noFill/>
                      <a:miter lim="800000"/>
                      <a:headEnd/>
                      <a:tailEnd/>
                    </a:ln>
                  </pic:spPr>
                </pic:pic>
              </a:graphicData>
            </a:graphic>
          </wp:inline>
        </w:drawing>
      </w:r>
    </w:p>
    <w:p w:rsidR="009D1F79" w:rsidRDefault="009D1F79" w:rsidP="00570F51"/>
    <w:p w:rsidR="004A34A0" w:rsidRDefault="004A34A0" w:rsidP="00570F51">
      <w:r>
        <w:t xml:space="preserve">At that point, the enzyme has “copied” all the information in the template strand into the newly-synthesized primer strand.  The DNA sequence in the primer-strand “copy” is the complement of the DNA sequence in the template-strand “original,” but the information content is the </w:t>
      </w:r>
      <w:proofErr w:type="gramStart"/>
      <w:r>
        <w:t>same.</w:t>
      </w:r>
      <w:proofErr w:type="gramEnd"/>
    </w:p>
    <w:p w:rsidR="0032381B" w:rsidRDefault="0032381B" w:rsidP="00570F51"/>
    <w:p w:rsidR="0032381B" w:rsidRDefault="0032381B" w:rsidP="00570F51">
      <w:r>
        <w:tab/>
        <w:t xml:space="preserve">Many DNA polymerases can be tricked into incorporating fake nucleotides into growing primer strands, a feature that’s exploited in DNA sequencing by the chain termination method (see below).  Chain terminators are artificial nucleotides that can be added to the 3´ end of the primer strand, but that don’t themselves have an intact 3´ end that a new nucleotide can be added to.  When DNA polymerase adds an artificial chain-terminating nucleotide to the 3´ end of a primer strand, </w:t>
      </w:r>
      <w:r w:rsidR="000042BA">
        <w:t xml:space="preserve">therefore, </w:t>
      </w:r>
      <w:r>
        <w:t>all further elongation of that primer strand ceases.</w:t>
      </w:r>
    </w:p>
    <w:p w:rsidR="00C315AB" w:rsidRDefault="00C315AB" w:rsidP="00570F51"/>
    <w:p w:rsidR="00C315AB" w:rsidRDefault="00C315AB" w:rsidP="00570F51">
      <w:r>
        <w:tab/>
        <w:t xml:space="preserve">In some primed templates, each strand acts both as primer and as template.  The following primed template would be copied by </w:t>
      </w:r>
      <w:r w:rsidRPr="00C315AB">
        <w:rPr>
          <w:u w:val="single"/>
        </w:rPr>
        <w:t>two</w:t>
      </w:r>
      <w:r>
        <w:t xml:space="preserve"> DNA polymerase molecules working in opposite directions:</w:t>
      </w:r>
    </w:p>
    <w:p w:rsidR="00C315AB" w:rsidRDefault="00C315AB" w:rsidP="00570F51"/>
    <w:p w:rsidR="00C315AB" w:rsidRDefault="00C315AB" w:rsidP="00C315AB">
      <w:pPr>
        <w:jc w:val="center"/>
      </w:pPr>
      <w:r w:rsidRPr="00C315AB">
        <w:rPr>
          <w:noProof/>
        </w:rPr>
        <w:lastRenderedPageBreak/>
        <w:drawing>
          <wp:inline distT="0" distB="0" distL="0" distR="0" wp14:anchorId="0C8D427A" wp14:editId="223C0216">
            <wp:extent cx="4107180" cy="335280"/>
            <wp:effectExtent l="19050" t="0" r="762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107180" cy="335280"/>
                    </a:xfrm>
                    <a:prstGeom prst="rect">
                      <a:avLst/>
                    </a:prstGeom>
                    <a:noFill/>
                    <a:ln w="9525">
                      <a:noFill/>
                      <a:miter lim="800000"/>
                      <a:headEnd/>
                      <a:tailEnd/>
                    </a:ln>
                  </pic:spPr>
                </pic:pic>
              </a:graphicData>
            </a:graphic>
          </wp:inline>
        </w:drawing>
      </w:r>
    </w:p>
    <w:p w:rsidR="00C315AB" w:rsidRDefault="00C315AB" w:rsidP="00570F51"/>
    <w:p w:rsidR="000042BA" w:rsidRPr="00F526DA" w:rsidRDefault="000042BA" w:rsidP="000042BA">
      <w:pPr>
        <w:keepNext/>
        <w:rPr>
          <w:i/>
        </w:rPr>
      </w:pPr>
      <w:r w:rsidRPr="00F526DA">
        <w:rPr>
          <w:i/>
        </w:rPr>
        <w:t xml:space="preserve">Thermophilic DNA polymerases and </w:t>
      </w:r>
      <w:proofErr w:type="spellStart"/>
      <w:r w:rsidRPr="00F526DA">
        <w:rPr>
          <w:i/>
        </w:rPr>
        <w:t>thermocycling</w:t>
      </w:r>
      <w:proofErr w:type="spellEnd"/>
    </w:p>
    <w:p w:rsidR="00C315AB" w:rsidRDefault="00C315AB" w:rsidP="000042BA">
      <w:pPr>
        <w:keepNext/>
      </w:pPr>
    </w:p>
    <w:p w:rsidR="00C315AB" w:rsidRDefault="00C315AB" w:rsidP="00570F51">
      <w:r>
        <w:tab/>
        <w:t xml:space="preserve">The DNA polymerases used in PCR and sequencing are </w:t>
      </w:r>
      <w:r w:rsidR="00DB4E73" w:rsidRPr="00B02A9A">
        <w:rPr>
          <w:i/>
        </w:rPr>
        <w:t>thermophilic</w:t>
      </w:r>
      <w:r w:rsidR="00DB4E73">
        <w:t xml:space="preserve"> enzymes </w:t>
      </w:r>
      <w:r>
        <w:t>obtained from bacteria</w:t>
      </w:r>
      <w:r w:rsidR="00DB4E73">
        <w:t xml:space="preserve"> or </w:t>
      </w:r>
      <w:proofErr w:type="spellStart"/>
      <w:r w:rsidR="00DB4E73">
        <w:t>archaeae</w:t>
      </w:r>
      <w:proofErr w:type="spellEnd"/>
      <w:r>
        <w:t xml:space="preserve"> that live in </w:t>
      </w:r>
      <w:r w:rsidR="00DB4E73">
        <w:t xml:space="preserve">very hot environments.  The “extremophile” </w:t>
      </w:r>
      <w:proofErr w:type="spellStart"/>
      <w:r w:rsidR="00DB4E73" w:rsidRPr="00DB4E73">
        <w:rPr>
          <w:i/>
        </w:rPr>
        <w:t>Pyrococcus</w:t>
      </w:r>
      <w:proofErr w:type="spellEnd"/>
      <w:r w:rsidR="00DB4E73" w:rsidRPr="00DB4E73">
        <w:rPr>
          <w:i/>
        </w:rPr>
        <w:t xml:space="preserve"> </w:t>
      </w:r>
      <w:proofErr w:type="spellStart"/>
      <w:r w:rsidR="00DB4E73" w:rsidRPr="00DB4E73">
        <w:rPr>
          <w:i/>
        </w:rPr>
        <w:t>furiosus</w:t>
      </w:r>
      <w:proofErr w:type="spellEnd"/>
      <w:r w:rsidR="00DB4E73">
        <w:t xml:space="preserve">, for example, </w:t>
      </w:r>
      <w:r w:rsidR="00B02A9A">
        <w:t xml:space="preserve">is an archaea that </w:t>
      </w:r>
      <w:r w:rsidR="00DB4E73">
        <w:t xml:space="preserve">grows optimally at boiling temperature. It was first isolated from </w:t>
      </w:r>
      <w:proofErr w:type="gramStart"/>
      <w:r w:rsidR="00DB4E73">
        <w:t>a geothermally</w:t>
      </w:r>
      <w:proofErr w:type="gramEnd"/>
      <w:r w:rsidR="00DB4E73">
        <w:t xml:space="preserve"> heated marine sediment.  Use of such DNA polymerases permits </w:t>
      </w:r>
      <w:proofErr w:type="spellStart"/>
      <w:r w:rsidR="00DB4E73">
        <w:t>thermocycling</w:t>
      </w:r>
      <w:proofErr w:type="spellEnd"/>
      <w:r w:rsidR="00DB4E73">
        <w:t>, in which template strand</w:t>
      </w:r>
      <w:r w:rsidR="008D0CBF">
        <w:t>s</w:t>
      </w:r>
      <w:r w:rsidR="00DB4E73">
        <w:t>, a large excess of primer strand</w:t>
      </w:r>
      <w:r w:rsidR="008D0CBF">
        <w:t>s</w:t>
      </w:r>
      <w:r w:rsidR="00DB4E73">
        <w:t>, the DNA polymerase</w:t>
      </w:r>
      <w:r w:rsidR="008D0CBF">
        <w:t xml:space="preserve"> and </w:t>
      </w:r>
      <w:proofErr w:type="spellStart"/>
      <w:r w:rsidR="008D0CBF">
        <w:t>deoxynucleoside</w:t>
      </w:r>
      <w:proofErr w:type="spellEnd"/>
      <w:r w:rsidR="008D0CBF">
        <w:t xml:space="preserve"> </w:t>
      </w:r>
      <w:proofErr w:type="spellStart"/>
      <w:r w:rsidR="008D0CBF">
        <w:t>triphophate</w:t>
      </w:r>
      <w:proofErr w:type="spellEnd"/>
      <w:r w:rsidR="008D0CBF">
        <w:t xml:space="preserve"> monomers</w:t>
      </w:r>
      <w:r w:rsidR="00DB4E73">
        <w:t xml:space="preserve"> are subject to dozens of three-stage temperature cycles:</w:t>
      </w:r>
    </w:p>
    <w:p w:rsidR="00DB4E73" w:rsidRDefault="00DB4E73" w:rsidP="00570F51"/>
    <w:p w:rsidR="00DB4E73" w:rsidRDefault="00DB4E73" w:rsidP="00EB5BF0">
      <w:pPr>
        <w:pStyle w:val="ListParagraph"/>
        <w:numPr>
          <w:ilvl w:val="0"/>
          <w:numId w:val="20"/>
        </w:numPr>
      </w:pPr>
      <w:r>
        <w:t>Denaturation stage: mixture is heated to 94–98ºC to denatur</w:t>
      </w:r>
      <w:r w:rsidR="00EB5BF0">
        <w:t xml:space="preserve">e all double helices, so that all </w:t>
      </w:r>
      <w:r w:rsidR="00831C4C">
        <w:t>the single strands are unpaired; ordinary (</w:t>
      </w:r>
      <w:r w:rsidR="00831C4C" w:rsidRPr="003B140A">
        <w:rPr>
          <w:i/>
        </w:rPr>
        <w:t>mesophilic</w:t>
      </w:r>
      <w:r w:rsidR="00831C4C">
        <w:t>) DNA polymerases</w:t>
      </w:r>
      <w:r w:rsidR="003B140A">
        <w:t xml:space="preserve">, such as those in the gut bacterium </w:t>
      </w:r>
      <w:r w:rsidR="003B140A" w:rsidRPr="003B140A">
        <w:rPr>
          <w:i/>
        </w:rPr>
        <w:t>Es</w:t>
      </w:r>
      <w:r w:rsidR="00D51BA9">
        <w:rPr>
          <w:i/>
        </w:rPr>
        <w:t>c</w:t>
      </w:r>
      <w:r w:rsidR="003B140A" w:rsidRPr="003B140A">
        <w:rPr>
          <w:i/>
        </w:rPr>
        <w:t>herichia coli</w:t>
      </w:r>
      <w:r w:rsidR="003B140A">
        <w:t>,</w:t>
      </w:r>
      <w:r w:rsidR="00831C4C">
        <w:t xml:space="preserve"> don’t survive such temperatures, but thermophilic DNA polymerases</w:t>
      </w:r>
      <w:r w:rsidR="00C731E4">
        <w:t xml:space="preserve"> do</w:t>
      </w:r>
      <w:r w:rsidR="00831C4C">
        <w:t>, especially</w:t>
      </w:r>
      <w:r w:rsidR="00C731E4">
        <w:t xml:space="preserve"> polymerases</w:t>
      </w:r>
      <w:r w:rsidR="00831C4C">
        <w:t xml:space="preserve"> from extremophiles like </w:t>
      </w:r>
      <w:r w:rsidR="00831C4C" w:rsidRPr="00831C4C">
        <w:rPr>
          <w:i/>
        </w:rPr>
        <w:t xml:space="preserve">P. </w:t>
      </w:r>
      <w:proofErr w:type="spellStart"/>
      <w:r w:rsidR="00831C4C" w:rsidRPr="00831C4C">
        <w:rPr>
          <w:i/>
        </w:rPr>
        <w:t>furios</w:t>
      </w:r>
      <w:r w:rsidR="00831C4C">
        <w:rPr>
          <w:i/>
        </w:rPr>
        <w:t>us</w:t>
      </w:r>
      <w:proofErr w:type="spellEnd"/>
      <w:r w:rsidR="00C731E4">
        <w:t>.</w:t>
      </w:r>
    </w:p>
    <w:p w:rsidR="00EB5BF0" w:rsidRDefault="00EB5BF0" w:rsidP="00EB5BF0">
      <w:pPr>
        <w:pStyle w:val="ListParagraph"/>
        <w:numPr>
          <w:ilvl w:val="0"/>
          <w:numId w:val="20"/>
        </w:numPr>
      </w:pPr>
      <w:r>
        <w:t>Priming stage: mixture is cooled to a temperature that’s optimal for primer strands to base-pair with template strands</w:t>
      </w:r>
    </w:p>
    <w:p w:rsidR="00EB5BF0" w:rsidRPr="00DB4E73" w:rsidRDefault="00831C4C" w:rsidP="00EB5BF0">
      <w:pPr>
        <w:pStyle w:val="ListParagraph"/>
        <w:numPr>
          <w:ilvl w:val="0"/>
          <w:numId w:val="20"/>
        </w:numPr>
      </w:pPr>
      <w:r>
        <w:t>Extension</w:t>
      </w:r>
      <w:r w:rsidR="00EB5BF0">
        <w:t xml:space="preserve"> stage: mixture is heated to the optimal temperature for DNA polymerase to do its thing: add nucleotides to the 3´ end of template-paired primer strands</w:t>
      </w:r>
      <w:r>
        <w:t xml:space="preserve"> until the ends of the template strands are reached</w:t>
      </w:r>
    </w:p>
    <w:p w:rsidR="004A34A0" w:rsidRDefault="004A34A0" w:rsidP="00570F51"/>
    <w:p w:rsidR="00114A65" w:rsidRPr="00F526DA" w:rsidRDefault="00114A65" w:rsidP="00114A65">
      <w:pPr>
        <w:keepNext/>
      </w:pPr>
      <w:r w:rsidRPr="00F526DA">
        <w:rPr>
          <w:i/>
        </w:rPr>
        <w:t>PCR</w:t>
      </w:r>
    </w:p>
    <w:p w:rsidR="00114A65" w:rsidRDefault="00114A65" w:rsidP="00114A65">
      <w:pPr>
        <w:keepNext/>
      </w:pPr>
    </w:p>
    <w:p w:rsidR="00114A65" w:rsidRDefault="00114A65" w:rsidP="00570F51">
      <w:r>
        <w:tab/>
        <w:t xml:space="preserve">Please read the excellent Wikipedia article at </w:t>
      </w:r>
      <w:hyperlink r:id="rId14" w:history="1">
        <w:r w:rsidRPr="002C05BA">
          <w:rPr>
            <w:rStyle w:val="Hyperlink"/>
          </w:rPr>
          <w:t>http://en.wikipedia.org/wiki/Polymerase_chain_reaction</w:t>
        </w:r>
      </w:hyperlink>
      <w:r>
        <w:t>.</w:t>
      </w:r>
      <w:r w:rsidR="00F33706">
        <w:t xml:space="preserve">  Here is the</w:t>
      </w:r>
      <w:r w:rsidR="004938C2">
        <w:t xml:space="preserve"> </w:t>
      </w:r>
      <w:r w:rsidR="00D01B82">
        <w:t>non-mutant parental</w:t>
      </w:r>
      <w:r w:rsidR="00F33706">
        <w:t xml:space="preserve"> sequence of</w:t>
      </w:r>
      <w:r w:rsidR="004938C2">
        <w:t xml:space="preserve"> part of yeast chromosome III (only one strand is shown).  The</w:t>
      </w:r>
      <w:r w:rsidR="00F33706">
        <w:t xml:space="preserve"> </w:t>
      </w:r>
      <w:r w:rsidR="00AA19DA">
        <w:t>76</w:t>
      </w:r>
      <w:r w:rsidR="003F1D99">
        <w:t>3</w:t>
      </w:r>
      <w:r w:rsidR="00F33706">
        <w:t xml:space="preserve">-bp </w:t>
      </w:r>
      <w:r w:rsidR="004938C2">
        <w:t>segment that will be PCR-amplified is shown in capital letters</w:t>
      </w:r>
      <w:r w:rsidR="00F33706">
        <w:t>:</w:t>
      </w:r>
    </w:p>
    <w:p w:rsidR="00F33706" w:rsidRDefault="00F33706" w:rsidP="00570F51"/>
    <w:p w:rsidR="00F33706" w:rsidRPr="004B2BD4" w:rsidRDefault="00F33706" w:rsidP="003F1D99">
      <w:pPr>
        <w:pStyle w:val="PlainText"/>
        <w:keepLines/>
        <w:suppressAutoHyphens/>
        <w:ind w:right="-130" w:firstLine="0"/>
        <w:rPr>
          <w:rFonts w:ascii="Courier New" w:hAnsi="Courier New" w:cs="Courier New"/>
          <w:sz w:val="20"/>
        </w:rPr>
      </w:pPr>
      <w:r>
        <w:rPr>
          <w:rFonts w:ascii="Courier New" w:hAnsi="Courier New" w:cs="Courier New"/>
          <w:sz w:val="20"/>
        </w:rPr>
        <w:lastRenderedPageBreak/>
        <w:t>5’</w:t>
      </w:r>
      <w:r>
        <w:rPr>
          <w:rFonts w:ascii="Courier New" w:hAnsi="Courier New" w:cs="Courier New"/>
          <w:sz w:val="20"/>
        </w:rPr>
        <w:noBreakHyphen/>
      </w:r>
      <w:r w:rsidR="00AA19DA" w:rsidRPr="00AA19DA">
        <w:rPr>
          <w:rFonts w:ascii="Courier New" w:hAnsi="Courier New" w:cs="Courier New"/>
          <w:color w:val="000000" w:themeColor="text1"/>
          <w:sz w:val="20"/>
        </w:rPr>
        <w:t>aggaaaaaaagaagacaaagtaaaatgtatcagcatttacaacatttgtcacgttctaaaccattgccgcttactccaaactccaaatataatggggaggctagcgtccaattagggaagacatatacagttattcaggattacgagcctagattgacagacgaaataagaatctcgctgggtgaaaaagttaaaattctggccactcataccgatggatggtgtctggtagaaaagtgtaatacacaaaagggttctattcacgtcagtgttgacgataaaagatacctcaatgaagatagaggcattgtgcctggtgactgtctccaagaatacgactgatgaaaataatattgacgttcgcatttaatctatacctataattctgtacttatatactgttccttaattgaagatttcaacatcgttttt</w:t>
      </w:r>
      <w:r w:rsidR="003F1D99" w:rsidRPr="003F1D99">
        <w:rPr>
          <w:rFonts w:ascii="Courier New" w:hAnsi="Courier New" w:cs="Courier New"/>
          <w:sz w:val="25"/>
          <w:szCs w:val="25"/>
        </w:rPr>
        <w:t>GATGTAGGTCTTTTCACCTGGAGGTGCGGCTGGGGTACCGAAGACTAATTGAGCTTGTACGGTCCAAGACTCAGGGATTTTGCTTGGCAAAGCAGCTTTTATGTAACCATTGTAGTGTTGTAGGTGACCACCCAGGCCCATTGCCTCCAAGGCAACCCACGAGTTGATTTGAGCGGCACCAGAGGTATGGTCCGCGAAACTAGGGAATGCAGCTGCGTACGCTGGGAAGTCAGCCTTTAGCTTTTCAGTTACCTTGGGATCCGGGACCGGATAATTATTTGAAATCTCTTTTTCAATTGTATATGTGTTATGTAGTATACTCTTTCTTCAACAATTAAATACTCTCGGTAGCCAAGTTGGTTTAAGGCGCAAGACTTTAATTTATCACTACGAAATCTTGAGATCGGGCGTTCGACTCGCCCCCGGGAGATTTTTTGTTTTTTATGTCTCCATTCACTTCCCAGACTTGCAAGTTGAAATATTTCTTTCAAGAATTGGCCTCATCCCTTGCTGAAGCAGGCTCTTTTGACCGGCAGGGCTTTCTATAGCCTTAGTCACTTCGTCCCAAACTTTTTTGTGAGTTTCACCAGTCAAGATAACAGCGCGATTTGGCTGGGAGTTGAAAGCGGTGGGTGTTTCTTTAATGATGGTTTGGACGACGGATTGGATGTCGTTGATAGTAATTTCACCAGGTAACTCCGGTTTCAAAGCGTAAATAGTACGACGAGCAGTTAAAGTTTTCAAATAAGTTGCAACAGCAGAC</w:t>
      </w:r>
      <w:r w:rsidR="00AA19DA" w:rsidRPr="00AA19DA">
        <w:rPr>
          <w:rFonts w:ascii="Courier New" w:hAnsi="Courier New" w:cs="Courier New"/>
          <w:color w:val="000000" w:themeColor="text1"/>
          <w:sz w:val="20"/>
        </w:rPr>
        <w:t>atgatattggattgtttttttgtatatatgttgatataggatacttcagtctacgaaaaaagtacaaattatgtagtcagttccttcagtatggtgtccttatatactgtagtttggacaaggtgcaaatgccaagaccctagcccgaaaagctcgaggcaccccaggatctttttctttacgtaattttcacgtaaaacgccacagtccgatttttctcgaataatcattagtaaaagcggtatactggattattgtacgataacaaggtagagctttattactaagctaagacgttcttacatcaatagtgctgttcgttattgatgttaggagaaggagcgggtctggtgaatagtgtaagcagtgtttctgaactttttcttcgtctaagtccttgtaatgtaaggtaagaatgcaagcatcttgtttgtaacgcgattgtacgttgacgttagtaagtcacaaacccaagcttaacttcttcgtgaggaaggaaagtgttgtctcctacttttttcaaattttcgaattgtatttatatttatttagtacttcttgagtttacatatccttcgtaaaaatgcaacttttgtcgaaaaacacttccaaaaaaaaataataatgaatttatgaagcatactaacgagcgagcacatcgctgaggtatcattacttcatgagataaattaagatctcctcatatgcgaatttcctgttcagtgataaacgttgattacgttattgataaaagtcttttcttctggcaaggcagttggaacaccaaagaccaattgagattgtacagtccacgcaataggaacatcttgaggcaaagcagatttgacgtagtcattatagtgttgcaaattagcccccaatcccaatagttcgagggcagtccaagactgaatttgcacagcaccggtcgtatgagcggcgcatgttgggaaagcggctgccaaggctggaaaatctctttgcagtttttcagttggtccttcatcagtgaagaa</w:t>
      </w:r>
      <w:r>
        <w:rPr>
          <w:rFonts w:ascii="Courier New" w:hAnsi="Courier New" w:cs="Courier New"/>
          <w:sz w:val="20"/>
        </w:rPr>
        <w:noBreakHyphen/>
        <w:t>3’</w:t>
      </w:r>
    </w:p>
    <w:p w:rsidR="00114A65" w:rsidRDefault="00114A65" w:rsidP="00570F51"/>
    <w:p w:rsidR="00F33706" w:rsidRDefault="00F33706" w:rsidP="00570F51">
      <w:r>
        <w:t xml:space="preserve">The PCR primers will </w:t>
      </w:r>
      <w:r w:rsidR="006F772F">
        <w:t xml:space="preserve">be </w:t>
      </w:r>
      <w:r w:rsidR="003F1D99">
        <w:t xml:space="preserve">about </w:t>
      </w:r>
      <w:r>
        <w:t xml:space="preserve">20 bases long.  </w:t>
      </w:r>
      <w:r w:rsidR="000F06C9">
        <w:t xml:space="preserve">The </w:t>
      </w:r>
      <w:r w:rsidR="004938C2">
        <w:t>rightward</w:t>
      </w:r>
      <w:r w:rsidR="000F06C9">
        <w:t xml:space="preserve">-pointing primer will be called the “forward” primer; the </w:t>
      </w:r>
      <w:r w:rsidR="004938C2">
        <w:t>leftward</w:t>
      </w:r>
      <w:r w:rsidR="000F06C9">
        <w:t xml:space="preserve">-pointing primer will be called the </w:t>
      </w:r>
      <w:r w:rsidR="004938C2">
        <w:t xml:space="preserve">“reverse” </w:t>
      </w:r>
      <w:r w:rsidR="000F06C9">
        <w:t xml:space="preserve">primer.  </w:t>
      </w:r>
      <w:r>
        <w:t>If you understand PCR, you’ll be able to write</w:t>
      </w:r>
      <w:r w:rsidR="000F06C9">
        <w:t xml:space="preserve"> out</w:t>
      </w:r>
      <w:r>
        <w:t xml:space="preserve"> the </w:t>
      </w:r>
      <w:r w:rsidR="000F06C9">
        <w:t xml:space="preserve">20-base </w:t>
      </w:r>
      <w:r>
        <w:t xml:space="preserve">sequences of the </w:t>
      </w:r>
      <w:r w:rsidR="000F06C9">
        <w:t>forward</w:t>
      </w:r>
      <w:r>
        <w:t xml:space="preserve"> </w:t>
      </w:r>
      <w:r w:rsidR="000F06C9">
        <w:t xml:space="preserve">and </w:t>
      </w:r>
      <w:r w:rsidR="00F53791">
        <w:t>reverse</w:t>
      </w:r>
      <w:r w:rsidR="000F06C9">
        <w:t xml:space="preserve"> </w:t>
      </w:r>
      <w:r>
        <w:t>primers, including their 5´</w:t>
      </w:r>
      <w:r>
        <w:sym w:font="Symbol" w:char="F0AE"/>
      </w:r>
      <w:r>
        <w:t>3´ polarity</w:t>
      </w:r>
      <w:r w:rsidR="00D01B82">
        <w:t>.</w:t>
      </w:r>
      <w:r w:rsidR="000F06C9">
        <w:t xml:space="preserve"> (HINT: The </w:t>
      </w:r>
      <w:r w:rsidR="00F53791">
        <w:t>reverse</w:t>
      </w:r>
      <w:r w:rsidR="000F06C9">
        <w:t xml:space="preserve"> primer’s 5´ end begins </w:t>
      </w:r>
      <w:r w:rsidR="000F06C9" w:rsidRPr="000F06C9">
        <w:rPr>
          <w:rFonts w:ascii="Courier New" w:hAnsi="Courier New" w:cs="Courier New"/>
        </w:rPr>
        <w:t>5´</w:t>
      </w:r>
      <w:r w:rsidR="000F06C9">
        <w:rPr>
          <w:rFonts w:ascii="Courier New" w:hAnsi="Courier New" w:cs="Courier New"/>
        </w:rPr>
        <w:noBreakHyphen/>
      </w:r>
      <w:r w:rsidR="004938C2">
        <w:rPr>
          <w:rFonts w:ascii="Courier New" w:hAnsi="Courier New" w:cs="Courier New"/>
        </w:rPr>
        <w:t>GTCTGCT</w:t>
      </w:r>
      <w:r w:rsidR="000F06C9" w:rsidRPr="000F06C9">
        <w:rPr>
          <w:rFonts w:ascii="Courier New" w:hAnsi="Courier New" w:cs="Courier New"/>
        </w:rPr>
        <w:t>…</w:t>
      </w:r>
      <w:r w:rsidR="000F06C9" w:rsidRPr="000F06C9">
        <w:t>)</w:t>
      </w:r>
    </w:p>
    <w:p w:rsidR="004938C2" w:rsidRDefault="004938C2" w:rsidP="00570F51"/>
    <w:p w:rsidR="00114A65" w:rsidRPr="00F526DA" w:rsidRDefault="00114A65" w:rsidP="0032381B">
      <w:pPr>
        <w:keepNext/>
        <w:rPr>
          <w:i/>
        </w:rPr>
      </w:pPr>
      <w:r w:rsidRPr="00F526DA">
        <w:rPr>
          <w:i/>
        </w:rPr>
        <w:t>DNA sequencing by the chain-termination method</w:t>
      </w:r>
    </w:p>
    <w:p w:rsidR="00114A65" w:rsidRDefault="00114A65" w:rsidP="0032381B">
      <w:pPr>
        <w:keepNext/>
      </w:pPr>
    </w:p>
    <w:p w:rsidR="0032381B" w:rsidRDefault="0032381B" w:rsidP="00570F51">
      <w:r>
        <w:tab/>
        <w:t xml:space="preserve">Please read the </w:t>
      </w:r>
      <w:r w:rsidR="001830E7">
        <w:t xml:space="preserve">Chain-termination methods section of the </w:t>
      </w:r>
      <w:r>
        <w:t xml:space="preserve">Wikipedia article </w:t>
      </w:r>
      <w:r w:rsidR="001830E7">
        <w:t xml:space="preserve">at </w:t>
      </w:r>
      <w:hyperlink r:id="rId15" w:history="1">
        <w:r w:rsidR="001830E7" w:rsidRPr="002C05BA">
          <w:rPr>
            <w:rStyle w:val="Hyperlink"/>
          </w:rPr>
          <w:t>http://en.wikipedia.org/wiki/DNA_sequencing</w:t>
        </w:r>
      </w:hyperlink>
      <w:r w:rsidR="00402A88">
        <w:t>.</w:t>
      </w:r>
      <w:r w:rsidR="001830E7">
        <w:t xml:space="preserve"> The DNA Core will sequence your samples using the Dye-terminator sequencing method, </w:t>
      </w:r>
      <w:r w:rsidR="0017552C">
        <w:t>with</w:t>
      </w:r>
      <w:r w:rsidR="00194940">
        <w:t xml:space="preserve"> </w:t>
      </w:r>
      <w:r w:rsidR="00E80188">
        <w:t>forward and reverse</w:t>
      </w:r>
      <w:r w:rsidR="00194940">
        <w:t xml:space="preserve"> primers </w:t>
      </w:r>
      <w:r w:rsidR="00E80188">
        <w:t xml:space="preserve">that prime within the </w:t>
      </w:r>
      <w:r w:rsidR="0094274B">
        <w:t>763</w:t>
      </w:r>
      <w:r w:rsidR="00E80188">
        <w:t>-bp PCR product (it’s not important to know the locations of the priming sites)</w:t>
      </w:r>
      <w:r w:rsidR="00194940">
        <w:t>.  They</w:t>
      </w:r>
      <w:r w:rsidR="001830E7">
        <w:t xml:space="preserve"> will return colored traces like the one pictured in the </w:t>
      </w:r>
      <w:r w:rsidR="00402A88">
        <w:t xml:space="preserve">Wikipedia </w:t>
      </w:r>
      <w:r w:rsidR="001830E7">
        <w:t>figure titled “View of the start of an example dye-terminator read.”</w:t>
      </w:r>
    </w:p>
    <w:p w:rsidR="0032381B" w:rsidRDefault="0032381B" w:rsidP="00570F51"/>
    <w:p w:rsidR="00AA75C2" w:rsidRDefault="00AA75C2" w:rsidP="00D01B82">
      <w:pPr>
        <w:keepNext/>
      </w:pPr>
      <w:r>
        <w:rPr>
          <w:i/>
        </w:rPr>
        <w:lastRenderedPageBreak/>
        <w:t>Choosing colonies to sequence</w:t>
      </w:r>
    </w:p>
    <w:p w:rsidR="00AA75C2" w:rsidRDefault="00AA75C2" w:rsidP="00D01B82">
      <w:pPr>
        <w:keepNext/>
      </w:pPr>
    </w:p>
    <w:p w:rsidR="00AA75C2" w:rsidRDefault="00AA75C2" w:rsidP="000B2F52">
      <w:r>
        <w:tab/>
        <w:t xml:space="preserve">We will choose the 24 clones to be sequenced very carefully in order to increase our depth of understanding of the fluctuation test. </w:t>
      </w:r>
      <w:r w:rsidR="00B948A3">
        <w:t>Here’s a table of the dishes chosen</w:t>
      </w:r>
      <w:r w:rsidR="00D01B82">
        <w:t xml:space="preserve"> </w:t>
      </w:r>
      <w:r w:rsidR="00D01B82">
        <w:rPr>
          <w:color w:val="FF0000"/>
        </w:rPr>
        <w:t xml:space="preserve">(NOTE TO INSTRUCTOR: Fill in this table in light of the choices </w:t>
      </w:r>
      <w:r w:rsidR="001B1A1B">
        <w:rPr>
          <w:color w:val="FF0000"/>
        </w:rPr>
        <w:t xml:space="preserve">made </w:t>
      </w:r>
      <w:r w:rsidR="00D01B82">
        <w:rPr>
          <w:color w:val="FF0000"/>
        </w:rPr>
        <w:t>at step F1 of InstuctorManual.docx.)</w:t>
      </w:r>
      <w:r w:rsidR="00B948A3">
        <w:t>:</w:t>
      </w:r>
    </w:p>
    <w:p w:rsidR="008560E8" w:rsidRDefault="008560E8" w:rsidP="008560E8">
      <w:pPr>
        <w:keepNext/>
      </w:pPr>
    </w:p>
    <w:tbl>
      <w:tblPr>
        <w:tblW w:w="7736" w:type="dxa"/>
        <w:jc w:val="center"/>
        <w:tblLook w:val="04A0" w:firstRow="1" w:lastRow="0" w:firstColumn="1" w:lastColumn="0" w:noHBand="0" w:noVBand="1"/>
      </w:tblPr>
      <w:tblGrid>
        <w:gridCol w:w="992"/>
        <w:gridCol w:w="1416"/>
        <w:gridCol w:w="1584"/>
        <w:gridCol w:w="1519"/>
        <w:gridCol w:w="2225"/>
      </w:tblGrid>
      <w:tr w:rsidR="004A6B82" w:rsidTr="004A6B82">
        <w:trPr>
          <w:trHeight w:val="255"/>
          <w:jc w:val="center"/>
        </w:trPr>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6B82" w:rsidRDefault="004A6B82" w:rsidP="00C52910">
            <w:pPr>
              <w:keepNext/>
              <w:rPr>
                <w:rFonts w:ascii="Arial" w:hAnsi="Arial" w:cs="Arial"/>
                <w:sz w:val="20"/>
                <w:szCs w:val="20"/>
              </w:rPr>
            </w:pPr>
            <w:r>
              <w:rPr>
                <w:rFonts w:ascii="Arial" w:hAnsi="Arial" w:cs="Arial"/>
                <w:sz w:val="20"/>
                <w:szCs w:val="20"/>
              </w:rPr>
              <w:t>Dish ID</w:t>
            </w:r>
          </w:p>
        </w:tc>
        <w:tc>
          <w:tcPr>
            <w:tcW w:w="1416" w:type="dxa"/>
            <w:tcBorders>
              <w:top w:val="single" w:sz="4" w:space="0" w:color="auto"/>
              <w:left w:val="nil"/>
              <w:bottom w:val="single" w:sz="4" w:space="0" w:color="auto"/>
              <w:right w:val="single" w:sz="4" w:space="0" w:color="auto"/>
            </w:tcBorders>
            <w:shd w:val="clear" w:color="auto" w:fill="auto"/>
            <w:noWrap/>
            <w:vAlign w:val="bottom"/>
            <w:hideMark/>
          </w:tcPr>
          <w:p w:rsidR="004A6B82" w:rsidRDefault="004A6B82" w:rsidP="00C52910">
            <w:pPr>
              <w:keepNext/>
              <w:rPr>
                <w:rFonts w:ascii="Arial" w:hAnsi="Arial" w:cs="Arial"/>
                <w:sz w:val="20"/>
                <w:szCs w:val="20"/>
              </w:rPr>
            </w:pPr>
            <w:r>
              <w:rPr>
                <w:rFonts w:ascii="Arial" w:hAnsi="Arial" w:cs="Arial"/>
                <w:sz w:val="20"/>
                <w:szCs w:val="20"/>
              </w:rPr>
              <w:t>Red colonies</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rsidR="004A6B82" w:rsidRDefault="004A6B82" w:rsidP="00C52910">
            <w:pPr>
              <w:keepNext/>
              <w:rPr>
                <w:rFonts w:ascii="Arial" w:hAnsi="Arial" w:cs="Arial"/>
                <w:sz w:val="20"/>
                <w:szCs w:val="20"/>
              </w:rPr>
            </w:pPr>
            <w:r>
              <w:rPr>
                <w:rFonts w:ascii="Arial" w:hAnsi="Arial" w:cs="Arial"/>
                <w:sz w:val="20"/>
                <w:szCs w:val="20"/>
              </w:rPr>
              <w:t>White colonies</w:t>
            </w:r>
          </w:p>
        </w:tc>
        <w:tc>
          <w:tcPr>
            <w:tcW w:w="1519" w:type="dxa"/>
            <w:tcBorders>
              <w:top w:val="single" w:sz="4" w:space="0" w:color="auto"/>
              <w:left w:val="nil"/>
              <w:bottom w:val="single" w:sz="4" w:space="0" w:color="auto"/>
              <w:right w:val="single" w:sz="4" w:space="0" w:color="auto"/>
            </w:tcBorders>
            <w:vAlign w:val="bottom"/>
          </w:tcPr>
          <w:p w:rsidR="004A6B82" w:rsidRDefault="004A6B82" w:rsidP="004A6B82">
            <w:pPr>
              <w:keepNext/>
              <w:rPr>
                <w:rFonts w:ascii="Arial" w:hAnsi="Arial" w:cs="Arial"/>
                <w:sz w:val="20"/>
                <w:szCs w:val="20"/>
              </w:rPr>
            </w:pPr>
            <w:r>
              <w:rPr>
                <w:rFonts w:ascii="Arial" w:hAnsi="Arial" w:cs="Arial"/>
                <w:sz w:val="20"/>
                <w:szCs w:val="20"/>
              </w:rPr>
              <w:t>Red colony ID</w:t>
            </w:r>
          </w:p>
        </w:tc>
        <w:tc>
          <w:tcPr>
            <w:tcW w:w="2225" w:type="dxa"/>
            <w:tcBorders>
              <w:top w:val="single" w:sz="4" w:space="0" w:color="auto"/>
              <w:left w:val="nil"/>
              <w:bottom w:val="single" w:sz="4" w:space="0" w:color="auto"/>
              <w:right w:val="single" w:sz="4" w:space="0" w:color="auto"/>
            </w:tcBorders>
            <w:vAlign w:val="bottom"/>
          </w:tcPr>
          <w:p w:rsidR="004A6B82" w:rsidRDefault="004A6B82" w:rsidP="00C52910">
            <w:pPr>
              <w:keepNext/>
              <w:rPr>
                <w:rFonts w:ascii="Arial" w:hAnsi="Arial" w:cs="Arial"/>
                <w:sz w:val="20"/>
                <w:szCs w:val="20"/>
              </w:rPr>
            </w:pPr>
            <w:r>
              <w:rPr>
                <w:rFonts w:ascii="Arial" w:hAnsi="Arial" w:cs="Arial"/>
                <w:sz w:val="20"/>
                <w:szCs w:val="20"/>
              </w:rPr>
              <w:t>Student sequencer</w:t>
            </w:r>
          </w:p>
        </w:tc>
      </w:tr>
      <w:tr w:rsidR="004A6B82" w:rsidTr="004A6B82">
        <w:trPr>
          <w:trHeight w:val="255"/>
          <w:jc w:val="center"/>
        </w:trPr>
        <w:tc>
          <w:tcPr>
            <w:tcW w:w="992" w:type="dxa"/>
            <w:vMerge w:val="restart"/>
            <w:tcBorders>
              <w:top w:val="nil"/>
              <w:left w:val="single" w:sz="4" w:space="0" w:color="auto"/>
              <w:right w:val="single" w:sz="4" w:space="0" w:color="auto"/>
            </w:tcBorders>
            <w:shd w:val="clear" w:color="000000" w:fill="FF0000"/>
            <w:noWrap/>
            <w:vAlign w:val="center"/>
          </w:tcPr>
          <w:p w:rsidR="004A6B82" w:rsidRDefault="004A6B82" w:rsidP="00C52910">
            <w:pPr>
              <w:keepNext/>
              <w:rPr>
                <w:rFonts w:ascii="Arial" w:hAnsi="Arial" w:cs="Arial"/>
                <w:sz w:val="20"/>
                <w:szCs w:val="20"/>
              </w:rPr>
            </w:pPr>
          </w:p>
        </w:tc>
        <w:tc>
          <w:tcPr>
            <w:tcW w:w="1416" w:type="dxa"/>
            <w:vMerge w:val="restart"/>
            <w:tcBorders>
              <w:top w:val="nil"/>
              <w:left w:val="nil"/>
              <w:right w:val="single" w:sz="4" w:space="0" w:color="auto"/>
            </w:tcBorders>
            <w:shd w:val="clear" w:color="000000" w:fill="FF0000"/>
            <w:noWrap/>
            <w:vAlign w:val="center"/>
          </w:tcPr>
          <w:p w:rsidR="004A6B82" w:rsidRDefault="004A6B82" w:rsidP="00C52910">
            <w:pPr>
              <w:keepNext/>
              <w:rPr>
                <w:rFonts w:ascii="Arial" w:hAnsi="Arial" w:cs="Arial"/>
                <w:sz w:val="20"/>
                <w:szCs w:val="20"/>
              </w:rPr>
            </w:pPr>
          </w:p>
        </w:tc>
        <w:tc>
          <w:tcPr>
            <w:tcW w:w="1584" w:type="dxa"/>
            <w:vMerge w:val="restart"/>
            <w:tcBorders>
              <w:top w:val="nil"/>
              <w:left w:val="nil"/>
              <w:right w:val="single" w:sz="4" w:space="0" w:color="auto"/>
            </w:tcBorders>
            <w:shd w:val="clear" w:color="000000" w:fill="FF0000"/>
            <w:noWrap/>
            <w:vAlign w:val="center"/>
          </w:tcPr>
          <w:p w:rsidR="004A6B82" w:rsidRDefault="004A6B82" w:rsidP="00C52910">
            <w:pPr>
              <w:keepNext/>
              <w:rPr>
                <w:rFonts w:ascii="Arial" w:hAnsi="Arial" w:cs="Arial"/>
                <w:sz w:val="20"/>
                <w:szCs w:val="20"/>
              </w:rPr>
            </w:pPr>
          </w:p>
        </w:tc>
        <w:tc>
          <w:tcPr>
            <w:tcW w:w="1519" w:type="dxa"/>
            <w:tcBorders>
              <w:top w:val="single" w:sz="4" w:space="0" w:color="auto"/>
              <w:left w:val="nil"/>
              <w:bottom w:val="single" w:sz="4" w:space="0" w:color="auto"/>
              <w:right w:val="single" w:sz="4" w:space="0" w:color="auto"/>
            </w:tcBorders>
            <w:shd w:val="clear" w:color="000000" w:fill="FF0000"/>
          </w:tcPr>
          <w:p w:rsidR="004A6B82" w:rsidRPr="006C022B" w:rsidRDefault="004A6B82" w:rsidP="00C52910">
            <w:pPr>
              <w:keepNext/>
            </w:pPr>
            <w:r>
              <w:t>R</w:t>
            </w:r>
            <w:r w:rsidRPr="006C022B">
              <w:t>1</w:t>
            </w:r>
          </w:p>
        </w:tc>
        <w:tc>
          <w:tcPr>
            <w:tcW w:w="2225" w:type="dxa"/>
            <w:tcBorders>
              <w:top w:val="single" w:sz="4" w:space="0" w:color="auto"/>
              <w:left w:val="nil"/>
              <w:bottom w:val="single" w:sz="4" w:space="0" w:color="auto"/>
              <w:right w:val="single" w:sz="4" w:space="0" w:color="auto"/>
            </w:tcBorders>
            <w:shd w:val="clear" w:color="000000" w:fill="FF0000"/>
            <w:vAlign w:val="center"/>
          </w:tcPr>
          <w:p w:rsidR="004A6B82" w:rsidRDefault="004A6B82" w:rsidP="00C52910">
            <w:pPr>
              <w:keepNext/>
              <w:rPr>
                <w:rFonts w:ascii="Arial" w:hAnsi="Arial" w:cs="Arial"/>
                <w:sz w:val="20"/>
                <w:szCs w:val="20"/>
              </w:rPr>
            </w:pPr>
          </w:p>
        </w:tc>
      </w:tr>
      <w:tr w:rsidR="004A6B82" w:rsidTr="004A6B82">
        <w:trPr>
          <w:trHeight w:val="255"/>
          <w:jc w:val="center"/>
        </w:trPr>
        <w:tc>
          <w:tcPr>
            <w:tcW w:w="992" w:type="dxa"/>
            <w:vMerge/>
            <w:tcBorders>
              <w:left w:val="single" w:sz="4" w:space="0" w:color="auto"/>
              <w:right w:val="single" w:sz="4" w:space="0" w:color="auto"/>
            </w:tcBorders>
            <w:shd w:val="clear" w:color="000000" w:fill="FF0000"/>
            <w:noWrap/>
            <w:vAlign w:val="center"/>
          </w:tcPr>
          <w:p w:rsidR="004A6B82" w:rsidRDefault="004A6B82" w:rsidP="00C52910">
            <w:pPr>
              <w:keepNext/>
              <w:rPr>
                <w:rFonts w:ascii="Arial" w:hAnsi="Arial" w:cs="Arial"/>
                <w:sz w:val="20"/>
                <w:szCs w:val="20"/>
              </w:rPr>
            </w:pPr>
          </w:p>
        </w:tc>
        <w:tc>
          <w:tcPr>
            <w:tcW w:w="1416" w:type="dxa"/>
            <w:vMerge/>
            <w:tcBorders>
              <w:left w:val="nil"/>
              <w:right w:val="single" w:sz="4" w:space="0" w:color="auto"/>
            </w:tcBorders>
            <w:shd w:val="clear" w:color="000000" w:fill="FF0000"/>
            <w:noWrap/>
            <w:vAlign w:val="center"/>
          </w:tcPr>
          <w:p w:rsidR="004A6B82" w:rsidRDefault="004A6B82" w:rsidP="00C52910">
            <w:pPr>
              <w:keepNext/>
              <w:rPr>
                <w:rFonts w:ascii="Arial" w:hAnsi="Arial" w:cs="Arial"/>
                <w:sz w:val="20"/>
                <w:szCs w:val="20"/>
              </w:rPr>
            </w:pPr>
          </w:p>
        </w:tc>
        <w:tc>
          <w:tcPr>
            <w:tcW w:w="1584" w:type="dxa"/>
            <w:vMerge/>
            <w:tcBorders>
              <w:left w:val="nil"/>
              <w:right w:val="single" w:sz="4" w:space="0" w:color="auto"/>
            </w:tcBorders>
            <w:shd w:val="clear" w:color="000000" w:fill="FF0000"/>
            <w:noWrap/>
            <w:vAlign w:val="center"/>
          </w:tcPr>
          <w:p w:rsidR="004A6B82" w:rsidRDefault="004A6B82" w:rsidP="00C52910">
            <w:pPr>
              <w:keepNext/>
              <w:rPr>
                <w:rFonts w:ascii="Arial" w:hAnsi="Arial" w:cs="Arial"/>
                <w:sz w:val="20"/>
                <w:szCs w:val="20"/>
              </w:rPr>
            </w:pPr>
          </w:p>
        </w:tc>
        <w:tc>
          <w:tcPr>
            <w:tcW w:w="1519" w:type="dxa"/>
            <w:tcBorders>
              <w:top w:val="single" w:sz="4" w:space="0" w:color="auto"/>
              <w:left w:val="nil"/>
              <w:bottom w:val="single" w:sz="4" w:space="0" w:color="auto"/>
              <w:right w:val="single" w:sz="4" w:space="0" w:color="auto"/>
            </w:tcBorders>
            <w:shd w:val="clear" w:color="000000" w:fill="FF0000"/>
          </w:tcPr>
          <w:p w:rsidR="004A6B82" w:rsidRPr="006C022B" w:rsidRDefault="004A6B82" w:rsidP="00C52910">
            <w:pPr>
              <w:keepNext/>
            </w:pPr>
            <w:r>
              <w:t>R</w:t>
            </w:r>
            <w:r w:rsidRPr="006C022B">
              <w:t>2</w:t>
            </w:r>
          </w:p>
        </w:tc>
        <w:tc>
          <w:tcPr>
            <w:tcW w:w="2225" w:type="dxa"/>
            <w:tcBorders>
              <w:top w:val="single" w:sz="4" w:space="0" w:color="auto"/>
              <w:left w:val="nil"/>
              <w:bottom w:val="single" w:sz="4" w:space="0" w:color="auto"/>
              <w:right w:val="single" w:sz="4" w:space="0" w:color="auto"/>
            </w:tcBorders>
            <w:shd w:val="clear" w:color="000000" w:fill="FF0000"/>
            <w:vAlign w:val="center"/>
          </w:tcPr>
          <w:p w:rsidR="004A6B82" w:rsidRDefault="004A6B82" w:rsidP="00C52910">
            <w:pPr>
              <w:keepNext/>
              <w:rPr>
                <w:rFonts w:ascii="Arial" w:hAnsi="Arial" w:cs="Arial"/>
                <w:sz w:val="20"/>
                <w:szCs w:val="20"/>
              </w:rPr>
            </w:pPr>
          </w:p>
        </w:tc>
      </w:tr>
      <w:tr w:rsidR="004A6B82" w:rsidTr="004A6B82">
        <w:trPr>
          <w:trHeight w:val="255"/>
          <w:jc w:val="center"/>
        </w:trPr>
        <w:tc>
          <w:tcPr>
            <w:tcW w:w="992" w:type="dxa"/>
            <w:vMerge/>
            <w:tcBorders>
              <w:left w:val="single" w:sz="4" w:space="0" w:color="auto"/>
              <w:right w:val="single" w:sz="4" w:space="0" w:color="auto"/>
            </w:tcBorders>
            <w:shd w:val="clear" w:color="000000" w:fill="FF0000"/>
            <w:noWrap/>
            <w:vAlign w:val="center"/>
          </w:tcPr>
          <w:p w:rsidR="004A6B82" w:rsidRDefault="004A6B82" w:rsidP="00C52910">
            <w:pPr>
              <w:keepNext/>
              <w:rPr>
                <w:rFonts w:ascii="Arial" w:hAnsi="Arial" w:cs="Arial"/>
                <w:sz w:val="20"/>
                <w:szCs w:val="20"/>
              </w:rPr>
            </w:pPr>
          </w:p>
        </w:tc>
        <w:tc>
          <w:tcPr>
            <w:tcW w:w="1416" w:type="dxa"/>
            <w:vMerge/>
            <w:tcBorders>
              <w:left w:val="nil"/>
              <w:right w:val="single" w:sz="4" w:space="0" w:color="auto"/>
            </w:tcBorders>
            <w:shd w:val="clear" w:color="000000" w:fill="FF0000"/>
            <w:noWrap/>
            <w:vAlign w:val="center"/>
          </w:tcPr>
          <w:p w:rsidR="004A6B82" w:rsidRDefault="004A6B82" w:rsidP="00C52910">
            <w:pPr>
              <w:keepNext/>
              <w:rPr>
                <w:rFonts w:ascii="Arial" w:hAnsi="Arial" w:cs="Arial"/>
                <w:sz w:val="20"/>
                <w:szCs w:val="20"/>
              </w:rPr>
            </w:pPr>
          </w:p>
        </w:tc>
        <w:tc>
          <w:tcPr>
            <w:tcW w:w="1584" w:type="dxa"/>
            <w:vMerge/>
            <w:tcBorders>
              <w:left w:val="nil"/>
              <w:right w:val="single" w:sz="4" w:space="0" w:color="auto"/>
            </w:tcBorders>
            <w:shd w:val="clear" w:color="000000" w:fill="FF0000"/>
            <w:noWrap/>
            <w:vAlign w:val="center"/>
          </w:tcPr>
          <w:p w:rsidR="004A6B82" w:rsidRDefault="004A6B82" w:rsidP="00C52910">
            <w:pPr>
              <w:keepNext/>
              <w:rPr>
                <w:rFonts w:ascii="Arial" w:hAnsi="Arial" w:cs="Arial"/>
                <w:sz w:val="20"/>
                <w:szCs w:val="20"/>
              </w:rPr>
            </w:pPr>
          </w:p>
        </w:tc>
        <w:tc>
          <w:tcPr>
            <w:tcW w:w="1519" w:type="dxa"/>
            <w:tcBorders>
              <w:top w:val="single" w:sz="4" w:space="0" w:color="auto"/>
              <w:left w:val="nil"/>
              <w:bottom w:val="single" w:sz="4" w:space="0" w:color="auto"/>
              <w:right w:val="single" w:sz="4" w:space="0" w:color="auto"/>
            </w:tcBorders>
            <w:shd w:val="clear" w:color="000000" w:fill="FF0000"/>
          </w:tcPr>
          <w:p w:rsidR="004A6B82" w:rsidRPr="006C022B" w:rsidRDefault="004A6B82" w:rsidP="00C52910">
            <w:pPr>
              <w:keepNext/>
            </w:pPr>
            <w:r>
              <w:t>R</w:t>
            </w:r>
            <w:r w:rsidRPr="006C022B">
              <w:t>3</w:t>
            </w:r>
          </w:p>
        </w:tc>
        <w:tc>
          <w:tcPr>
            <w:tcW w:w="2225" w:type="dxa"/>
            <w:tcBorders>
              <w:top w:val="single" w:sz="4" w:space="0" w:color="auto"/>
              <w:left w:val="nil"/>
              <w:bottom w:val="single" w:sz="4" w:space="0" w:color="auto"/>
              <w:right w:val="single" w:sz="4" w:space="0" w:color="auto"/>
            </w:tcBorders>
            <w:shd w:val="clear" w:color="000000" w:fill="FF0000"/>
            <w:vAlign w:val="center"/>
          </w:tcPr>
          <w:p w:rsidR="004A6B82" w:rsidRDefault="004A6B82" w:rsidP="00C52910">
            <w:pPr>
              <w:keepNext/>
              <w:rPr>
                <w:rFonts w:ascii="Arial" w:hAnsi="Arial" w:cs="Arial"/>
                <w:sz w:val="20"/>
                <w:szCs w:val="20"/>
              </w:rPr>
            </w:pPr>
          </w:p>
        </w:tc>
      </w:tr>
      <w:tr w:rsidR="004A6B82" w:rsidTr="004A6B82">
        <w:trPr>
          <w:trHeight w:val="255"/>
          <w:jc w:val="center"/>
        </w:trPr>
        <w:tc>
          <w:tcPr>
            <w:tcW w:w="992" w:type="dxa"/>
            <w:vMerge/>
            <w:tcBorders>
              <w:left w:val="single" w:sz="4" w:space="0" w:color="auto"/>
              <w:right w:val="single" w:sz="4" w:space="0" w:color="auto"/>
            </w:tcBorders>
            <w:shd w:val="clear" w:color="000000" w:fill="FF0000"/>
            <w:noWrap/>
            <w:vAlign w:val="center"/>
          </w:tcPr>
          <w:p w:rsidR="004A6B82" w:rsidRDefault="004A6B82" w:rsidP="00C52910">
            <w:pPr>
              <w:keepNext/>
              <w:rPr>
                <w:rFonts w:ascii="Arial" w:hAnsi="Arial" w:cs="Arial"/>
                <w:sz w:val="20"/>
                <w:szCs w:val="20"/>
              </w:rPr>
            </w:pPr>
          </w:p>
        </w:tc>
        <w:tc>
          <w:tcPr>
            <w:tcW w:w="1416" w:type="dxa"/>
            <w:vMerge/>
            <w:tcBorders>
              <w:left w:val="nil"/>
              <w:right w:val="single" w:sz="4" w:space="0" w:color="auto"/>
            </w:tcBorders>
            <w:shd w:val="clear" w:color="000000" w:fill="FF0000"/>
            <w:noWrap/>
            <w:vAlign w:val="center"/>
          </w:tcPr>
          <w:p w:rsidR="004A6B82" w:rsidRDefault="004A6B82" w:rsidP="00C52910">
            <w:pPr>
              <w:keepNext/>
              <w:rPr>
                <w:rFonts w:ascii="Arial" w:hAnsi="Arial" w:cs="Arial"/>
                <w:sz w:val="20"/>
                <w:szCs w:val="20"/>
              </w:rPr>
            </w:pPr>
          </w:p>
        </w:tc>
        <w:tc>
          <w:tcPr>
            <w:tcW w:w="1584" w:type="dxa"/>
            <w:vMerge/>
            <w:tcBorders>
              <w:left w:val="nil"/>
              <w:right w:val="single" w:sz="4" w:space="0" w:color="auto"/>
            </w:tcBorders>
            <w:shd w:val="clear" w:color="000000" w:fill="FF0000"/>
            <w:noWrap/>
            <w:vAlign w:val="center"/>
          </w:tcPr>
          <w:p w:rsidR="004A6B82" w:rsidRDefault="004A6B82" w:rsidP="00C52910">
            <w:pPr>
              <w:keepNext/>
              <w:rPr>
                <w:rFonts w:ascii="Arial" w:hAnsi="Arial" w:cs="Arial"/>
                <w:sz w:val="20"/>
                <w:szCs w:val="20"/>
              </w:rPr>
            </w:pPr>
          </w:p>
        </w:tc>
        <w:tc>
          <w:tcPr>
            <w:tcW w:w="1519" w:type="dxa"/>
            <w:tcBorders>
              <w:top w:val="single" w:sz="4" w:space="0" w:color="auto"/>
              <w:left w:val="nil"/>
              <w:bottom w:val="single" w:sz="4" w:space="0" w:color="auto"/>
              <w:right w:val="single" w:sz="4" w:space="0" w:color="auto"/>
            </w:tcBorders>
            <w:shd w:val="clear" w:color="000000" w:fill="FF0000"/>
          </w:tcPr>
          <w:p w:rsidR="004A6B82" w:rsidRPr="006C022B" w:rsidRDefault="004A6B82" w:rsidP="00C52910">
            <w:pPr>
              <w:keepNext/>
            </w:pPr>
            <w:r>
              <w:t>R</w:t>
            </w:r>
            <w:r w:rsidRPr="006C022B">
              <w:t>4</w:t>
            </w:r>
          </w:p>
        </w:tc>
        <w:tc>
          <w:tcPr>
            <w:tcW w:w="2225" w:type="dxa"/>
            <w:tcBorders>
              <w:top w:val="single" w:sz="4" w:space="0" w:color="auto"/>
              <w:left w:val="nil"/>
              <w:bottom w:val="single" w:sz="4" w:space="0" w:color="auto"/>
              <w:right w:val="single" w:sz="4" w:space="0" w:color="auto"/>
            </w:tcBorders>
            <w:shd w:val="clear" w:color="000000" w:fill="FF0000"/>
            <w:vAlign w:val="center"/>
          </w:tcPr>
          <w:p w:rsidR="004A6B82" w:rsidRDefault="004A6B82" w:rsidP="00C52910">
            <w:pPr>
              <w:keepNext/>
              <w:rPr>
                <w:rFonts w:ascii="Arial" w:hAnsi="Arial" w:cs="Arial"/>
                <w:sz w:val="20"/>
                <w:szCs w:val="20"/>
              </w:rPr>
            </w:pPr>
          </w:p>
        </w:tc>
      </w:tr>
      <w:tr w:rsidR="004A6B82" w:rsidTr="004A6B82">
        <w:trPr>
          <w:trHeight w:val="255"/>
          <w:jc w:val="center"/>
        </w:trPr>
        <w:tc>
          <w:tcPr>
            <w:tcW w:w="992" w:type="dxa"/>
            <w:vMerge/>
            <w:tcBorders>
              <w:left w:val="single" w:sz="4" w:space="0" w:color="auto"/>
              <w:right w:val="single" w:sz="4" w:space="0" w:color="auto"/>
            </w:tcBorders>
            <w:shd w:val="clear" w:color="000000" w:fill="FF0000"/>
            <w:noWrap/>
            <w:vAlign w:val="center"/>
          </w:tcPr>
          <w:p w:rsidR="004A6B82" w:rsidRDefault="004A6B82" w:rsidP="00C52910">
            <w:pPr>
              <w:keepNext/>
              <w:rPr>
                <w:rFonts w:ascii="Arial" w:hAnsi="Arial" w:cs="Arial"/>
                <w:sz w:val="20"/>
                <w:szCs w:val="20"/>
              </w:rPr>
            </w:pPr>
          </w:p>
        </w:tc>
        <w:tc>
          <w:tcPr>
            <w:tcW w:w="1416" w:type="dxa"/>
            <w:vMerge/>
            <w:tcBorders>
              <w:left w:val="nil"/>
              <w:right w:val="single" w:sz="4" w:space="0" w:color="auto"/>
            </w:tcBorders>
            <w:shd w:val="clear" w:color="000000" w:fill="FF0000"/>
            <w:noWrap/>
            <w:vAlign w:val="center"/>
          </w:tcPr>
          <w:p w:rsidR="004A6B82" w:rsidRDefault="004A6B82" w:rsidP="00C52910">
            <w:pPr>
              <w:keepNext/>
              <w:rPr>
                <w:rFonts w:ascii="Arial" w:hAnsi="Arial" w:cs="Arial"/>
                <w:sz w:val="20"/>
                <w:szCs w:val="20"/>
              </w:rPr>
            </w:pPr>
          </w:p>
        </w:tc>
        <w:tc>
          <w:tcPr>
            <w:tcW w:w="1584" w:type="dxa"/>
            <w:vMerge/>
            <w:tcBorders>
              <w:left w:val="nil"/>
              <w:right w:val="single" w:sz="4" w:space="0" w:color="auto"/>
            </w:tcBorders>
            <w:shd w:val="clear" w:color="000000" w:fill="FF0000"/>
            <w:noWrap/>
            <w:vAlign w:val="center"/>
          </w:tcPr>
          <w:p w:rsidR="004A6B82" w:rsidRDefault="004A6B82" w:rsidP="00C52910">
            <w:pPr>
              <w:keepNext/>
              <w:rPr>
                <w:rFonts w:ascii="Arial" w:hAnsi="Arial" w:cs="Arial"/>
                <w:sz w:val="20"/>
                <w:szCs w:val="20"/>
              </w:rPr>
            </w:pPr>
          </w:p>
        </w:tc>
        <w:tc>
          <w:tcPr>
            <w:tcW w:w="1519" w:type="dxa"/>
            <w:tcBorders>
              <w:top w:val="single" w:sz="4" w:space="0" w:color="auto"/>
              <w:left w:val="nil"/>
              <w:bottom w:val="single" w:sz="4" w:space="0" w:color="auto"/>
              <w:right w:val="single" w:sz="4" w:space="0" w:color="auto"/>
            </w:tcBorders>
            <w:shd w:val="clear" w:color="000000" w:fill="FF0000"/>
          </w:tcPr>
          <w:p w:rsidR="004A6B82" w:rsidRPr="006C022B" w:rsidRDefault="004A6B82" w:rsidP="00C52910">
            <w:pPr>
              <w:keepNext/>
            </w:pPr>
            <w:r>
              <w:t>R</w:t>
            </w:r>
            <w:r w:rsidRPr="006C022B">
              <w:t>5</w:t>
            </w:r>
          </w:p>
        </w:tc>
        <w:tc>
          <w:tcPr>
            <w:tcW w:w="2225" w:type="dxa"/>
            <w:tcBorders>
              <w:top w:val="single" w:sz="4" w:space="0" w:color="auto"/>
              <w:left w:val="nil"/>
              <w:bottom w:val="single" w:sz="4" w:space="0" w:color="auto"/>
              <w:right w:val="single" w:sz="4" w:space="0" w:color="auto"/>
            </w:tcBorders>
            <w:shd w:val="clear" w:color="000000" w:fill="FF0000"/>
            <w:vAlign w:val="center"/>
          </w:tcPr>
          <w:p w:rsidR="004A6B82" w:rsidRDefault="004A6B82" w:rsidP="00C52910">
            <w:pPr>
              <w:keepNext/>
              <w:rPr>
                <w:rFonts w:ascii="Arial" w:hAnsi="Arial" w:cs="Arial"/>
                <w:sz w:val="20"/>
                <w:szCs w:val="20"/>
              </w:rPr>
            </w:pPr>
          </w:p>
        </w:tc>
      </w:tr>
      <w:tr w:rsidR="004A6B82" w:rsidTr="004A6B82">
        <w:trPr>
          <w:trHeight w:val="255"/>
          <w:jc w:val="center"/>
        </w:trPr>
        <w:tc>
          <w:tcPr>
            <w:tcW w:w="992" w:type="dxa"/>
            <w:vMerge/>
            <w:tcBorders>
              <w:left w:val="single" w:sz="4" w:space="0" w:color="auto"/>
              <w:right w:val="single" w:sz="4" w:space="0" w:color="auto"/>
            </w:tcBorders>
            <w:shd w:val="clear" w:color="000000" w:fill="FF0000"/>
            <w:noWrap/>
            <w:vAlign w:val="center"/>
          </w:tcPr>
          <w:p w:rsidR="004A6B82" w:rsidRDefault="004A6B82" w:rsidP="00C52910">
            <w:pPr>
              <w:keepNext/>
              <w:rPr>
                <w:rFonts w:ascii="Arial" w:hAnsi="Arial" w:cs="Arial"/>
                <w:sz w:val="20"/>
                <w:szCs w:val="20"/>
              </w:rPr>
            </w:pPr>
          </w:p>
        </w:tc>
        <w:tc>
          <w:tcPr>
            <w:tcW w:w="1416" w:type="dxa"/>
            <w:vMerge/>
            <w:tcBorders>
              <w:left w:val="nil"/>
              <w:right w:val="single" w:sz="4" w:space="0" w:color="auto"/>
            </w:tcBorders>
            <w:shd w:val="clear" w:color="000000" w:fill="FF0000"/>
            <w:noWrap/>
            <w:vAlign w:val="center"/>
          </w:tcPr>
          <w:p w:rsidR="004A6B82" w:rsidRDefault="004A6B82" w:rsidP="00C52910">
            <w:pPr>
              <w:keepNext/>
              <w:rPr>
                <w:rFonts w:ascii="Arial" w:hAnsi="Arial" w:cs="Arial"/>
                <w:sz w:val="20"/>
                <w:szCs w:val="20"/>
              </w:rPr>
            </w:pPr>
          </w:p>
        </w:tc>
        <w:tc>
          <w:tcPr>
            <w:tcW w:w="1584" w:type="dxa"/>
            <w:vMerge/>
            <w:tcBorders>
              <w:left w:val="nil"/>
              <w:right w:val="single" w:sz="4" w:space="0" w:color="auto"/>
            </w:tcBorders>
            <w:shd w:val="clear" w:color="000000" w:fill="FF0000"/>
            <w:noWrap/>
            <w:vAlign w:val="center"/>
          </w:tcPr>
          <w:p w:rsidR="004A6B82" w:rsidRDefault="004A6B82" w:rsidP="00C52910">
            <w:pPr>
              <w:keepNext/>
              <w:rPr>
                <w:rFonts w:ascii="Arial" w:hAnsi="Arial" w:cs="Arial"/>
                <w:sz w:val="20"/>
                <w:szCs w:val="20"/>
              </w:rPr>
            </w:pPr>
          </w:p>
        </w:tc>
        <w:tc>
          <w:tcPr>
            <w:tcW w:w="1519" w:type="dxa"/>
            <w:tcBorders>
              <w:top w:val="single" w:sz="4" w:space="0" w:color="auto"/>
              <w:left w:val="nil"/>
              <w:bottom w:val="single" w:sz="4" w:space="0" w:color="auto"/>
              <w:right w:val="single" w:sz="4" w:space="0" w:color="auto"/>
            </w:tcBorders>
            <w:shd w:val="clear" w:color="000000" w:fill="FF0000"/>
          </w:tcPr>
          <w:p w:rsidR="004A6B82" w:rsidRPr="006C022B" w:rsidRDefault="004A6B82" w:rsidP="00C52910">
            <w:pPr>
              <w:keepNext/>
            </w:pPr>
            <w:r>
              <w:t>R</w:t>
            </w:r>
            <w:r w:rsidRPr="006C022B">
              <w:t>6</w:t>
            </w:r>
          </w:p>
        </w:tc>
        <w:tc>
          <w:tcPr>
            <w:tcW w:w="2225" w:type="dxa"/>
            <w:tcBorders>
              <w:top w:val="single" w:sz="4" w:space="0" w:color="auto"/>
              <w:left w:val="nil"/>
              <w:bottom w:val="single" w:sz="4" w:space="0" w:color="auto"/>
              <w:right w:val="single" w:sz="4" w:space="0" w:color="auto"/>
            </w:tcBorders>
            <w:shd w:val="clear" w:color="000000" w:fill="FF0000"/>
            <w:vAlign w:val="center"/>
          </w:tcPr>
          <w:p w:rsidR="004A6B82" w:rsidRDefault="004A6B82" w:rsidP="00C52910">
            <w:pPr>
              <w:keepNext/>
              <w:rPr>
                <w:rFonts w:ascii="Arial" w:hAnsi="Arial" w:cs="Arial"/>
                <w:sz w:val="20"/>
                <w:szCs w:val="20"/>
              </w:rPr>
            </w:pPr>
          </w:p>
        </w:tc>
      </w:tr>
      <w:tr w:rsidR="004A6B82" w:rsidTr="004A6B82">
        <w:trPr>
          <w:trHeight w:val="255"/>
          <w:jc w:val="center"/>
        </w:trPr>
        <w:tc>
          <w:tcPr>
            <w:tcW w:w="992" w:type="dxa"/>
            <w:vMerge/>
            <w:tcBorders>
              <w:left w:val="single" w:sz="4" w:space="0" w:color="auto"/>
              <w:right w:val="single" w:sz="4" w:space="0" w:color="auto"/>
            </w:tcBorders>
            <w:shd w:val="clear" w:color="000000" w:fill="FF0000"/>
            <w:noWrap/>
            <w:vAlign w:val="center"/>
          </w:tcPr>
          <w:p w:rsidR="004A6B82" w:rsidRDefault="004A6B82" w:rsidP="00C52910">
            <w:pPr>
              <w:keepNext/>
              <w:rPr>
                <w:rFonts w:ascii="Arial" w:hAnsi="Arial" w:cs="Arial"/>
                <w:sz w:val="20"/>
                <w:szCs w:val="20"/>
              </w:rPr>
            </w:pPr>
          </w:p>
        </w:tc>
        <w:tc>
          <w:tcPr>
            <w:tcW w:w="1416" w:type="dxa"/>
            <w:vMerge/>
            <w:tcBorders>
              <w:left w:val="nil"/>
              <w:right w:val="single" w:sz="4" w:space="0" w:color="auto"/>
            </w:tcBorders>
            <w:shd w:val="clear" w:color="000000" w:fill="FF0000"/>
            <w:noWrap/>
            <w:vAlign w:val="center"/>
          </w:tcPr>
          <w:p w:rsidR="004A6B82" w:rsidRDefault="004A6B82" w:rsidP="00C52910">
            <w:pPr>
              <w:keepNext/>
              <w:rPr>
                <w:rFonts w:ascii="Arial" w:hAnsi="Arial" w:cs="Arial"/>
                <w:sz w:val="20"/>
                <w:szCs w:val="20"/>
              </w:rPr>
            </w:pPr>
          </w:p>
        </w:tc>
        <w:tc>
          <w:tcPr>
            <w:tcW w:w="1584" w:type="dxa"/>
            <w:vMerge/>
            <w:tcBorders>
              <w:left w:val="nil"/>
              <w:right w:val="single" w:sz="4" w:space="0" w:color="auto"/>
            </w:tcBorders>
            <w:shd w:val="clear" w:color="000000" w:fill="FF0000"/>
            <w:noWrap/>
            <w:vAlign w:val="center"/>
          </w:tcPr>
          <w:p w:rsidR="004A6B82" w:rsidRDefault="004A6B82" w:rsidP="00C52910">
            <w:pPr>
              <w:keepNext/>
              <w:rPr>
                <w:rFonts w:ascii="Arial" w:hAnsi="Arial" w:cs="Arial"/>
                <w:sz w:val="20"/>
                <w:szCs w:val="20"/>
              </w:rPr>
            </w:pPr>
          </w:p>
        </w:tc>
        <w:tc>
          <w:tcPr>
            <w:tcW w:w="1519" w:type="dxa"/>
            <w:tcBorders>
              <w:top w:val="single" w:sz="4" w:space="0" w:color="auto"/>
              <w:left w:val="nil"/>
              <w:bottom w:val="single" w:sz="4" w:space="0" w:color="auto"/>
              <w:right w:val="single" w:sz="4" w:space="0" w:color="auto"/>
            </w:tcBorders>
            <w:shd w:val="clear" w:color="000000" w:fill="FF0000"/>
          </w:tcPr>
          <w:p w:rsidR="004A6B82" w:rsidRPr="006C022B" w:rsidRDefault="004A6B82" w:rsidP="00C52910">
            <w:pPr>
              <w:keepNext/>
            </w:pPr>
            <w:r>
              <w:t>R</w:t>
            </w:r>
            <w:r w:rsidRPr="006C022B">
              <w:t>7</w:t>
            </w:r>
          </w:p>
        </w:tc>
        <w:tc>
          <w:tcPr>
            <w:tcW w:w="2225" w:type="dxa"/>
            <w:tcBorders>
              <w:top w:val="single" w:sz="4" w:space="0" w:color="auto"/>
              <w:left w:val="nil"/>
              <w:bottom w:val="single" w:sz="4" w:space="0" w:color="auto"/>
              <w:right w:val="single" w:sz="4" w:space="0" w:color="auto"/>
            </w:tcBorders>
            <w:shd w:val="clear" w:color="000000" w:fill="FF0000"/>
            <w:vAlign w:val="center"/>
          </w:tcPr>
          <w:p w:rsidR="004A6B82" w:rsidRDefault="004A6B82" w:rsidP="00C52910">
            <w:pPr>
              <w:keepNext/>
              <w:rPr>
                <w:rFonts w:ascii="Arial" w:hAnsi="Arial" w:cs="Arial"/>
                <w:sz w:val="20"/>
                <w:szCs w:val="20"/>
              </w:rPr>
            </w:pPr>
          </w:p>
        </w:tc>
      </w:tr>
      <w:tr w:rsidR="004A6B82" w:rsidTr="004A6B82">
        <w:trPr>
          <w:trHeight w:val="255"/>
          <w:jc w:val="center"/>
        </w:trPr>
        <w:tc>
          <w:tcPr>
            <w:tcW w:w="992" w:type="dxa"/>
            <w:vMerge/>
            <w:tcBorders>
              <w:left w:val="single" w:sz="4" w:space="0" w:color="auto"/>
              <w:bottom w:val="single" w:sz="4" w:space="0" w:color="auto"/>
              <w:right w:val="single" w:sz="4" w:space="0" w:color="auto"/>
            </w:tcBorders>
            <w:shd w:val="clear" w:color="000000" w:fill="FF0000"/>
            <w:noWrap/>
            <w:vAlign w:val="center"/>
          </w:tcPr>
          <w:p w:rsidR="004A6B82" w:rsidRDefault="004A6B82" w:rsidP="00C52910">
            <w:pPr>
              <w:keepNext/>
              <w:rPr>
                <w:rFonts w:ascii="Arial" w:hAnsi="Arial" w:cs="Arial"/>
                <w:sz w:val="20"/>
                <w:szCs w:val="20"/>
              </w:rPr>
            </w:pPr>
          </w:p>
        </w:tc>
        <w:tc>
          <w:tcPr>
            <w:tcW w:w="1416" w:type="dxa"/>
            <w:vMerge/>
            <w:tcBorders>
              <w:left w:val="nil"/>
              <w:bottom w:val="single" w:sz="4" w:space="0" w:color="auto"/>
              <w:right w:val="single" w:sz="4" w:space="0" w:color="auto"/>
            </w:tcBorders>
            <w:shd w:val="clear" w:color="000000" w:fill="FF0000"/>
            <w:noWrap/>
            <w:vAlign w:val="center"/>
          </w:tcPr>
          <w:p w:rsidR="004A6B82" w:rsidRDefault="004A6B82" w:rsidP="00C52910">
            <w:pPr>
              <w:keepNext/>
              <w:rPr>
                <w:rFonts w:ascii="Arial" w:hAnsi="Arial" w:cs="Arial"/>
                <w:sz w:val="20"/>
                <w:szCs w:val="20"/>
              </w:rPr>
            </w:pPr>
          </w:p>
        </w:tc>
        <w:tc>
          <w:tcPr>
            <w:tcW w:w="1584" w:type="dxa"/>
            <w:vMerge/>
            <w:tcBorders>
              <w:left w:val="nil"/>
              <w:bottom w:val="single" w:sz="4" w:space="0" w:color="auto"/>
              <w:right w:val="single" w:sz="4" w:space="0" w:color="auto"/>
            </w:tcBorders>
            <w:shd w:val="clear" w:color="000000" w:fill="FF0000"/>
            <w:noWrap/>
            <w:vAlign w:val="center"/>
          </w:tcPr>
          <w:p w:rsidR="004A6B82" w:rsidRDefault="004A6B82" w:rsidP="00C52910">
            <w:pPr>
              <w:keepNext/>
              <w:rPr>
                <w:rFonts w:ascii="Arial" w:hAnsi="Arial" w:cs="Arial"/>
                <w:sz w:val="20"/>
                <w:szCs w:val="20"/>
              </w:rPr>
            </w:pPr>
          </w:p>
        </w:tc>
        <w:tc>
          <w:tcPr>
            <w:tcW w:w="1519" w:type="dxa"/>
            <w:tcBorders>
              <w:top w:val="single" w:sz="4" w:space="0" w:color="auto"/>
              <w:left w:val="nil"/>
              <w:bottom w:val="single" w:sz="4" w:space="0" w:color="auto"/>
              <w:right w:val="single" w:sz="4" w:space="0" w:color="auto"/>
            </w:tcBorders>
            <w:shd w:val="clear" w:color="000000" w:fill="FF0000"/>
          </w:tcPr>
          <w:p w:rsidR="004A6B82" w:rsidRDefault="004A6B82" w:rsidP="00C52910">
            <w:pPr>
              <w:keepNext/>
            </w:pPr>
            <w:r>
              <w:t>R</w:t>
            </w:r>
            <w:r w:rsidRPr="006C022B">
              <w:t>8</w:t>
            </w:r>
          </w:p>
        </w:tc>
        <w:tc>
          <w:tcPr>
            <w:tcW w:w="2225" w:type="dxa"/>
            <w:tcBorders>
              <w:top w:val="single" w:sz="4" w:space="0" w:color="auto"/>
              <w:left w:val="nil"/>
              <w:bottom w:val="single" w:sz="4" w:space="0" w:color="auto"/>
              <w:right w:val="single" w:sz="4" w:space="0" w:color="auto"/>
            </w:tcBorders>
            <w:shd w:val="clear" w:color="000000" w:fill="FF0000"/>
            <w:vAlign w:val="center"/>
          </w:tcPr>
          <w:p w:rsidR="004A6B82" w:rsidRDefault="004A6B82" w:rsidP="00C52910">
            <w:pPr>
              <w:keepNext/>
              <w:rPr>
                <w:rFonts w:ascii="Arial" w:hAnsi="Arial" w:cs="Arial"/>
                <w:sz w:val="20"/>
                <w:szCs w:val="20"/>
              </w:rPr>
            </w:pPr>
          </w:p>
        </w:tc>
      </w:tr>
      <w:tr w:rsidR="004A6B82" w:rsidTr="004A6B82">
        <w:trPr>
          <w:trHeight w:val="255"/>
          <w:jc w:val="center"/>
        </w:trPr>
        <w:tc>
          <w:tcPr>
            <w:tcW w:w="992" w:type="dxa"/>
            <w:vMerge w:val="restart"/>
            <w:tcBorders>
              <w:top w:val="nil"/>
              <w:left w:val="single" w:sz="4" w:space="0" w:color="auto"/>
              <w:right w:val="single" w:sz="4" w:space="0" w:color="auto"/>
            </w:tcBorders>
            <w:shd w:val="clear" w:color="000000" w:fill="00B0F0"/>
            <w:noWrap/>
            <w:vAlign w:val="center"/>
          </w:tcPr>
          <w:p w:rsidR="004A6B82" w:rsidRDefault="004A6B82" w:rsidP="00C52910">
            <w:pPr>
              <w:keepNext/>
              <w:rPr>
                <w:rFonts w:ascii="Arial" w:hAnsi="Arial" w:cs="Arial"/>
                <w:sz w:val="20"/>
                <w:szCs w:val="20"/>
              </w:rPr>
            </w:pPr>
          </w:p>
        </w:tc>
        <w:tc>
          <w:tcPr>
            <w:tcW w:w="1416" w:type="dxa"/>
            <w:vMerge w:val="restart"/>
            <w:tcBorders>
              <w:top w:val="nil"/>
              <w:left w:val="nil"/>
              <w:right w:val="single" w:sz="4" w:space="0" w:color="auto"/>
            </w:tcBorders>
            <w:shd w:val="clear" w:color="000000" w:fill="00B0F0"/>
            <w:noWrap/>
            <w:vAlign w:val="center"/>
          </w:tcPr>
          <w:p w:rsidR="004A6B82" w:rsidRDefault="004A6B82" w:rsidP="00C52910">
            <w:pPr>
              <w:keepNext/>
              <w:rPr>
                <w:rFonts w:ascii="Arial" w:hAnsi="Arial" w:cs="Arial"/>
                <w:sz w:val="20"/>
                <w:szCs w:val="20"/>
              </w:rPr>
            </w:pPr>
          </w:p>
        </w:tc>
        <w:tc>
          <w:tcPr>
            <w:tcW w:w="1584" w:type="dxa"/>
            <w:vMerge w:val="restart"/>
            <w:tcBorders>
              <w:top w:val="nil"/>
              <w:left w:val="nil"/>
              <w:right w:val="single" w:sz="4" w:space="0" w:color="auto"/>
            </w:tcBorders>
            <w:shd w:val="clear" w:color="000000" w:fill="00B0F0"/>
            <w:noWrap/>
            <w:vAlign w:val="center"/>
          </w:tcPr>
          <w:p w:rsidR="004A6B82" w:rsidRDefault="004A6B82" w:rsidP="00C52910">
            <w:pPr>
              <w:keepNext/>
              <w:rPr>
                <w:rFonts w:ascii="Arial" w:hAnsi="Arial" w:cs="Arial"/>
                <w:sz w:val="20"/>
                <w:szCs w:val="20"/>
              </w:rPr>
            </w:pPr>
          </w:p>
        </w:tc>
        <w:tc>
          <w:tcPr>
            <w:tcW w:w="1519" w:type="dxa"/>
            <w:tcBorders>
              <w:top w:val="single" w:sz="4" w:space="0" w:color="auto"/>
              <w:left w:val="nil"/>
              <w:bottom w:val="single" w:sz="4" w:space="0" w:color="auto"/>
              <w:right w:val="single" w:sz="4" w:space="0" w:color="auto"/>
            </w:tcBorders>
            <w:shd w:val="clear" w:color="000000" w:fill="00B0F0"/>
          </w:tcPr>
          <w:p w:rsidR="004A6B82" w:rsidRPr="00B5069E" w:rsidRDefault="004A6B82" w:rsidP="00C52910">
            <w:pPr>
              <w:keepNext/>
            </w:pPr>
            <w:r>
              <w:t>B</w:t>
            </w:r>
            <w:r w:rsidRPr="00B5069E">
              <w:t>1</w:t>
            </w:r>
          </w:p>
        </w:tc>
        <w:tc>
          <w:tcPr>
            <w:tcW w:w="2225" w:type="dxa"/>
            <w:tcBorders>
              <w:top w:val="single" w:sz="4" w:space="0" w:color="auto"/>
              <w:left w:val="nil"/>
              <w:bottom w:val="single" w:sz="4" w:space="0" w:color="auto"/>
              <w:right w:val="single" w:sz="4" w:space="0" w:color="auto"/>
            </w:tcBorders>
            <w:shd w:val="clear" w:color="000000" w:fill="00B0F0"/>
            <w:vAlign w:val="center"/>
          </w:tcPr>
          <w:p w:rsidR="004A6B82" w:rsidRDefault="004A6B82" w:rsidP="00C52910">
            <w:pPr>
              <w:keepNext/>
              <w:rPr>
                <w:rFonts w:ascii="Arial" w:hAnsi="Arial" w:cs="Arial"/>
                <w:sz w:val="20"/>
                <w:szCs w:val="20"/>
              </w:rPr>
            </w:pPr>
          </w:p>
        </w:tc>
      </w:tr>
      <w:tr w:rsidR="004A6B82" w:rsidTr="004A6B82">
        <w:trPr>
          <w:trHeight w:val="255"/>
          <w:jc w:val="center"/>
        </w:trPr>
        <w:tc>
          <w:tcPr>
            <w:tcW w:w="992" w:type="dxa"/>
            <w:vMerge/>
            <w:tcBorders>
              <w:left w:val="single" w:sz="4" w:space="0" w:color="auto"/>
              <w:right w:val="single" w:sz="4" w:space="0" w:color="auto"/>
            </w:tcBorders>
            <w:shd w:val="clear" w:color="000000" w:fill="00B0F0"/>
            <w:noWrap/>
            <w:vAlign w:val="center"/>
          </w:tcPr>
          <w:p w:rsidR="004A6B82" w:rsidRDefault="004A6B82" w:rsidP="00C52910">
            <w:pPr>
              <w:keepNext/>
              <w:rPr>
                <w:rFonts w:ascii="Arial" w:hAnsi="Arial" w:cs="Arial"/>
                <w:sz w:val="20"/>
                <w:szCs w:val="20"/>
              </w:rPr>
            </w:pPr>
          </w:p>
        </w:tc>
        <w:tc>
          <w:tcPr>
            <w:tcW w:w="1416" w:type="dxa"/>
            <w:vMerge/>
            <w:tcBorders>
              <w:left w:val="nil"/>
              <w:right w:val="single" w:sz="4" w:space="0" w:color="auto"/>
            </w:tcBorders>
            <w:shd w:val="clear" w:color="000000" w:fill="00B0F0"/>
            <w:noWrap/>
            <w:vAlign w:val="center"/>
          </w:tcPr>
          <w:p w:rsidR="004A6B82" w:rsidRDefault="004A6B82" w:rsidP="00C52910">
            <w:pPr>
              <w:keepNext/>
              <w:rPr>
                <w:rFonts w:ascii="Arial" w:hAnsi="Arial" w:cs="Arial"/>
                <w:sz w:val="20"/>
                <w:szCs w:val="20"/>
              </w:rPr>
            </w:pPr>
          </w:p>
        </w:tc>
        <w:tc>
          <w:tcPr>
            <w:tcW w:w="1584" w:type="dxa"/>
            <w:vMerge/>
            <w:tcBorders>
              <w:left w:val="nil"/>
              <w:right w:val="single" w:sz="4" w:space="0" w:color="auto"/>
            </w:tcBorders>
            <w:shd w:val="clear" w:color="000000" w:fill="00B0F0"/>
            <w:noWrap/>
            <w:vAlign w:val="center"/>
          </w:tcPr>
          <w:p w:rsidR="004A6B82" w:rsidRDefault="004A6B82" w:rsidP="00C52910">
            <w:pPr>
              <w:keepNext/>
              <w:rPr>
                <w:rFonts w:ascii="Arial" w:hAnsi="Arial" w:cs="Arial"/>
                <w:sz w:val="20"/>
                <w:szCs w:val="20"/>
              </w:rPr>
            </w:pPr>
          </w:p>
        </w:tc>
        <w:tc>
          <w:tcPr>
            <w:tcW w:w="1519" w:type="dxa"/>
            <w:tcBorders>
              <w:top w:val="single" w:sz="4" w:space="0" w:color="auto"/>
              <w:left w:val="nil"/>
              <w:bottom w:val="single" w:sz="4" w:space="0" w:color="auto"/>
              <w:right w:val="single" w:sz="4" w:space="0" w:color="auto"/>
            </w:tcBorders>
            <w:shd w:val="clear" w:color="000000" w:fill="00B0F0"/>
          </w:tcPr>
          <w:p w:rsidR="004A6B82" w:rsidRPr="00B5069E" w:rsidRDefault="004A6B82" w:rsidP="00C52910">
            <w:pPr>
              <w:keepNext/>
            </w:pPr>
            <w:r>
              <w:t>B</w:t>
            </w:r>
            <w:r w:rsidRPr="00B5069E">
              <w:t>2</w:t>
            </w:r>
          </w:p>
        </w:tc>
        <w:tc>
          <w:tcPr>
            <w:tcW w:w="2225" w:type="dxa"/>
            <w:tcBorders>
              <w:top w:val="single" w:sz="4" w:space="0" w:color="auto"/>
              <w:left w:val="nil"/>
              <w:bottom w:val="single" w:sz="4" w:space="0" w:color="auto"/>
              <w:right w:val="single" w:sz="4" w:space="0" w:color="auto"/>
            </w:tcBorders>
            <w:shd w:val="clear" w:color="000000" w:fill="00B0F0"/>
            <w:vAlign w:val="center"/>
          </w:tcPr>
          <w:p w:rsidR="004A6B82" w:rsidRDefault="004A6B82" w:rsidP="00C52910">
            <w:pPr>
              <w:keepNext/>
              <w:rPr>
                <w:rFonts w:ascii="Arial" w:hAnsi="Arial" w:cs="Arial"/>
                <w:sz w:val="20"/>
                <w:szCs w:val="20"/>
              </w:rPr>
            </w:pPr>
          </w:p>
        </w:tc>
      </w:tr>
      <w:tr w:rsidR="004A6B82" w:rsidTr="004A6B82">
        <w:trPr>
          <w:trHeight w:val="255"/>
          <w:jc w:val="center"/>
        </w:trPr>
        <w:tc>
          <w:tcPr>
            <w:tcW w:w="992" w:type="dxa"/>
            <w:vMerge/>
            <w:tcBorders>
              <w:left w:val="single" w:sz="4" w:space="0" w:color="auto"/>
              <w:right w:val="single" w:sz="4" w:space="0" w:color="auto"/>
            </w:tcBorders>
            <w:shd w:val="clear" w:color="000000" w:fill="00B0F0"/>
            <w:noWrap/>
            <w:vAlign w:val="center"/>
          </w:tcPr>
          <w:p w:rsidR="004A6B82" w:rsidRDefault="004A6B82" w:rsidP="00C52910">
            <w:pPr>
              <w:keepNext/>
              <w:rPr>
                <w:rFonts w:ascii="Arial" w:hAnsi="Arial" w:cs="Arial"/>
                <w:sz w:val="20"/>
                <w:szCs w:val="20"/>
              </w:rPr>
            </w:pPr>
          </w:p>
        </w:tc>
        <w:tc>
          <w:tcPr>
            <w:tcW w:w="1416" w:type="dxa"/>
            <w:vMerge/>
            <w:tcBorders>
              <w:left w:val="nil"/>
              <w:right w:val="single" w:sz="4" w:space="0" w:color="auto"/>
            </w:tcBorders>
            <w:shd w:val="clear" w:color="000000" w:fill="00B0F0"/>
            <w:noWrap/>
            <w:vAlign w:val="center"/>
          </w:tcPr>
          <w:p w:rsidR="004A6B82" w:rsidRDefault="004A6B82" w:rsidP="00C52910">
            <w:pPr>
              <w:keepNext/>
              <w:rPr>
                <w:rFonts w:ascii="Arial" w:hAnsi="Arial" w:cs="Arial"/>
                <w:sz w:val="20"/>
                <w:szCs w:val="20"/>
              </w:rPr>
            </w:pPr>
          </w:p>
        </w:tc>
        <w:tc>
          <w:tcPr>
            <w:tcW w:w="1584" w:type="dxa"/>
            <w:vMerge/>
            <w:tcBorders>
              <w:left w:val="nil"/>
              <w:right w:val="single" w:sz="4" w:space="0" w:color="auto"/>
            </w:tcBorders>
            <w:shd w:val="clear" w:color="000000" w:fill="00B0F0"/>
            <w:noWrap/>
            <w:vAlign w:val="center"/>
          </w:tcPr>
          <w:p w:rsidR="004A6B82" w:rsidRDefault="004A6B82" w:rsidP="00C52910">
            <w:pPr>
              <w:keepNext/>
              <w:rPr>
                <w:rFonts w:ascii="Arial" w:hAnsi="Arial" w:cs="Arial"/>
                <w:sz w:val="20"/>
                <w:szCs w:val="20"/>
              </w:rPr>
            </w:pPr>
          </w:p>
        </w:tc>
        <w:tc>
          <w:tcPr>
            <w:tcW w:w="1519" w:type="dxa"/>
            <w:tcBorders>
              <w:top w:val="single" w:sz="4" w:space="0" w:color="auto"/>
              <w:left w:val="nil"/>
              <w:bottom w:val="single" w:sz="4" w:space="0" w:color="auto"/>
              <w:right w:val="single" w:sz="4" w:space="0" w:color="auto"/>
            </w:tcBorders>
            <w:shd w:val="clear" w:color="000000" w:fill="00B0F0"/>
          </w:tcPr>
          <w:p w:rsidR="004A6B82" w:rsidRPr="00B5069E" w:rsidRDefault="004A6B82" w:rsidP="00C52910">
            <w:pPr>
              <w:keepNext/>
            </w:pPr>
            <w:r>
              <w:t>B</w:t>
            </w:r>
            <w:r w:rsidRPr="00B5069E">
              <w:t>3</w:t>
            </w:r>
          </w:p>
        </w:tc>
        <w:tc>
          <w:tcPr>
            <w:tcW w:w="2225" w:type="dxa"/>
            <w:tcBorders>
              <w:top w:val="single" w:sz="4" w:space="0" w:color="auto"/>
              <w:left w:val="nil"/>
              <w:bottom w:val="single" w:sz="4" w:space="0" w:color="auto"/>
              <w:right w:val="single" w:sz="4" w:space="0" w:color="auto"/>
            </w:tcBorders>
            <w:shd w:val="clear" w:color="000000" w:fill="00B0F0"/>
            <w:vAlign w:val="center"/>
          </w:tcPr>
          <w:p w:rsidR="004A6B82" w:rsidRDefault="004A6B82" w:rsidP="00C52910">
            <w:pPr>
              <w:keepNext/>
              <w:rPr>
                <w:rFonts w:ascii="Arial" w:hAnsi="Arial" w:cs="Arial"/>
                <w:sz w:val="20"/>
                <w:szCs w:val="20"/>
              </w:rPr>
            </w:pPr>
          </w:p>
        </w:tc>
      </w:tr>
      <w:tr w:rsidR="004A6B82" w:rsidTr="004A6B82">
        <w:trPr>
          <w:trHeight w:val="255"/>
          <w:jc w:val="center"/>
        </w:trPr>
        <w:tc>
          <w:tcPr>
            <w:tcW w:w="992" w:type="dxa"/>
            <w:vMerge/>
            <w:tcBorders>
              <w:left w:val="single" w:sz="4" w:space="0" w:color="auto"/>
              <w:right w:val="single" w:sz="4" w:space="0" w:color="auto"/>
            </w:tcBorders>
            <w:shd w:val="clear" w:color="000000" w:fill="00B0F0"/>
            <w:noWrap/>
            <w:vAlign w:val="center"/>
          </w:tcPr>
          <w:p w:rsidR="004A6B82" w:rsidRDefault="004A6B82" w:rsidP="00C52910">
            <w:pPr>
              <w:keepNext/>
              <w:rPr>
                <w:rFonts w:ascii="Arial" w:hAnsi="Arial" w:cs="Arial"/>
                <w:sz w:val="20"/>
                <w:szCs w:val="20"/>
              </w:rPr>
            </w:pPr>
          </w:p>
        </w:tc>
        <w:tc>
          <w:tcPr>
            <w:tcW w:w="1416" w:type="dxa"/>
            <w:vMerge/>
            <w:tcBorders>
              <w:left w:val="nil"/>
              <w:right w:val="single" w:sz="4" w:space="0" w:color="auto"/>
            </w:tcBorders>
            <w:shd w:val="clear" w:color="000000" w:fill="00B0F0"/>
            <w:noWrap/>
            <w:vAlign w:val="center"/>
          </w:tcPr>
          <w:p w:rsidR="004A6B82" w:rsidRDefault="004A6B82" w:rsidP="00C52910">
            <w:pPr>
              <w:keepNext/>
              <w:rPr>
                <w:rFonts w:ascii="Arial" w:hAnsi="Arial" w:cs="Arial"/>
                <w:sz w:val="20"/>
                <w:szCs w:val="20"/>
              </w:rPr>
            </w:pPr>
          </w:p>
        </w:tc>
        <w:tc>
          <w:tcPr>
            <w:tcW w:w="1584" w:type="dxa"/>
            <w:vMerge/>
            <w:tcBorders>
              <w:left w:val="nil"/>
              <w:right w:val="single" w:sz="4" w:space="0" w:color="auto"/>
            </w:tcBorders>
            <w:shd w:val="clear" w:color="000000" w:fill="00B0F0"/>
            <w:noWrap/>
            <w:vAlign w:val="center"/>
          </w:tcPr>
          <w:p w:rsidR="004A6B82" w:rsidRDefault="004A6B82" w:rsidP="00C52910">
            <w:pPr>
              <w:keepNext/>
              <w:rPr>
                <w:rFonts w:ascii="Arial" w:hAnsi="Arial" w:cs="Arial"/>
                <w:sz w:val="20"/>
                <w:szCs w:val="20"/>
              </w:rPr>
            </w:pPr>
          </w:p>
        </w:tc>
        <w:tc>
          <w:tcPr>
            <w:tcW w:w="1519" w:type="dxa"/>
            <w:tcBorders>
              <w:top w:val="single" w:sz="4" w:space="0" w:color="auto"/>
              <w:left w:val="nil"/>
              <w:bottom w:val="single" w:sz="4" w:space="0" w:color="auto"/>
              <w:right w:val="single" w:sz="4" w:space="0" w:color="auto"/>
            </w:tcBorders>
            <w:shd w:val="clear" w:color="000000" w:fill="00B0F0"/>
          </w:tcPr>
          <w:p w:rsidR="004A6B82" w:rsidRPr="00B5069E" w:rsidRDefault="004A6B82" w:rsidP="00C52910">
            <w:pPr>
              <w:keepNext/>
            </w:pPr>
            <w:r>
              <w:t>B</w:t>
            </w:r>
            <w:r w:rsidRPr="00B5069E">
              <w:t>4</w:t>
            </w:r>
          </w:p>
        </w:tc>
        <w:tc>
          <w:tcPr>
            <w:tcW w:w="2225" w:type="dxa"/>
            <w:tcBorders>
              <w:top w:val="single" w:sz="4" w:space="0" w:color="auto"/>
              <w:left w:val="nil"/>
              <w:bottom w:val="single" w:sz="4" w:space="0" w:color="auto"/>
              <w:right w:val="single" w:sz="4" w:space="0" w:color="auto"/>
            </w:tcBorders>
            <w:shd w:val="clear" w:color="000000" w:fill="00B0F0"/>
            <w:vAlign w:val="center"/>
          </w:tcPr>
          <w:p w:rsidR="004A6B82" w:rsidRDefault="004A6B82" w:rsidP="00C52910">
            <w:pPr>
              <w:keepNext/>
              <w:rPr>
                <w:rFonts w:ascii="Arial" w:hAnsi="Arial" w:cs="Arial"/>
                <w:sz w:val="20"/>
                <w:szCs w:val="20"/>
              </w:rPr>
            </w:pPr>
          </w:p>
        </w:tc>
      </w:tr>
      <w:tr w:rsidR="004A6B82" w:rsidTr="004A6B82">
        <w:trPr>
          <w:trHeight w:val="255"/>
          <w:jc w:val="center"/>
        </w:trPr>
        <w:tc>
          <w:tcPr>
            <w:tcW w:w="992" w:type="dxa"/>
            <w:vMerge/>
            <w:tcBorders>
              <w:left w:val="single" w:sz="4" w:space="0" w:color="auto"/>
              <w:right w:val="single" w:sz="4" w:space="0" w:color="auto"/>
            </w:tcBorders>
            <w:shd w:val="clear" w:color="000000" w:fill="00B0F0"/>
            <w:noWrap/>
            <w:vAlign w:val="center"/>
          </w:tcPr>
          <w:p w:rsidR="004A6B82" w:rsidRDefault="004A6B82" w:rsidP="00C52910">
            <w:pPr>
              <w:keepNext/>
              <w:rPr>
                <w:rFonts w:ascii="Arial" w:hAnsi="Arial" w:cs="Arial"/>
                <w:sz w:val="20"/>
                <w:szCs w:val="20"/>
              </w:rPr>
            </w:pPr>
          </w:p>
        </w:tc>
        <w:tc>
          <w:tcPr>
            <w:tcW w:w="1416" w:type="dxa"/>
            <w:vMerge/>
            <w:tcBorders>
              <w:left w:val="nil"/>
              <w:right w:val="single" w:sz="4" w:space="0" w:color="auto"/>
            </w:tcBorders>
            <w:shd w:val="clear" w:color="000000" w:fill="00B0F0"/>
            <w:noWrap/>
            <w:vAlign w:val="center"/>
          </w:tcPr>
          <w:p w:rsidR="004A6B82" w:rsidRDefault="004A6B82" w:rsidP="00C52910">
            <w:pPr>
              <w:keepNext/>
              <w:rPr>
                <w:rFonts w:ascii="Arial" w:hAnsi="Arial" w:cs="Arial"/>
                <w:sz w:val="20"/>
                <w:szCs w:val="20"/>
              </w:rPr>
            </w:pPr>
          </w:p>
        </w:tc>
        <w:tc>
          <w:tcPr>
            <w:tcW w:w="1584" w:type="dxa"/>
            <w:vMerge/>
            <w:tcBorders>
              <w:left w:val="nil"/>
              <w:right w:val="single" w:sz="4" w:space="0" w:color="auto"/>
            </w:tcBorders>
            <w:shd w:val="clear" w:color="000000" w:fill="00B0F0"/>
            <w:noWrap/>
            <w:vAlign w:val="center"/>
          </w:tcPr>
          <w:p w:rsidR="004A6B82" w:rsidRDefault="004A6B82" w:rsidP="00C52910">
            <w:pPr>
              <w:keepNext/>
              <w:rPr>
                <w:rFonts w:ascii="Arial" w:hAnsi="Arial" w:cs="Arial"/>
                <w:sz w:val="20"/>
                <w:szCs w:val="20"/>
              </w:rPr>
            </w:pPr>
          </w:p>
        </w:tc>
        <w:tc>
          <w:tcPr>
            <w:tcW w:w="1519" w:type="dxa"/>
            <w:tcBorders>
              <w:top w:val="single" w:sz="4" w:space="0" w:color="auto"/>
              <w:left w:val="nil"/>
              <w:bottom w:val="single" w:sz="4" w:space="0" w:color="auto"/>
              <w:right w:val="single" w:sz="4" w:space="0" w:color="auto"/>
            </w:tcBorders>
            <w:shd w:val="clear" w:color="000000" w:fill="00B0F0"/>
          </w:tcPr>
          <w:p w:rsidR="004A6B82" w:rsidRPr="00B5069E" w:rsidRDefault="004A6B82" w:rsidP="00C52910">
            <w:pPr>
              <w:keepNext/>
            </w:pPr>
            <w:r>
              <w:t>B</w:t>
            </w:r>
            <w:r w:rsidRPr="00B5069E">
              <w:t>5</w:t>
            </w:r>
          </w:p>
        </w:tc>
        <w:tc>
          <w:tcPr>
            <w:tcW w:w="2225" w:type="dxa"/>
            <w:tcBorders>
              <w:top w:val="single" w:sz="4" w:space="0" w:color="auto"/>
              <w:left w:val="nil"/>
              <w:bottom w:val="single" w:sz="4" w:space="0" w:color="auto"/>
              <w:right w:val="single" w:sz="4" w:space="0" w:color="auto"/>
            </w:tcBorders>
            <w:shd w:val="clear" w:color="000000" w:fill="00B0F0"/>
            <w:vAlign w:val="center"/>
          </w:tcPr>
          <w:p w:rsidR="004A6B82" w:rsidRDefault="004A6B82" w:rsidP="00C52910">
            <w:pPr>
              <w:keepNext/>
              <w:rPr>
                <w:rFonts w:ascii="Arial" w:hAnsi="Arial" w:cs="Arial"/>
                <w:sz w:val="20"/>
                <w:szCs w:val="20"/>
              </w:rPr>
            </w:pPr>
          </w:p>
        </w:tc>
      </w:tr>
      <w:tr w:rsidR="004A6B82" w:rsidTr="004A6B82">
        <w:trPr>
          <w:trHeight w:val="255"/>
          <w:jc w:val="center"/>
        </w:trPr>
        <w:tc>
          <w:tcPr>
            <w:tcW w:w="992" w:type="dxa"/>
            <w:vMerge/>
            <w:tcBorders>
              <w:left w:val="single" w:sz="4" w:space="0" w:color="auto"/>
              <w:right w:val="single" w:sz="4" w:space="0" w:color="auto"/>
            </w:tcBorders>
            <w:shd w:val="clear" w:color="000000" w:fill="00B0F0"/>
            <w:noWrap/>
            <w:vAlign w:val="center"/>
          </w:tcPr>
          <w:p w:rsidR="004A6B82" w:rsidRDefault="004A6B82" w:rsidP="00C52910">
            <w:pPr>
              <w:keepNext/>
              <w:rPr>
                <w:rFonts w:ascii="Arial" w:hAnsi="Arial" w:cs="Arial"/>
                <w:sz w:val="20"/>
                <w:szCs w:val="20"/>
              </w:rPr>
            </w:pPr>
          </w:p>
        </w:tc>
        <w:tc>
          <w:tcPr>
            <w:tcW w:w="1416" w:type="dxa"/>
            <w:vMerge/>
            <w:tcBorders>
              <w:left w:val="nil"/>
              <w:right w:val="single" w:sz="4" w:space="0" w:color="auto"/>
            </w:tcBorders>
            <w:shd w:val="clear" w:color="000000" w:fill="00B0F0"/>
            <w:noWrap/>
            <w:vAlign w:val="center"/>
          </w:tcPr>
          <w:p w:rsidR="004A6B82" w:rsidRDefault="004A6B82" w:rsidP="00C52910">
            <w:pPr>
              <w:keepNext/>
              <w:rPr>
                <w:rFonts w:ascii="Arial" w:hAnsi="Arial" w:cs="Arial"/>
                <w:sz w:val="20"/>
                <w:szCs w:val="20"/>
              </w:rPr>
            </w:pPr>
          </w:p>
        </w:tc>
        <w:tc>
          <w:tcPr>
            <w:tcW w:w="1584" w:type="dxa"/>
            <w:vMerge/>
            <w:tcBorders>
              <w:left w:val="nil"/>
              <w:right w:val="single" w:sz="4" w:space="0" w:color="auto"/>
            </w:tcBorders>
            <w:shd w:val="clear" w:color="000000" w:fill="00B0F0"/>
            <w:noWrap/>
            <w:vAlign w:val="center"/>
          </w:tcPr>
          <w:p w:rsidR="004A6B82" w:rsidRDefault="004A6B82" w:rsidP="00C52910">
            <w:pPr>
              <w:keepNext/>
              <w:rPr>
                <w:rFonts w:ascii="Arial" w:hAnsi="Arial" w:cs="Arial"/>
                <w:sz w:val="20"/>
                <w:szCs w:val="20"/>
              </w:rPr>
            </w:pPr>
          </w:p>
        </w:tc>
        <w:tc>
          <w:tcPr>
            <w:tcW w:w="1519" w:type="dxa"/>
            <w:tcBorders>
              <w:top w:val="single" w:sz="4" w:space="0" w:color="auto"/>
              <w:left w:val="nil"/>
              <w:bottom w:val="single" w:sz="4" w:space="0" w:color="auto"/>
              <w:right w:val="single" w:sz="4" w:space="0" w:color="auto"/>
            </w:tcBorders>
            <w:shd w:val="clear" w:color="000000" w:fill="00B0F0"/>
          </w:tcPr>
          <w:p w:rsidR="004A6B82" w:rsidRPr="00B5069E" w:rsidRDefault="004A6B82" w:rsidP="00C52910">
            <w:pPr>
              <w:keepNext/>
            </w:pPr>
            <w:r>
              <w:t>B</w:t>
            </w:r>
            <w:r w:rsidRPr="00B5069E">
              <w:t>6</w:t>
            </w:r>
          </w:p>
        </w:tc>
        <w:tc>
          <w:tcPr>
            <w:tcW w:w="2225" w:type="dxa"/>
            <w:tcBorders>
              <w:top w:val="single" w:sz="4" w:space="0" w:color="auto"/>
              <w:left w:val="nil"/>
              <w:bottom w:val="single" w:sz="4" w:space="0" w:color="auto"/>
              <w:right w:val="single" w:sz="4" w:space="0" w:color="auto"/>
            </w:tcBorders>
            <w:shd w:val="clear" w:color="000000" w:fill="00B0F0"/>
            <w:vAlign w:val="center"/>
          </w:tcPr>
          <w:p w:rsidR="004A6B82" w:rsidRDefault="004A6B82" w:rsidP="00C52910">
            <w:pPr>
              <w:keepNext/>
              <w:rPr>
                <w:rFonts w:ascii="Arial" w:hAnsi="Arial" w:cs="Arial"/>
                <w:sz w:val="20"/>
                <w:szCs w:val="20"/>
              </w:rPr>
            </w:pPr>
          </w:p>
        </w:tc>
      </w:tr>
      <w:tr w:rsidR="004A6B82" w:rsidTr="004A6B82">
        <w:trPr>
          <w:trHeight w:val="255"/>
          <w:jc w:val="center"/>
        </w:trPr>
        <w:tc>
          <w:tcPr>
            <w:tcW w:w="992" w:type="dxa"/>
            <w:vMerge/>
            <w:tcBorders>
              <w:left w:val="single" w:sz="4" w:space="0" w:color="auto"/>
              <w:right w:val="single" w:sz="4" w:space="0" w:color="auto"/>
            </w:tcBorders>
            <w:shd w:val="clear" w:color="000000" w:fill="00B0F0"/>
            <w:noWrap/>
            <w:vAlign w:val="center"/>
          </w:tcPr>
          <w:p w:rsidR="004A6B82" w:rsidRDefault="004A6B82" w:rsidP="00C52910">
            <w:pPr>
              <w:keepNext/>
              <w:rPr>
                <w:rFonts w:ascii="Arial" w:hAnsi="Arial" w:cs="Arial"/>
                <w:sz w:val="20"/>
                <w:szCs w:val="20"/>
              </w:rPr>
            </w:pPr>
          </w:p>
        </w:tc>
        <w:tc>
          <w:tcPr>
            <w:tcW w:w="1416" w:type="dxa"/>
            <w:vMerge/>
            <w:tcBorders>
              <w:left w:val="nil"/>
              <w:right w:val="single" w:sz="4" w:space="0" w:color="auto"/>
            </w:tcBorders>
            <w:shd w:val="clear" w:color="000000" w:fill="00B0F0"/>
            <w:noWrap/>
            <w:vAlign w:val="center"/>
          </w:tcPr>
          <w:p w:rsidR="004A6B82" w:rsidRDefault="004A6B82" w:rsidP="00C52910">
            <w:pPr>
              <w:keepNext/>
              <w:rPr>
                <w:rFonts w:ascii="Arial" w:hAnsi="Arial" w:cs="Arial"/>
                <w:sz w:val="20"/>
                <w:szCs w:val="20"/>
              </w:rPr>
            </w:pPr>
          </w:p>
        </w:tc>
        <w:tc>
          <w:tcPr>
            <w:tcW w:w="1584" w:type="dxa"/>
            <w:vMerge/>
            <w:tcBorders>
              <w:left w:val="nil"/>
              <w:right w:val="single" w:sz="4" w:space="0" w:color="auto"/>
            </w:tcBorders>
            <w:shd w:val="clear" w:color="000000" w:fill="00B0F0"/>
            <w:noWrap/>
            <w:vAlign w:val="center"/>
          </w:tcPr>
          <w:p w:rsidR="004A6B82" w:rsidRDefault="004A6B82" w:rsidP="00C52910">
            <w:pPr>
              <w:keepNext/>
              <w:rPr>
                <w:rFonts w:ascii="Arial" w:hAnsi="Arial" w:cs="Arial"/>
                <w:sz w:val="20"/>
                <w:szCs w:val="20"/>
              </w:rPr>
            </w:pPr>
          </w:p>
        </w:tc>
        <w:tc>
          <w:tcPr>
            <w:tcW w:w="1519" w:type="dxa"/>
            <w:tcBorders>
              <w:top w:val="single" w:sz="4" w:space="0" w:color="auto"/>
              <w:left w:val="nil"/>
              <w:bottom w:val="single" w:sz="4" w:space="0" w:color="auto"/>
              <w:right w:val="single" w:sz="4" w:space="0" w:color="auto"/>
            </w:tcBorders>
            <w:shd w:val="clear" w:color="000000" w:fill="00B0F0"/>
          </w:tcPr>
          <w:p w:rsidR="004A6B82" w:rsidRPr="00B5069E" w:rsidRDefault="004A6B82" w:rsidP="00C52910">
            <w:pPr>
              <w:keepNext/>
            </w:pPr>
            <w:r>
              <w:t>B</w:t>
            </w:r>
            <w:r w:rsidRPr="00B5069E">
              <w:t>7</w:t>
            </w:r>
          </w:p>
        </w:tc>
        <w:tc>
          <w:tcPr>
            <w:tcW w:w="2225" w:type="dxa"/>
            <w:tcBorders>
              <w:top w:val="single" w:sz="4" w:space="0" w:color="auto"/>
              <w:left w:val="nil"/>
              <w:bottom w:val="single" w:sz="4" w:space="0" w:color="auto"/>
              <w:right w:val="single" w:sz="4" w:space="0" w:color="auto"/>
            </w:tcBorders>
            <w:shd w:val="clear" w:color="000000" w:fill="00B0F0"/>
            <w:vAlign w:val="center"/>
          </w:tcPr>
          <w:p w:rsidR="004A6B82" w:rsidRDefault="004A6B82" w:rsidP="00C52910">
            <w:pPr>
              <w:keepNext/>
              <w:rPr>
                <w:rFonts w:ascii="Arial" w:hAnsi="Arial" w:cs="Arial"/>
                <w:sz w:val="20"/>
                <w:szCs w:val="20"/>
              </w:rPr>
            </w:pPr>
          </w:p>
        </w:tc>
      </w:tr>
      <w:tr w:rsidR="004A6B82" w:rsidTr="004A6B82">
        <w:trPr>
          <w:trHeight w:val="255"/>
          <w:jc w:val="center"/>
        </w:trPr>
        <w:tc>
          <w:tcPr>
            <w:tcW w:w="992" w:type="dxa"/>
            <w:vMerge/>
            <w:tcBorders>
              <w:left w:val="single" w:sz="4" w:space="0" w:color="auto"/>
              <w:bottom w:val="single" w:sz="4" w:space="0" w:color="auto"/>
              <w:right w:val="single" w:sz="4" w:space="0" w:color="auto"/>
            </w:tcBorders>
            <w:shd w:val="clear" w:color="000000" w:fill="00B0F0"/>
            <w:noWrap/>
            <w:vAlign w:val="center"/>
          </w:tcPr>
          <w:p w:rsidR="004A6B82" w:rsidRDefault="004A6B82" w:rsidP="00C52910">
            <w:pPr>
              <w:keepNext/>
              <w:rPr>
                <w:rFonts w:ascii="Arial" w:hAnsi="Arial" w:cs="Arial"/>
                <w:sz w:val="20"/>
                <w:szCs w:val="20"/>
              </w:rPr>
            </w:pPr>
          </w:p>
        </w:tc>
        <w:tc>
          <w:tcPr>
            <w:tcW w:w="1416" w:type="dxa"/>
            <w:vMerge/>
            <w:tcBorders>
              <w:left w:val="nil"/>
              <w:bottom w:val="single" w:sz="4" w:space="0" w:color="auto"/>
              <w:right w:val="single" w:sz="4" w:space="0" w:color="auto"/>
            </w:tcBorders>
            <w:shd w:val="clear" w:color="000000" w:fill="00B0F0"/>
            <w:noWrap/>
            <w:vAlign w:val="center"/>
          </w:tcPr>
          <w:p w:rsidR="004A6B82" w:rsidRDefault="004A6B82" w:rsidP="00C52910">
            <w:pPr>
              <w:keepNext/>
              <w:rPr>
                <w:rFonts w:ascii="Arial" w:hAnsi="Arial" w:cs="Arial"/>
                <w:sz w:val="20"/>
                <w:szCs w:val="20"/>
              </w:rPr>
            </w:pPr>
          </w:p>
        </w:tc>
        <w:tc>
          <w:tcPr>
            <w:tcW w:w="1584" w:type="dxa"/>
            <w:vMerge/>
            <w:tcBorders>
              <w:left w:val="nil"/>
              <w:bottom w:val="single" w:sz="4" w:space="0" w:color="auto"/>
              <w:right w:val="single" w:sz="4" w:space="0" w:color="auto"/>
            </w:tcBorders>
            <w:shd w:val="clear" w:color="000000" w:fill="00B0F0"/>
            <w:noWrap/>
            <w:vAlign w:val="center"/>
          </w:tcPr>
          <w:p w:rsidR="004A6B82" w:rsidRDefault="004A6B82" w:rsidP="00C52910">
            <w:pPr>
              <w:keepNext/>
              <w:rPr>
                <w:rFonts w:ascii="Arial" w:hAnsi="Arial" w:cs="Arial"/>
                <w:sz w:val="20"/>
                <w:szCs w:val="20"/>
              </w:rPr>
            </w:pPr>
          </w:p>
        </w:tc>
        <w:tc>
          <w:tcPr>
            <w:tcW w:w="1519" w:type="dxa"/>
            <w:tcBorders>
              <w:top w:val="single" w:sz="4" w:space="0" w:color="auto"/>
              <w:left w:val="nil"/>
              <w:bottom w:val="single" w:sz="4" w:space="0" w:color="auto"/>
              <w:right w:val="single" w:sz="4" w:space="0" w:color="auto"/>
            </w:tcBorders>
            <w:shd w:val="clear" w:color="000000" w:fill="00B0F0"/>
          </w:tcPr>
          <w:p w:rsidR="004A6B82" w:rsidRDefault="004A6B82" w:rsidP="00C52910">
            <w:pPr>
              <w:keepNext/>
            </w:pPr>
            <w:r>
              <w:t>B</w:t>
            </w:r>
            <w:r w:rsidRPr="00B5069E">
              <w:t>8</w:t>
            </w:r>
          </w:p>
        </w:tc>
        <w:tc>
          <w:tcPr>
            <w:tcW w:w="2225" w:type="dxa"/>
            <w:tcBorders>
              <w:top w:val="single" w:sz="4" w:space="0" w:color="auto"/>
              <w:left w:val="nil"/>
              <w:bottom w:val="single" w:sz="4" w:space="0" w:color="auto"/>
              <w:right w:val="single" w:sz="4" w:space="0" w:color="auto"/>
            </w:tcBorders>
            <w:shd w:val="clear" w:color="000000" w:fill="00B0F0"/>
            <w:vAlign w:val="center"/>
          </w:tcPr>
          <w:p w:rsidR="004A6B82" w:rsidRDefault="004A6B82" w:rsidP="00C52910">
            <w:pPr>
              <w:keepNext/>
              <w:rPr>
                <w:rFonts w:ascii="Arial" w:hAnsi="Arial" w:cs="Arial"/>
                <w:sz w:val="20"/>
                <w:szCs w:val="20"/>
              </w:rPr>
            </w:pPr>
          </w:p>
        </w:tc>
      </w:tr>
      <w:tr w:rsidR="004A6B82" w:rsidTr="004A6B82">
        <w:trPr>
          <w:trHeight w:val="255"/>
          <w:jc w:val="center"/>
        </w:trPr>
        <w:tc>
          <w:tcPr>
            <w:tcW w:w="992" w:type="dxa"/>
            <w:tcBorders>
              <w:top w:val="single" w:sz="4" w:space="0" w:color="auto"/>
              <w:left w:val="single" w:sz="4" w:space="0" w:color="auto"/>
              <w:bottom w:val="single" w:sz="4" w:space="0" w:color="auto"/>
              <w:right w:val="single" w:sz="4" w:space="0" w:color="auto"/>
            </w:tcBorders>
            <w:shd w:val="clear" w:color="000000" w:fill="00FF00"/>
            <w:noWrap/>
            <w:vAlign w:val="center"/>
          </w:tcPr>
          <w:p w:rsidR="004A6B82" w:rsidRDefault="004A6B82" w:rsidP="00C52910">
            <w:pPr>
              <w:keepNext/>
              <w:rPr>
                <w:rFonts w:ascii="Arial" w:hAnsi="Arial" w:cs="Arial"/>
                <w:sz w:val="20"/>
                <w:szCs w:val="20"/>
              </w:rPr>
            </w:pPr>
          </w:p>
        </w:tc>
        <w:tc>
          <w:tcPr>
            <w:tcW w:w="1416" w:type="dxa"/>
            <w:tcBorders>
              <w:top w:val="single" w:sz="4" w:space="0" w:color="auto"/>
              <w:left w:val="nil"/>
              <w:bottom w:val="single" w:sz="4" w:space="0" w:color="auto"/>
              <w:right w:val="single" w:sz="4" w:space="0" w:color="auto"/>
            </w:tcBorders>
            <w:shd w:val="clear" w:color="000000" w:fill="00FF00"/>
            <w:noWrap/>
            <w:vAlign w:val="center"/>
          </w:tcPr>
          <w:p w:rsidR="004A6B82" w:rsidRPr="00A730C7" w:rsidRDefault="004A6B82" w:rsidP="00C52910">
            <w:pPr>
              <w:keepNext/>
              <w:rPr>
                <w:rFonts w:ascii="Arial" w:hAnsi="Arial" w:cs="Arial"/>
                <w:sz w:val="20"/>
                <w:szCs w:val="20"/>
              </w:rPr>
            </w:pPr>
          </w:p>
        </w:tc>
        <w:tc>
          <w:tcPr>
            <w:tcW w:w="1584" w:type="dxa"/>
            <w:tcBorders>
              <w:top w:val="single" w:sz="4" w:space="0" w:color="auto"/>
              <w:left w:val="nil"/>
              <w:bottom w:val="single" w:sz="4" w:space="0" w:color="auto"/>
              <w:right w:val="single" w:sz="4" w:space="0" w:color="auto"/>
            </w:tcBorders>
            <w:shd w:val="clear" w:color="000000" w:fill="00FF00"/>
            <w:noWrap/>
            <w:vAlign w:val="center"/>
          </w:tcPr>
          <w:p w:rsidR="004A6B82" w:rsidRPr="00A730C7" w:rsidRDefault="004A6B82" w:rsidP="00C52910">
            <w:pPr>
              <w:keepNext/>
              <w:rPr>
                <w:rFonts w:ascii="Arial" w:hAnsi="Arial" w:cs="Arial"/>
                <w:sz w:val="20"/>
                <w:szCs w:val="20"/>
              </w:rPr>
            </w:pPr>
          </w:p>
        </w:tc>
        <w:tc>
          <w:tcPr>
            <w:tcW w:w="1519" w:type="dxa"/>
            <w:tcBorders>
              <w:top w:val="nil"/>
              <w:left w:val="nil"/>
              <w:bottom w:val="single" w:sz="4" w:space="0" w:color="auto"/>
              <w:right w:val="single" w:sz="4" w:space="0" w:color="auto"/>
            </w:tcBorders>
            <w:shd w:val="clear" w:color="000000" w:fill="00FF00"/>
            <w:vAlign w:val="center"/>
          </w:tcPr>
          <w:p w:rsidR="004A6B82" w:rsidRDefault="004A6B82" w:rsidP="00C52910">
            <w:pPr>
              <w:keepNext/>
              <w:rPr>
                <w:rFonts w:ascii="Arial" w:hAnsi="Arial" w:cs="Arial"/>
                <w:sz w:val="20"/>
                <w:szCs w:val="20"/>
              </w:rPr>
            </w:pPr>
            <w:r>
              <w:rPr>
                <w:rFonts w:ascii="Arial" w:hAnsi="Arial" w:cs="Arial"/>
                <w:sz w:val="20"/>
                <w:szCs w:val="20"/>
              </w:rPr>
              <w:t>G1</w:t>
            </w:r>
          </w:p>
        </w:tc>
        <w:tc>
          <w:tcPr>
            <w:tcW w:w="2225" w:type="dxa"/>
            <w:tcBorders>
              <w:top w:val="single" w:sz="4" w:space="0" w:color="auto"/>
              <w:left w:val="nil"/>
              <w:bottom w:val="single" w:sz="4" w:space="0" w:color="auto"/>
              <w:right w:val="single" w:sz="4" w:space="0" w:color="auto"/>
            </w:tcBorders>
            <w:shd w:val="clear" w:color="000000" w:fill="00FF00"/>
            <w:vAlign w:val="center"/>
          </w:tcPr>
          <w:p w:rsidR="004A6B82" w:rsidRDefault="004A6B82" w:rsidP="00C52910">
            <w:pPr>
              <w:keepNext/>
              <w:rPr>
                <w:rFonts w:ascii="Arial" w:hAnsi="Arial" w:cs="Arial"/>
                <w:sz w:val="20"/>
                <w:szCs w:val="20"/>
              </w:rPr>
            </w:pPr>
          </w:p>
        </w:tc>
      </w:tr>
      <w:tr w:rsidR="004A6B82" w:rsidTr="004A6B82">
        <w:trPr>
          <w:trHeight w:val="255"/>
          <w:jc w:val="center"/>
        </w:trPr>
        <w:tc>
          <w:tcPr>
            <w:tcW w:w="992" w:type="dxa"/>
            <w:tcBorders>
              <w:top w:val="single" w:sz="4" w:space="0" w:color="auto"/>
              <w:left w:val="single" w:sz="4" w:space="0" w:color="auto"/>
              <w:bottom w:val="single" w:sz="4" w:space="0" w:color="auto"/>
              <w:right w:val="single" w:sz="4" w:space="0" w:color="auto"/>
            </w:tcBorders>
            <w:shd w:val="clear" w:color="000000" w:fill="00FF00"/>
            <w:noWrap/>
            <w:vAlign w:val="center"/>
          </w:tcPr>
          <w:p w:rsidR="004A6B82" w:rsidRDefault="004A6B82" w:rsidP="00C52910">
            <w:pPr>
              <w:keepNext/>
              <w:rPr>
                <w:rFonts w:ascii="Arial" w:hAnsi="Arial" w:cs="Arial"/>
                <w:sz w:val="20"/>
                <w:szCs w:val="20"/>
              </w:rPr>
            </w:pPr>
          </w:p>
        </w:tc>
        <w:tc>
          <w:tcPr>
            <w:tcW w:w="1416" w:type="dxa"/>
            <w:tcBorders>
              <w:top w:val="single" w:sz="4" w:space="0" w:color="auto"/>
              <w:left w:val="nil"/>
              <w:bottom w:val="single" w:sz="4" w:space="0" w:color="auto"/>
              <w:right w:val="single" w:sz="4" w:space="0" w:color="auto"/>
            </w:tcBorders>
            <w:shd w:val="clear" w:color="000000" w:fill="00FF00"/>
            <w:noWrap/>
            <w:vAlign w:val="center"/>
          </w:tcPr>
          <w:p w:rsidR="004A6B82" w:rsidRPr="00A730C7" w:rsidRDefault="004A6B82" w:rsidP="00C52910">
            <w:pPr>
              <w:keepNext/>
              <w:rPr>
                <w:rFonts w:ascii="Arial" w:hAnsi="Arial" w:cs="Arial"/>
                <w:sz w:val="20"/>
                <w:szCs w:val="20"/>
              </w:rPr>
            </w:pPr>
          </w:p>
        </w:tc>
        <w:tc>
          <w:tcPr>
            <w:tcW w:w="1584" w:type="dxa"/>
            <w:tcBorders>
              <w:top w:val="single" w:sz="4" w:space="0" w:color="auto"/>
              <w:left w:val="nil"/>
              <w:bottom w:val="single" w:sz="4" w:space="0" w:color="auto"/>
              <w:right w:val="single" w:sz="4" w:space="0" w:color="auto"/>
            </w:tcBorders>
            <w:shd w:val="clear" w:color="000000" w:fill="00FF00"/>
            <w:noWrap/>
            <w:vAlign w:val="center"/>
          </w:tcPr>
          <w:p w:rsidR="004A6B82" w:rsidRPr="00A730C7" w:rsidRDefault="004A6B82" w:rsidP="00C52910">
            <w:pPr>
              <w:keepNext/>
              <w:rPr>
                <w:rFonts w:ascii="Arial" w:hAnsi="Arial" w:cs="Arial"/>
                <w:sz w:val="20"/>
                <w:szCs w:val="20"/>
              </w:rPr>
            </w:pPr>
          </w:p>
        </w:tc>
        <w:tc>
          <w:tcPr>
            <w:tcW w:w="1519" w:type="dxa"/>
            <w:tcBorders>
              <w:top w:val="nil"/>
              <w:left w:val="nil"/>
              <w:bottom w:val="single" w:sz="4" w:space="0" w:color="auto"/>
              <w:right w:val="single" w:sz="4" w:space="0" w:color="auto"/>
            </w:tcBorders>
            <w:shd w:val="clear" w:color="000000" w:fill="00FF00"/>
            <w:vAlign w:val="center"/>
          </w:tcPr>
          <w:p w:rsidR="004A6B82" w:rsidRDefault="004A6B82" w:rsidP="00C52910">
            <w:pPr>
              <w:keepNext/>
              <w:rPr>
                <w:rFonts w:ascii="Arial" w:hAnsi="Arial" w:cs="Arial"/>
                <w:sz w:val="20"/>
                <w:szCs w:val="20"/>
              </w:rPr>
            </w:pPr>
            <w:r>
              <w:rPr>
                <w:rFonts w:ascii="Arial" w:hAnsi="Arial" w:cs="Arial"/>
                <w:sz w:val="20"/>
                <w:szCs w:val="20"/>
              </w:rPr>
              <w:t>G2</w:t>
            </w:r>
          </w:p>
        </w:tc>
        <w:tc>
          <w:tcPr>
            <w:tcW w:w="2225" w:type="dxa"/>
            <w:tcBorders>
              <w:top w:val="single" w:sz="4" w:space="0" w:color="auto"/>
              <w:left w:val="nil"/>
              <w:bottom w:val="single" w:sz="4" w:space="0" w:color="auto"/>
              <w:right w:val="single" w:sz="4" w:space="0" w:color="auto"/>
            </w:tcBorders>
            <w:shd w:val="clear" w:color="000000" w:fill="00FF00"/>
            <w:vAlign w:val="center"/>
          </w:tcPr>
          <w:p w:rsidR="004A6B82" w:rsidRDefault="004A6B82" w:rsidP="00C52910">
            <w:pPr>
              <w:keepNext/>
              <w:rPr>
                <w:rFonts w:ascii="Arial" w:hAnsi="Arial" w:cs="Arial"/>
                <w:sz w:val="20"/>
                <w:szCs w:val="20"/>
              </w:rPr>
            </w:pPr>
          </w:p>
        </w:tc>
      </w:tr>
      <w:tr w:rsidR="004A6B82" w:rsidTr="004A6B82">
        <w:trPr>
          <w:trHeight w:val="255"/>
          <w:jc w:val="center"/>
        </w:trPr>
        <w:tc>
          <w:tcPr>
            <w:tcW w:w="992" w:type="dxa"/>
            <w:tcBorders>
              <w:top w:val="single" w:sz="4" w:space="0" w:color="auto"/>
              <w:left w:val="single" w:sz="4" w:space="0" w:color="auto"/>
              <w:bottom w:val="single" w:sz="4" w:space="0" w:color="auto"/>
              <w:right w:val="single" w:sz="4" w:space="0" w:color="auto"/>
            </w:tcBorders>
            <w:shd w:val="clear" w:color="000000" w:fill="00FF00"/>
            <w:noWrap/>
            <w:vAlign w:val="center"/>
          </w:tcPr>
          <w:p w:rsidR="004A6B82" w:rsidRDefault="004A6B82" w:rsidP="00C52910">
            <w:pPr>
              <w:keepNext/>
              <w:rPr>
                <w:rFonts w:ascii="Arial" w:hAnsi="Arial" w:cs="Arial"/>
                <w:sz w:val="20"/>
                <w:szCs w:val="20"/>
              </w:rPr>
            </w:pPr>
          </w:p>
        </w:tc>
        <w:tc>
          <w:tcPr>
            <w:tcW w:w="1416" w:type="dxa"/>
            <w:tcBorders>
              <w:top w:val="single" w:sz="4" w:space="0" w:color="auto"/>
              <w:left w:val="nil"/>
              <w:bottom w:val="single" w:sz="4" w:space="0" w:color="auto"/>
              <w:right w:val="single" w:sz="4" w:space="0" w:color="auto"/>
            </w:tcBorders>
            <w:shd w:val="clear" w:color="000000" w:fill="00FF00"/>
            <w:noWrap/>
            <w:vAlign w:val="center"/>
          </w:tcPr>
          <w:p w:rsidR="004A6B82" w:rsidRPr="00A730C7" w:rsidRDefault="004A6B82" w:rsidP="00C52910">
            <w:pPr>
              <w:keepNext/>
              <w:rPr>
                <w:rFonts w:ascii="Arial" w:hAnsi="Arial" w:cs="Arial"/>
                <w:sz w:val="20"/>
                <w:szCs w:val="20"/>
              </w:rPr>
            </w:pPr>
          </w:p>
        </w:tc>
        <w:tc>
          <w:tcPr>
            <w:tcW w:w="1584" w:type="dxa"/>
            <w:tcBorders>
              <w:top w:val="single" w:sz="4" w:space="0" w:color="auto"/>
              <w:left w:val="nil"/>
              <w:bottom w:val="single" w:sz="4" w:space="0" w:color="auto"/>
              <w:right w:val="single" w:sz="4" w:space="0" w:color="auto"/>
            </w:tcBorders>
            <w:shd w:val="clear" w:color="000000" w:fill="00FF00"/>
            <w:noWrap/>
            <w:vAlign w:val="center"/>
          </w:tcPr>
          <w:p w:rsidR="004A6B82" w:rsidRPr="00A730C7" w:rsidRDefault="004A6B82" w:rsidP="00C52910">
            <w:pPr>
              <w:keepNext/>
              <w:rPr>
                <w:rFonts w:ascii="Arial" w:hAnsi="Arial" w:cs="Arial"/>
                <w:sz w:val="20"/>
                <w:szCs w:val="20"/>
              </w:rPr>
            </w:pPr>
          </w:p>
        </w:tc>
        <w:tc>
          <w:tcPr>
            <w:tcW w:w="1519" w:type="dxa"/>
            <w:tcBorders>
              <w:top w:val="nil"/>
              <w:left w:val="nil"/>
              <w:bottom w:val="single" w:sz="4" w:space="0" w:color="auto"/>
              <w:right w:val="single" w:sz="4" w:space="0" w:color="auto"/>
            </w:tcBorders>
            <w:shd w:val="clear" w:color="000000" w:fill="00FF00"/>
            <w:vAlign w:val="center"/>
          </w:tcPr>
          <w:p w:rsidR="004A6B82" w:rsidRDefault="004A6B82" w:rsidP="00C52910">
            <w:pPr>
              <w:keepNext/>
              <w:rPr>
                <w:rFonts w:ascii="Arial" w:hAnsi="Arial" w:cs="Arial"/>
                <w:sz w:val="20"/>
                <w:szCs w:val="20"/>
              </w:rPr>
            </w:pPr>
            <w:r>
              <w:rPr>
                <w:rFonts w:ascii="Arial" w:hAnsi="Arial" w:cs="Arial"/>
                <w:sz w:val="20"/>
                <w:szCs w:val="20"/>
              </w:rPr>
              <w:t>G3</w:t>
            </w:r>
          </w:p>
        </w:tc>
        <w:tc>
          <w:tcPr>
            <w:tcW w:w="2225" w:type="dxa"/>
            <w:tcBorders>
              <w:top w:val="single" w:sz="4" w:space="0" w:color="auto"/>
              <w:left w:val="nil"/>
              <w:bottom w:val="single" w:sz="4" w:space="0" w:color="auto"/>
              <w:right w:val="single" w:sz="4" w:space="0" w:color="auto"/>
            </w:tcBorders>
            <w:shd w:val="clear" w:color="000000" w:fill="00FF00"/>
            <w:vAlign w:val="center"/>
          </w:tcPr>
          <w:p w:rsidR="004A6B82" w:rsidRDefault="004A6B82" w:rsidP="00C52910">
            <w:pPr>
              <w:keepNext/>
              <w:rPr>
                <w:rFonts w:ascii="Arial" w:hAnsi="Arial" w:cs="Arial"/>
                <w:sz w:val="20"/>
                <w:szCs w:val="20"/>
              </w:rPr>
            </w:pPr>
          </w:p>
        </w:tc>
      </w:tr>
      <w:tr w:rsidR="004A6B82" w:rsidTr="004A6B82">
        <w:trPr>
          <w:trHeight w:val="255"/>
          <w:jc w:val="center"/>
        </w:trPr>
        <w:tc>
          <w:tcPr>
            <w:tcW w:w="992" w:type="dxa"/>
            <w:tcBorders>
              <w:top w:val="single" w:sz="4" w:space="0" w:color="auto"/>
              <w:left w:val="single" w:sz="4" w:space="0" w:color="auto"/>
              <w:bottom w:val="single" w:sz="4" w:space="0" w:color="auto"/>
              <w:right w:val="single" w:sz="4" w:space="0" w:color="auto"/>
            </w:tcBorders>
            <w:shd w:val="clear" w:color="000000" w:fill="00FF00"/>
            <w:noWrap/>
            <w:vAlign w:val="center"/>
          </w:tcPr>
          <w:p w:rsidR="004A6B82" w:rsidRDefault="004A6B82" w:rsidP="00C52910">
            <w:pPr>
              <w:keepNext/>
              <w:rPr>
                <w:rFonts w:ascii="Arial" w:hAnsi="Arial" w:cs="Arial"/>
                <w:sz w:val="20"/>
                <w:szCs w:val="20"/>
              </w:rPr>
            </w:pPr>
          </w:p>
        </w:tc>
        <w:tc>
          <w:tcPr>
            <w:tcW w:w="1416" w:type="dxa"/>
            <w:tcBorders>
              <w:top w:val="single" w:sz="4" w:space="0" w:color="auto"/>
              <w:left w:val="nil"/>
              <w:bottom w:val="single" w:sz="4" w:space="0" w:color="auto"/>
              <w:right w:val="single" w:sz="4" w:space="0" w:color="auto"/>
            </w:tcBorders>
            <w:shd w:val="clear" w:color="000000" w:fill="00FF00"/>
            <w:noWrap/>
            <w:vAlign w:val="center"/>
          </w:tcPr>
          <w:p w:rsidR="004A6B82" w:rsidRDefault="004A6B82" w:rsidP="00C52910">
            <w:pPr>
              <w:keepNext/>
              <w:rPr>
                <w:rFonts w:ascii="Arial" w:hAnsi="Arial" w:cs="Arial"/>
                <w:sz w:val="20"/>
                <w:szCs w:val="20"/>
              </w:rPr>
            </w:pPr>
          </w:p>
        </w:tc>
        <w:tc>
          <w:tcPr>
            <w:tcW w:w="1584" w:type="dxa"/>
            <w:tcBorders>
              <w:top w:val="single" w:sz="4" w:space="0" w:color="auto"/>
              <w:left w:val="nil"/>
              <w:bottom w:val="single" w:sz="4" w:space="0" w:color="auto"/>
              <w:right w:val="single" w:sz="4" w:space="0" w:color="auto"/>
            </w:tcBorders>
            <w:shd w:val="clear" w:color="000000" w:fill="00FF00"/>
            <w:noWrap/>
            <w:vAlign w:val="center"/>
          </w:tcPr>
          <w:p w:rsidR="004A6B82" w:rsidRDefault="004A6B82" w:rsidP="00C52910">
            <w:pPr>
              <w:keepNext/>
              <w:rPr>
                <w:rFonts w:ascii="Arial" w:hAnsi="Arial" w:cs="Arial"/>
                <w:sz w:val="20"/>
                <w:szCs w:val="20"/>
              </w:rPr>
            </w:pPr>
          </w:p>
        </w:tc>
        <w:tc>
          <w:tcPr>
            <w:tcW w:w="1519" w:type="dxa"/>
            <w:tcBorders>
              <w:top w:val="nil"/>
              <w:left w:val="nil"/>
              <w:bottom w:val="single" w:sz="4" w:space="0" w:color="auto"/>
              <w:right w:val="single" w:sz="4" w:space="0" w:color="auto"/>
            </w:tcBorders>
            <w:shd w:val="clear" w:color="000000" w:fill="00FF00"/>
            <w:vAlign w:val="center"/>
          </w:tcPr>
          <w:p w:rsidR="004A6B82" w:rsidRDefault="004A6B82" w:rsidP="00C52910">
            <w:pPr>
              <w:keepNext/>
              <w:rPr>
                <w:rFonts w:ascii="Arial" w:hAnsi="Arial" w:cs="Arial"/>
                <w:sz w:val="20"/>
                <w:szCs w:val="20"/>
              </w:rPr>
            </w:pPr>
            <w:r>
              <w:rPr>
                <w:rFonts w:ascii="Arial" w:hAnsi="Arial" w:cs="Arial"/>
                <w:sz w:val="20"/>
                <w:szCs w:val="20"/>
              </w:rPr>
              <w:t>G4</w:t>
            </w:r>
          </w:p>
        </w:tc>
        <w:tc>
          <w:tcPr>
            <w:tcW w:w="2225" w:type="dxa"/>
            <w:tcBorders>
              <w:top w:val="single" w:sz="4" w:space="0" w:color="auto"/>
              <w:left w:val="nil"/>
              <w:bottom w:val="single" w:sz="4" w:space="0" w:color="auto"/>
              <w:right w:val="single" w:sz="4" w:space="0" w:color="auto"/>
            </w:tcBorders>
            <w:shd w:val="clear" w:color="000000" w:fill="00FF00"/>
            <w:vAlign w:val="center"/>
          </w:tcPr>
          <w:p w:rsidR="004A6B82" w:rsidRDefault="004A6B82" w:rsidP="00C52910">
            <w:pPr>
              <w:keepNext/>
              <w:rPr>
                <w:rFonts w:ascii="Arial" w:hAnsi="Arial" w:cs="Arial"/>
                <w:sz w:val="20"/>
                <w:szCs w:val="20"/>
              </w:rPr>
            </w:pPr>
          </w:p>
        </w:tc>
      </w:tr>
      <w:tr w:rsidR="004A6B82" w:rsidTr="004A6B82">
        <w:trPr>
          <w:trHeight w:val="255"/>
          <w:jc w:val="center"/>
        </w:trPr>
        <w:tc>
          <w:tcPr>
            <w:tcW w:w="992" w:type="dxa"/>
            <w:tcBorders>
              <w:top w:val="single" w:sz="4" w:space="0" w:color="auto"/>
              <w:left w:val="single" w:sz="4" w:space="0" w:color="auto"/>
              <w:bottom w:val="single" w:sz="4" w:space="0" w:color="auto"/>
              <w:right w:val="single" w:sz="4" w:space="0" w:color="auto"/>
            </w:tcBorders>
            <w:shd w:val="clear" w:color="000000" w:fill="00FF00"/>
            <w:noWrap/>
            <w:vAlign w:val="center"/>
          </w:tcPr>
          <w:p w:rsidR="004A6B82" w:rsidRDefault="004A6B82" w:rsidP="00C52910">
            <w:pPr>
              <w:keepNext/>
              <w:rPr>
                <w:rFonts w:ascii="Arial" w:hAnsi="Arial" w:cs="Arial"/>
                <w:sz w:val="20"/>
                <w:szCs w:val="20"/>
              </w:rPr>
            </w:pPr>
          </w:p>
        </w:tc>
        <w:tc>
          <w:tcPr>
            <w:tcW w:w="1416" w:type="dxa"/>
            <w:tcBorders>
              <w:top w:val="single" w:sz="4" w:space="0" w:color="auto"/>
              <w:left w:val="nil"/>
              <w:bottom w:val="single" w:sz="4" w:space="0" w:color="auto"/>
              <w:right w:val="single" w:sz="4" w:space="0" w:color="auto"/>
            </w:tcBorders>
            <w:shd w:val="clear" w:color="000000" w:fill="00FF00"/>
            <w:noWrap/>
            <w:vAlign w:val="center"/>
          </w:tcPr>
          <w:p w:rsidR="004A6B82" w:rsidRDefault="004A6B82" w:rsidP="00C52910">
            <w:pPr>
              <w:keepNext/>
              <w:rPr>
                <w:rFonts w:ascii="Arial" w:hAnsi="Arial" w:cs="Arial"/>
                <w:sz w:val="20"/>
                <w:szCs w:val="20"/>
              </w:rPr>
            </w:pPr>
          </w:p>
        </w:tc>
        <w:tc>
          <w:tcPr>
            <w:tcW w:w="1584" w:type="dxa"/>
            <w:tcBorders>
              <w:top w:val="single" w:sz="4" w:space="0" w:color="auto"/>
              <w:left w:val="nil"/>
              <w:bottom w:val="single" w:sz="4" w:space="0" w:color="auto"/>
              <w:right w:val="single" w:sz="4" w:space="0" w:color="auto"/>
            </w:tcBorders>
            <w:shd w:val="clear" w:color="000000" w:fill="00FF00"/>
            <w:noWrap/>
            <w:vAlign w:val="center"/>
          </w:tcPr>
          <w:p w:rsidR="004A6B82" w:rsidRDefault="004A6B82" w:rsidP="00C52910">
            <w:pPr>
              <w:keepNext/>
              <w:rPr>
                <w:rFonts w:ascii="Arial" w:hAnsi="Arial" w:cs="Arial"/>
                <w:sz w:val="20"/>
                <w:szCs w:val="20"/>
              </w:rPr>
            </w:pPr>
          </w:p>
        </w:tc>
        <w:tc>
          <w:tcPr>
            <w:tcW w:w="1519" w:type="dxa"/>
            <w:tcBorders>
              <w:top w:val="nil"/>
              <w:left w:val="nil"/>
              <w:bottom w:val="single" w:sz="4" w:space="0" w:color="auto"/>
              <w:right w:val="single" w:sz="4" w:space="0" w:color="auto"/>
            </w:tcBorders>
            <w:shd w:val="clear" w:color="000000" w:fill="00FF00"/>
            <w:vAlign w:val="center"/>
          </w:tcPr>
          <w:p w:rsidR="004A6B82" w:rsidRDefault="004A6B82" w:rsidP="00C52910">
            <w:pPr>
              <w:keepNext/>
              <w:rPr>
                <w:rFonts w:ascii="Arial" w:hAnsi="Arial" w:cs="Arial"/>
                <w:sz w:val="20"/>
                <w:szCs w:val="20"/>
              </w:rPr>
            </w:pPr>
            <w:r>
              <w:rPr>
                <w:rFonts w:ascii="Arial" w:hAnsi="Arial" w:cs="Arial"/>
                <w:sz w:val="20"/>
                <w:szCs w:val="20"/>
              </w:rPr>
              <w:t>G5</w:t>
            </w:r>
          </w:p>
        </w:tc>
        <w:tc>
          <w:tcPr>
            <w:tcW w:w="2225" w:type="dxa"/>
            <w:tcBorders>
              <w:top w:val="single" w:sz="4" w:space="0" w:color="auto"/>
              <w:left w:val="nil"/>
              <w:bottom w:val="single" w:sz="4" w:space="0" w:color="auto"/>
              <w:right w:val="single" w:sz="4" w:space="0" w:color="auto"/>
            </w:tcBorders>
            <w:shd w:val="clear" w:color="000000" w:fill="00FF00"/>
            <w:vAlign w:val="center"/>
          </w:tcPr>
          <w:p w:rsidR="004A6B82" w:rsidRDefault="004A6B82" w:rsidP="00C52910">
            <w:pPr>
              <w:keepNext/>
              <w:rPr>
                <w:rFonts w:ascii="Arial" w:hAnsi="Arial" w:cs="Arial"/>
                <w:sz w:val="20"/>
                <w:szCs w:val="20"/>
              </w:rPr>
            </w:pPr>
          </w:p>
        </w:tc>
      </w:tr>
      <w:tr w:rsidR="004A6B82" w:rsidTr="004A6B82">
        <w:trPr>
          <w:trHeight w:val="255"/>
          <w:jc w:val="center"/>
        </w:trPr>
        <w:tc>
          <w:tcPr>
            <w:tcW w:w="992" w:type="dxa"/>
            <w:tcBorders>
              <w:top w:val="single" w:sz="4" w:space="0" w:color="auto"/>
              <w:left w:val="single" w:sz="4" w:space="0" w:color="auto"/>
              <w:bottom w:val="single" w:sz="4" w:space="0" w:color="auto"/>
              <w:right w:val="single" w:sz="4" w:space="0" w:color="auto"/>
            </w:tcBorders>
            <w:shd w:val="clear" w:color="000000" w:fill="00FF00"/>
            <w:noWrap/>
            <w:vAlign w:val="center"/>
          </w:tcPr>
          <w:p w:rsidR="004A6B82" w:rsidRDefault="004A6B82" w:rsidP="00C52910">
            <w:pPr>
              <w:keepNext/>
              <w:rPr>
                <w:rFonts w:ascii="Arial" w:hAnsi="Arial" w:cs="Arial"/>
                <w:sz w:val="20"/>
                <w:szCs w:val="20"/>
              </w:rPr>
            </w:pPr>
          </w:p>
        </w:tc>
        <w:tc>
          <w:tcPr>
            <w:tcW w:w="1416" w:type="dxa"/>
            <w:tcBorders>
              <w:top w:val="single" w:sz="4" w:space="0" w:color="auto"/>
              <w:left w:val="nil"/>
              <w:bottom w:val="single" w:sz="4" w:space="0" w:color="auto"/>
              <w:right w:val="single" w:sz="4" w:space="0" w:color="auto"/>
            </w:tcBorders>
            <w:shd w:val="clear" w:color="000000" w:fill="00FF00"/>
            <w:noWrap/>
            <w:vAlign w:val="center"/>
          </w:tcPr>
          <w:p w:rsidR="004A6B82" w:rsidRDefault="004A6B82" w:rsidP="00C52910">
            <w:pPr>
              <w:keepNext/>
              <w:rPr>
                <w:rFonts w:ascii="Arial" w:hAnsi="Arial" w:cs="Arial"/>
                <w:sz w:val="20"/>
                <w:szCs w:val="20"/>
              </w:rPr>
            </w:pPr>
          </w:p>
        </w:tc>
        <w:tc>
          <w:tcPr>
            <w:tcW w:w="1584" w:type="dxa"/>
            <w:tcBorders>
              <w:top w:val="single" w:sz="4" w:space="0" w:color="auto"/>
              <w:left w:val="nil"/>
              <w:bottom w:val="single" w:sz="4" w:space="0" w:color="auto"/>
              <w:right w:val="single" w:sz="4" w:space="0" w:color="auto"/>
            </w:tcBorders>
            <w:shd w:val="clear" w:color="000000" w:fill="00FF00"/>
            <w:noWrap/>
            <w:vAlign w:val="center"/>
          </w:tcPr>
          <w:p w:rsidR="004A6B82" w:rsidRDefault="004A6B82" w:rsidP="00C52910">
            <w:pPr>
              <w:keepNext/>
              <w:rPr>
                <w:rFonts w:ascii="Arial" w:hAnsi="Arial" w:cs="Arial"/>
                <w:sz w:val="20"/>
                <w:szCs w:val="20"/>
              </w:rPr>
            </w:pPr>
          </w:p>
        </w:tc>
        <w:tc>
          <w:tcPr>
            <w:tcW w:w="1519" w:type="dxa"/>
            <w:tcBorders>
              <w:top w:val="nil"/>
              <w:left w:val="nil"/>
              <w:bottom w:val="single" w:sz="4" w:space="0" w:color="auto"/>
              <w:right w:val="single" w:sz="4" w:space="0" w:color="auto"/>
            </w:tcBorders>
            <w:shd w:val="clear" w:color="000000" w:fill="00FF00"/>
            <w:vAlign w:val="center"/>
          </w:tcPr>
          <w:p w:rsidR="004A6B82" w:rsidRDefault="004A6B82" w:rsidP="00C52910">
            <w:pPr>
              <w:keepNext/>
              <w:rPr>
                <w:rFonts w:ascii="Arial" w:hAnsi="Arial" w:cs="Arial"/>
                <w:sz w:val="20"/>
                <w:szCs w:val="20"/>
              </w:rPr>
            </w:pPr>
            <w:r>
              <w:rPr>
                <w:rFonts w:ascii="Arial" w:hAnsi="Arial" w:cs="Arial"/>
                <w:sz w:val="20"/>
                <w:szCs w:val="20"/>
              </w:rPr>
              <w:t>G6</w:t>
            </w:r>
          </w:p>
        </w:tc>
        <w:tc>
          <w:tcPr>
            <w:tcW w:w="2225" w:type="dxa"/>
            <w:tcBorders>
              <w:top w:val="single" w:sz="4" w:space="0" w:color="auto"/>
              <w:left w:val="nil"/>
              <w:bottom w:val="single" w:sz="4" w:space="0" w:color="auto"/>
              <w:right w:val="single" w:sz="4" w:space="0" w:color="auto"/>
            </w:tcBorders>
            <w:shd w:val="clear" w:color="000000" w:fill="00FF00"/>
            <w:vAlign w:val="center"/>
          </w:tcPr>
          <w:p w:rsidR="004A6B82" w:rsidRDefault="004A6B82" w:rsidP="00C52910">
            <w:pPr>
              <w:keepNext/>
              <w:rPr>
                <w:rFonts w:ascii="Arial" w:hAnsi="Arial" w:cs="Arial"/>
                <w:sz w:val="20"/>
                <w:szCs w:val="20"/>
              </w:rPr>
            </w:pPr>
          </w:p>
        </w:tc>
      </w:tr>
      <w:tr w:rsidR="004A6B82" w:rsidTr="004A6B82">
        <w:trPr>
          <w:trHeight w:val="255"/>
          <w:jc w:val="center"/>
        </w:trPr>
        <w:tc>
          <w:tcPr>
            <w:tcW w:w="992" w:type="dxa"/>
            <w:tcBorders>
              <w:top w:val="single" w:sz="4" w:space="0" w:color="auto"/>
              <w:left w:val="single" w:sz="4" w:space="0" w:color="auto"/>
              <w:bottom w:val="single" w:sz="4" w:space="0" w:color="auto"/>
              <w:right w:val="single" w:sz="4" w:space="0" w:color="auto"/>
            </w:tcBorders>
            <w:shd w:val="clear" w:color="000000" w:fill="00FF00"/>
            <w:noWrap/>
            <w:vAlign w:val="center"/>
          </w:tcPr>
          <w:p w:rsidR="004A6B82" w:rsidRDefault="004A6B82" w:rsidP="00C52910">
            <w:pPr>
              <w:keepNext/>
              <w:rPr>
                <w:rFonts w:ascii="Arial" w:hAnsi="Arial" w:cs="Arial"/>
                <w:sz w:val="20"/>
                <w:szCs w:val="20"/>
              </w:rPr>
            </w:pPr>
          </w:p>
        </w:tc>
        <w:tc>
          <w:tcPr>
            <w:tcW w:w="1416" w:type="dxa"/>
            <w:tcBorders>
              <w:top w:val="single" w:sz="4" w:space="0" w:color="auto"/>
              <w:left w:val="nil"/>
              <w:bottom w:val="single" w:sz="4" w:space="0" w:color="auto"/>
              <w:right w:val="single" w:sz="4" w:space="0" w:color="auto"/>
            </w:tcBorders>
            <w:shd w:val="clear" w:color="000000" w:fill="00FF00"/>
            <w:noWrap/>
            <w:vAlign w:val="center"/>
          </w:tcPr>
          <w:p w:rsidR="004A6B82" w:rsidRDefault="004A6B82" w:rsidP="00C52910">
            <w:pPr>
              <w:keepNext/>
              <w:rPr>
                <w:rFonts w:ascii="Arial" w:hAnsi="Arial" w:cs="Arial"/>
                <w:sz w:val="20"/>
                <w:szCs w:val="20"/>
              </w:rPr>
            </w:pPr>
          </w:p>
        </w:tc>
        <w:tc>
          <w:tcPr>
            <w:tcW w:w="1584" w:type="dxa"/>
            <w:tcBorders>
              <w:top w:val="single" w:sz="4" w:space="0" w:color="auto"/>
              <w:left w:val="nil"/>
              <w:bottom w:val="single" w:sz="4" w:space="0" w:color="auto"/>
              <w:right w:val="single" w:sz="4" w:space="0" w:color="auto"/>
            </w:tcBorders>
            <w:shd w:val="clear" w:color="000000" w:fill="00FF00"/>
            <w:noWrap/>
            <w:vAlign w:val="center"/>
          </w:tcPr>
          <w:p w:rsidR="004A6B82" w:rsidRDefault="004A6B82" w:rsidP="00C52910">
            <w:pPr>
              <w:keepNext/>
              <w:rPr>
                <w:rFonts w:ascii="Arial" w:hAnsi="Arial" w:cs="Arial"/>
                <w:sz w:val="20"/>
                <w:szCs w:val="20"/>
              </w:rPr>
            </w:pPr>
          </w:p>
        </w:tc>
        <w:tc>
          <w:tcPr>
            <w:tcW w:w="1519" w:type="dxa"/>
            <w:tcBorders>
              <w:top w:val="nil"/>
              <w:left w:val="nil"/>
              <w:bottom w:val="single" w:sz="4" w:space="0" w:color="auto"/>
              <w:right w:val="single" w:sz="4" w:space="0" w:color="auto"/>
            </w:tcBorders>
            <w:shd w:val="clear" w:color="000000" w:fill="00FF00"/>
            <w:vAlign w:val="center"/>
          </w:tcPr>
          <w:p w:rsidR="004A6B82" w:rsidRDefault="004A6B82" w:rsidP="00C52910">
            <w:pPr>
              <w:keepNext/>
              <w:rPr>
                <w:rFonts w:ascii="Arial" w:hAnsi="Arial" w:cs="Arial"/>
                <w:sz w:val="20"/>
                <w:szCs w:val="20"/>
              </w:rPr>
            </w:pPr>
            <w:r>
              <w:rPr>
                <w:rFonts w:ascii="Arial" w:hAnsi="Arial" w:cs="Arial"/>
                <w:sz w:val="20"/>
                <w:szCs w:val="20"/>
              </w:rPr>
              <w:t>G7</w:t>
            </w:r>
          </w:p>
        </w:tc>
        <w:tc>
          <w:tcPr>
            <w:tcW w:w="2225" w:type="dxa"/>
            <w:tcBorders>
              <w:top w:val="single" w:sz="4" w:space="0" w:color="auto"/>
              <w:left w:val="nil"/>
              <w:bottom w:val="single" w:sz="4" w:space="0" w:color="auto"/>
              <w:right w:val="single" w:sz="4" w:space="0" w:color="auto"/>
            </w:tcBorders>
            <w:shd w:val="clear" w:color="000000" w:fill="00FF00"/>
            <w:vAlign w:val="center"/>
          </w:tcPr>
          <w:p w:rsidR="004A6B82" w:rsidRDefault="004A6B82" w:rsidP="00C52910">
            <w:pPr>
              <w:keepNext/>
              <w:rPr>
                <w:rFonts w:ascii="Arial" w:hAnsi="Arial" w:cs="Arial"/>
                <w:sz w:val="20"/>
                <w:szCs w:val="20"/>
              </w:rPr>
            </w:pPr>
          </w:p>
        </w:tc>
      </w:tr>
      <w:tr w:rsidR="004A6B82" w:rsidTr="004A6B82">
        <w:trPr>
          <w:trHeight w:val="255"/>
          <w:jc w:val="center"/>
        </w:trPr>
        <w:tc>
          <w:tcPr>
            <w:tcW w:w="992" w:type="dxa"/>
            <w:tcBorders>
              <w:top w:val="single" w:sz="4" w:space="0" w:color="auto"/>
              <w:left w:val="single" w:sz="4" w:space="0" w:color="auto"/>
              <w:bottom w:val="single" w:sz="4" w:space="0" w:color="auto"/>
              <w:right w:val="single" w:sz="4" w:space="0" w:color="auto"/>
            </w:tcBorders>
            <w:shd w:val="clear" w:color="000000" w:fill="00FF00"/>
            <w:noWrap/>
            <w:vAlign w:val="center"/>
          </w:tcPr>
          <w:p w:rsidR="004A6B82" w:rsidRDefault="004A6B82" w:rsidP="004B1627">
            <w:pPr>
              <w:keepNext/>
              <w:rPr>
                <w:rFonts w:ascii="Arial" w:hAnsi="Arial" w:cs="Arial"/>
                <w:sz w:val="20"/>
                <w:szCs w:val="20"/>
              </w:rPr>
            </w:pPr>
          </w:p>
        </w:tc>
        <w:tc>
          <w:tcPr>
            <w:tcW w:w="1416" w:type="dxa"/>
            <w:tcBorders>
              <w:top w:val="single" w:sz="4" w:space="0" w:color="auto"/>
              <w:left w:val="nil"/>
              <w:bottom w:val="single" w:sz="4" w:space="0" w:color="auto"/>
              <w:right w:val="single" w:sz="4" w:space="0" w:color="auto"/>
            </w:tcBorders>
            <w:shd w:val="clear" w:color="000000" w:fill="00FF00"/>
            <w:noWrap/>
            <w:vAlign w:val="center"/>
          </w:tcPr>
          <w:p w:rsidR="004A6B82" w:rsidRDefault="004A6B82" w:rsidP="004B1627">
            <w:pPr>
              <w:keepNext/>
              <w:rPr>
                <w:rFonts w:ascii="Arial" w:hAnsi="Arial" w:cs="Arial"/>
                <w:sz w:val="20"/>
                <w:szCs w:val="20"/>
              </w:rPr>
            </w:pPr>
          </w:p>
        </w:tc>
        <w:tc>
          <w:tcPr>
            <w:tcW w:w="1584" w:type="dxa"/>
            <w:tcBorders>
              <w:top w:val="single" w:sz="4" w:space="0" w:color="auto"/>
              <w:left w:val="nil"/>
              <w:bottom w:val="single" w:sz="4" w:space="0" w:color="auto"/>
              <w:right w:val="single" w:sz="4" w:space="0" w:color="auto"/>
            </w:tcBorders>
            <w:shd w:val="clear" w:color="000000" w:fill="00FF00"/>
            <w:noWrap/>
            <w:vAlign w:val="center"/>
          </w:tcPr>
          <w:p w:rsidR="004A6B82" w:rsidRDefault="004A6B82" w:rsidP="004B1627">
            <w:pPr>
              <w:keepNext/>
              <w:rPr>
                <w:rFonts w:ascii="Arial" w:hAnsi="Arial" w:cs="Arial"/>
                <w:sz w:val="20"/>
                <w:szCs w:val="20"/>
              </w:rPr>
            </w:pPr>
          </w:p>
        </w:tc>
        <w:tc>
          <w:tcPr>
            <w:tcW w:w="1519" w:type="dxa"/>
            <w:tcBorders>
              <w:top w:val="nil"/>
              <w:left w:val="nil"/>
              <w:bottom w:val="single" w:sz="4" w:space="0" w:color="auto"/>
              <w:right w:val="single" w:sz="4" w:space="0" w:color="auto"/>
            </w:tcBorders>
            <w:shd w:val="clear" w:color="000000" w:fill="00FF00"/>
            <w:vAlign w:val="center"/>
          </w:tcPr>
          <w:p w:rsidR="004A6B82" w:rsidRDefault="004A6B82" w:rsidP="004B1627">
            <w:pPr>
              <w:keepNext/>
              <w:rPr>
                <w:rFonts w:ascii="Arial" w:hAnsi="Arial" w:cs="Arial"/>
                <w:sz w:val="20"/>
                <w:szCs w:val="20"/>
              </w:rPr>
            </w:pPr>
            <w:r>
              <w:rPr>
                <w:rFonts w:ascii="Arial" w:hAnsi="Arial" w:cs="Arial"/>
                <w:sz w:val="20"/>
                <w:szCs w:val="20"/>
              </w:rPr>
              <w:t>G8</w:t>
            </w:r>
          </w:p>
        </w:tc>
        <w:tc>
          <w:tcPr>
            <w:tcW w:w="2225" w:type="dxa"/>
            <w:tcBorders>
              <w:top w:val="single" w:sz="4" w:space="0" w:color="auto"/>
              <w:left w:val="nil"/>
              <w:bottom w:val="single" w:sz="4" w:space="0" w:color="auto"/>
              <w:right w:val="single" w:sz="4" w:space="0" w:color="auto"/>
            </w:tcBorders>
            <w:shd w:val="clear" w:color="000000" w:fill="00FF00"/>
            <w:vAlign w:val="center"/>
          </w:tcPr>
          <w:p w:rsidR="004A6B82" w:rsidRDefault="004A6B82" w:rsidP="004B1627">
            <w:pPr>
              <w:keepNext/>
              <w:rPr>
                <w:rFonts w:ascii="Arial" w:hAnsi="Arial" w:cs="Arial"/>
                <w:sz w:val="20"/>
                <w:szCs w:val="20"/>
              </w:rPr>
            </w:pPr>
          </w:p>
        </w:tc>
      </w:tr>
    </w:tbl>
    <w:p w:rsidR="008560E8" w:rsidRDefault="008560E8" w:rsidP="008560E8">
      <w:pPr>
        <w:keepNext/>
      </w:pPr>
    </w:p>
    <w:p w:rsidR="0065651F" w:rsidRPr="00283843" w:rsidRDefault="0065651F" w:rsidP="0065651F">
      <w:pPr>
        <w:keepNext/>
        <w:rPr>
          <w:b/>
          <w:sz w:val="28"/>
          <w:szCs w:val="28"/>
        </w:rPr>
      </w:pPr>
      <w:r>
        <w:rPr>
          <w:b/>
          <w:sz w:val="28"/>
          <w:szCs w:val="28"/>
        </w:rPr>
        <w:t>Instructions</w:t>
      </w:r>
    </w:p>
    <w:p w:rsidR="00650092" w:rsidRDefault="00650092" w:rsidP="00650092">
      <w:pPr>
        <w:keepNext/>
      </w:pPr>
    </w:p>
    <w:p w:rsidR="00EE514A" w:rsidRDefault="006F29CC" w:rsidP="001E1602">
      <w:pPr>
        <w:keepNext/>
      </w:pPr>
      <w:r>
        <w:rPr>
          <w:i/>
        </w:rPr>
        <w:t>Material for teams</w:t>
      </w:r>
    </w:p>
    <w:p w:rsidR="001E1602" w:rsidRDefault="001E1602" w:rsidP="001E1602">
      <w:pPr>
        <w:keepNext/>
      </w:pPr>
    </w:p>
    <w:p w:rsidR="001E1602" w:rsidRDefault="001E1602" w:rsidP="001E1602">
      <w:pPr>
        <w:pStyle w:val="ListParagraph"/>
        <w:numPr>
          <w:ilvl w:val="0"/>
          <w:numId w:val="22"/>
        </w:numPr>
      </w:pPr>
      <w:r>
        <w:t xml:space="preserve">Selective petri dishes from </w:t>
      </w:r>
      <w:r w:rsidR="00D50047">
        <w:t xml:space="preserve">Session 2 </w:t>
      </w:r>
      <w:r w:rsidR="00C13A9F">
        <w:t>(</w:t>
      </w:r>
      <w:r w:rsidR="00973EB2">
        <w:t>some</w:t>
      </w:r>
      <w:r w:rsidR="00C13A9F">
        <w:t xml:space="preserve"> </w:t>
      </w:r>
      <w:r w:rsidR="001A0C0D">
        <w:t xml:space="preserve">will </w:t>
      </w:r>
      <w:r w:rsidR="00C13A9F">
        <w:t>have already been counted and either discarded</w:t>
      </w:r>
      <w:r w:rsidR="001A0C0D">
        <w:t xml:space="preserve"> because they were contaminated</w:t>
      </w:r>
      <w:r w:rsidR="00C13A9F">
        <w:t xml:space="preserve"> or set aside</w:t>
      </w:r>
      <w:r w:rsidR="00A952BC">
        <w:t xml:space="preserve"> for sequencing</w:t>
      </w:r>
      <w:r w:rsidR="00C13A9F">
        <w:t xml:space="preserve"> as explained </w:t>
      </w:r>
      <w:r w:rsidR="00D50047">
        <w:t>below</w:t>
      </w:r>
      <w:r w:rsidR="00C13A9F">
        <w:t>)</w:t>
      </w:r>
    </w:p>
    <w:p w:rsidR="00EF11B0" w:rsidRDefault="00D50047" w:rsidP="001E1602">
      <w:pPr>
        <w:pStyle w:val="ListParagraph"/>
        <w:numPr>
          <w:ilvl w:val="0"/>
          <w:numId w:val="22"/>
        </w:numPr>
      </w:pPr>
      <w:r>
        <w:t>Flat toothpicks</w:t>
      </w:r>
      <w:r w:rsidR="00EF11B0">
        <w:t xml:space="preserve"> for counting colonies</w:t>
      </w:r>
      <w:r w:rsidR="00C8117F">
        <w:t xml:space="preserve"> (for step 1 below)</w:t>
      </w:r>
    </w:p>
    <w:p w:rsidR="00973EB2" w:rsidRDefault="00973EB2" w:rsidP="001E1602">
      <w:pPr>
        <w:pStyle w:val="ListParagraph"/>
        <w:numPr>
          <w:ilvl w:val="0"/>
          <w:numId w:val="22"/>
        </w:numPr>
      </w:pPr>
      <w:r>
        <w:t>Table for entering colony counts</w:t>
      </w:r>
      <w:r w:rsidR="00C8117F">
        <w:t xml:space="preserve"> (for step 1 below)</w:t>
      </w:r>
    </w:p>
    <w:p w:rsidR="001E1602" w:rsidRDefault="00420622" w:rsidP="001E1602">
      <w:pPr>
        <w:pStyle w:val="ListParagraph"/>
        <w:numPr>
          <w:ilvl w:val="0"/>
          <w:numId w:val="22"/>
        </w:numPr>
      </w:pPr>
      <w:r>
        <w:t>Color-coded</w:t>
      </w:r>
      <w:r w:rsidR="00D0622C">
        <w:t>, labeled</w:t>
      </w:r>
      <w:r>
        <w:t xml:space="preserve"> </w:t>
      </w:r>
      <w:r w:rsidR="001E1602">
        <w:t>200-µl PCR tubes, each containing 30 µl 0.2% SDS</w:t>
      </w:r>
      <w:r w:rsidR="00D50047">
        <w:t xml:space="preserve"> detergent</w:t>
      </w:r>
      <w:r w:rsidR="00C8117F">
        <w:t xml:space="preserve"> (for step 2 below)</w:t>
      </w:r>
    </w:p>
    <w:p w:rsidR="001E1602" w:rsidRDefault="00420622" w:rsidP="001E1602">
      <w:pPr>
        <w:pStyle w:val="ListParagraph"/>
        <w:numPr>
          <w:ilvl w:val="0"/>
          <w:numId w:val="22"/>
        </w:numPr>
      </w:pPr>
      <w:r>
        <w:t>Color-coded, l</w:t>
      </w:r>
      <w:r w:rsidR="001E1602">
        <w:t xml:space="preserve">abeled 500-µl </w:t>
      </w:r>
      <w:proofErr w:type="spellStart"/>
      <w:r w:rsidR="001E1602">
        <w:t>microtubes</w:t>
      </w:r>
      <w:proofErr w:type="spellEnd"/>
      <w:r w:rsidR="001E1602">
        <w:t>, each containing 90 µl water</w:t>
      </w:r>
      <w:r w:rsidR="00C8117F">
        <w:t xml:space="preserve"> (for step 5 below)</w:t>
      </w:r>
    </w:p>
    <w:p w:rsidR="00EF11B0" w:rsidRDefault="00EF11B0" w:rsidP="001E1602">
      <w:pPr>
        <w:pStyle w:val="ListParagraph"/>
        <w:numPr>
          <w:ilvl w:val="0"/>
          <w:numId w:val="22"/>
        </w:numPr>
      </w:pPr>
      <w:r>
        <w:lastRenderedPageBreak/>
        <w:t>Color-coded, labeled empty 200-µl PCR tubes for the PCR amplifications</w:t>
      </w:r>
      <w:r w:rsidR="00C8117F">
        <w:t xml:space="preserve"> (for step 6 below)</w:t>
      </w:r>
    </w:p>
    <w:p w:rsidR="00DD3848" w:rsidRDefault="00DD3848" w:rsidP="001E1602">
      <w:pPr>
        <w:pStyle w:val="ListParagraph"/>
        <w:numPr>
          <w:ilvl w:val="0"/>
          <w:numId w:val="22"/>
        </w:numPr>
      </w:pPr>
      <w:r>
        <w:t xml:space="preserve">Color-coded, labeled empty 1.5-ml </w:t>
      </w:r>
      <w:proofErr w:type="spellStart"/>
      <w:r>
        <w:t>microtubes</w:t>
      </w:r>
      <w:proofErr w:type="spellEnd"/>
      <w:r>
        <w:t xml:space="preserve"> for </w:t>
      </w:r>
      <w:r w:rsidR="001A0C0D">
        <w:t>storing</w:t>
      </w:r>
      <w:r>
        <w:t xml:space="preserve"> the final PCR products (</w:t>
      </w:r>
      <w:r w:rsidR="00C8117F">
        <w:t>for step 8 below, which will be carried out</w:t>
      </w:r>
      <w:r w:rsidR="00F103E2">
        <w:t xml:space="preserve"> by the </w:t>
      </w:r>
      <w:r w:rsidR="00E13077">
        <w:t>instructor</w:t>
      </w:r>
      <w:r w:rsidR="00F103E2">
        <w:t xml:space="preserve"> after the </w:t>
      </w:r>
      <w:r w:rsidR="00E13077">
        <w:t>l</w:t>
      </w:r>
      <w:r w:rsidR="00C8117F">
        <w:t>ab</w:t>
      </w:r>
      <w:r>
        <w:t>)</w:t>
      </w:r>
    </w:p>
    <w:p w:rsidR="00F06862" w:rsidRDefault="00F06862" w:rsidP="001E1602">
      <w:pPr>
        <w:pStyle w:val="ListParagraph"/>
        <w:numPr>
          <w:ilvl w:val="0"/>
          <w:numId w:val="22"/>
        </w:numPr>
      </w:pPr>
      <w:r>
        <w:t>Sterile, disposable white plastic inoculating loops; individually wrapped</w:t>
      </w:r>
      <w:r w:rsidR="00C8117F">
        <w:t xml:space="preserve"> (for step 2 below)</w:t>
      </w:r>
    </w:p>
    <w:p w:rsidR="001E1602" w:rsidRDefault="001E1602" w:rsidP="001E1602">
      <w:pPr>
        <w:pStyle w:val="ListParagraph"/>
        <w:numPr>
          <w:ilvl w:val="0"/>
          <w:numId w:val="22"/>
        </w:numPr>
      </w:pPr>
      <w:r>
        <w:t xml:space="preserve">10-µl </w:t>
      </w:r>
      <w:proofErr w:type="spellStart"/>
      <w:r>
        <w:t>pipetters</w:t>
      </w:r>
      <w:proofErr w:type="spellEnd"/>
      <w:r w:rsidR="00C8117F">
        <w:t xml:space="preserve"> (for step 5 below)</w:t>
      </w:r>
    </w:p>
    <w:p w:rsidR="001E1602" w:rsidRDefault="001E1602" w:rsidP="001E1602">
      <w:pPr>
        <w:pStyle w:val="ListParagraph"/>
        <w:numPr>
          <w:ilvl w:val="0"/>
          <w:numId w:val="22"/>
        </w:numPr>
      </w:pPr>
      <w:r>
        <w:t xml:space="preserve">Tips for 10-µl </w:t>
      </w:r>
      <w:proofErr w:type="spellStart"/>
      <w:r>
        <w:t>pipetters</w:t>
      </w:r>
      <w:proofErr w:type="spellEnd"/>
      <w:r w:rsidR="00C8117F">
        <w:t xml:space="preserve"> (for step 5 below)</w:t>
      </w:r>
    </w:p>
    <w:p w:rsidR="001E1602" w:rsidRDefault="006F43EC" w:rsidP="001E1602">
      <w:pPr>
        <w:pStyle w:val="ListParagraph"/>
        <w:numPr>
          <w:ilvl w:val="0"/>
          <w:numId w:val="22"/>
        </w:numPr>
      </w:pPr>
      <w:r w:rsidRPr="006F43EC">
        <w:t>U</w:t>
      </w:r>
      <w:r w:rsidR="003E586C">
        <w:t xml:space="preserve">nwanted </w:t>
      </w:r>
      <w:r w:rsidR="00D50047">
        <w:t>Materials</w:t>
      </w:r>
      <w:r w:rsidR="003E586C">
        <w:t xml:space="preserve"> b</w:t>
      </w:r>
      <w:r w:rsidR="006F29CC">
        <w:t>eakers</w:t>
      </w:r>
      <w:r w:rsidR="00F06862">
        <w:t xml:space="preserve"> for discarding used</w:t>
      </w:r>
      <w:r w:rsidR="00D50047">
        <w:t xml:space="preserve"> toothpicks,</w:t>
      </w:r>
      <w:r w:rsidR="00F06862">
        <w:t xml:space="preserve"> inoculating loops, tubes and tips</w:t>
      </w:r>
      <w:r w:rsidR="00C8117F">
        <w:t xml:space="preserve"> (for many steps)</w:t>
      </w:r>
    </w:p>
    <w:p w:rsidR="00F06862" w:rsidRDefault="00F06862" w:rsidP="001E1602">
      <w:pPr>
        <w:pStyle w:val="ListParagraph"/>
        <w:numPr>
          <w:ilvl w:val="0"/>
          <w:numId w:val="22"/>
        </w:numPr>
      </w:pPr>
      <w:proofErr w:type="spellStart"/>
      <w:r>
        <w:t>Microcentrifuge</w:t>
      </w:r>
      <w:proofErr w:type="spellEnd"/>
      <w:r>
        <w:t xml:space="preserve"> with adaptors for centrifuging 200-µl PCR tubes</w:t>
      </w:r>
      <w:r w:rsidR="00C8117F">
        <w:t xml:space="preserve"> (for step 4 below)</w:t>
      </w:r>
    </w:p>
    <w:p w:rsidR="00EF11B0" w:rsidRDefault="00D50047" w:rsidP="001E1602">
      <w:pPr>
        <w:pStyle w:val="ListParagraph"/>
        <w:numPr>
          <w:ilvl w:val="0"/>
          <w:numId w:val="22"/>
        </w:numPr>
      </w:pPr>
      <w:r>
        <w:t>Premix with</w:t>
      </w:r>
      <w:r w:rsidR="00EF11B0">
        <w:t xml:space="preserve"> PCR ingredients </w:t>
      </w:r>
      <w:r w:rsidR="006F29CC">
        <w:t xml:space="preserve">(the </w:t>
      </w:r>
      <w:r>
        <w:t>thermophilic DNA polymerase will be added just before use</w:t>
      </w:r>
      <w:r w:rsidR="00C8117F">
        <w:t xml:space="preserve"> at step 7 below</w:t>
      </w:r>
      <w:r w:rsidR="003E586C">
        <w:t>)</w:t>
      </w:r>
      <w:r w:rsidR="006F29CC">
        <w:t xml:space="preserve"> </w:t>
      </w:r>
    </w:p>
    <w:p w:rsidR="00F06862" w:rsidRDefault="00F06862" w:rsidP="001E1602">
      <w:pPr>
        <w:pStyle w:val="ListParagraph"/>
        <w:numPr>
          <w:ilvl w:val="0"/>
          <w:numId w:val="22"/>
        </w:numPr>
      </w:pPr>
      <w:r>
        <w:t xml:space="preserve">A </w:t>
      </w:r>
      <w:proofErr w:type="spellStart"/>
      <w:r>
        <w:t>thermocycler</w:t>
      </w:r>
      <w:proofErr w:type="spellEnd"/>
      <w:r w:rsidR="00C8117F">
        <w:t xml:space="preserve"> (for steps 3 and 7 below)</w:t>
      </w:r>
    </w:p>
    <w:p w:rsidR="001E1602" w:rsidRDefault="001E1602" w:rsidP="003030FA"/>
    <w:p w:rsidR="003C7B76" w:rsidRPr="003C7B76" w:rsidRDefault="003C7B76" w:rsidP="00C52910">
      <w:pPr>
        <w:keepNext/>
        <w:rPr>
          <w:i/>
        </w:rPr>
      </w:pPr>
      <w:r>
        <w:rPr>
          <w:i/>
        </w:rPr>
        <w:t>Colony counts</w:t>
      </w:r>
    </w:p>
    <w:p w:rsidR="003C7B76" w:rsidRDefault="003C7B76" w:rsidP="00C52910">
      <w:pPr>
        <w:keepNext/>
      </w:pPr>
    </w:p>
    <w:p w:rsidR="00F06862" w:rsidRDefault="00D50047" w:rsidP="00A64FE7">
      <w:r>
        <w:t>1</w:t>
      </w:r>
      <w:r w:rsidR="00F06862">
        <w:t xml:space="preserve">.  Count the </w:t>
      </w:r>
      <w:r w:rsidR="00F06862" w:rsidRPr="00D50047">
        <w:rPr>
          <w:u w:val="single"/>
        </w:rPr>
        <w:t>red</w:t>
      </w:r>
      <w:r w:rsidR="00F06862">
        <w:t xml:space="preserve"> colonies on your petri dishes</w:t>
      </w:r>
      <w:r w:rsidR="00420622">
        <w:t xml:space="preserve">, using the </w:t>
      </w:r>
      <w:r>
        <w:t>toothpick</w:t>
      </w:r>
      <w:r w:rsidR="001A1E86">
        <w:t xml:space="preserve"> </w:t>
      </w:r>
      <w:r w:rsidR="00420622">
        <w:t>method that will be demonstrated to you</w:t>
      </w:r>
      <w:r w:rsidR="00F06862">
        <w:t xml:space="preserve">.  </w:t>
      </w:r>
      <w:r w:rsidR="00222BEF">
        <w:t>Count as red only those colonies that are</w:t>
      </w:r>
      <w:r w:rsidR="00A530BE">
        <w:t xml:space="preserve"> </w:t>
      </w:r>
      <w:r w:rsidR="00A530BE" w:rsidRPr="00A530BE">
        <w:rPr>
          <w:u w:val="single"/>
        </w:rPr>
        <w:t>large and</w:t>
      </w:r>
      <w:r w:rsidR="00222BEF" w:rsidRPr="00A530BE">
        <w:rPr>
          <w:u w:val="single"/>
        </w:rPr>
        <w:t xml:space="preserve"> </w:t>
      </w:r>
      <w:r w:rsidR="00973EB2" w:rsidRPr="00A530BE">
        <w:rPr>
          <w:u w:val="single"/>
        </w:rPr>
        <w:t>definitely</w:t>
      </w:r>
      <w:r w:rsidR="00222BEF" w:rsidRPr="00A530BE">
        <w:rPr>
          <w:u w:val="single"/>
        </w:rPr>
        <w:t xml:space="preserve"> red</w:t>
      </w:r>
      <w:r w:rsidR="00222BEF">
        <w:t xml:space="preserve">; </w:t>
      </w:r>
      <w:r w:rsidR="00A530BE">
        <w:t xml:space="preserve">all small colonies and </w:t>
      </w:r>
      <w:r w:rsidR="00222BEF">
        <w:t>faint pinkish colonies should be counted as white</w:t>
      </w:r>
      <w:r w:rsidR="00A530BE">
        <w:t>, not red</w:t>
      </w:r>
      <w:r w:rsidR="00222BEF">
        <w:t xml:space="preserve">.  </w:t>
      </w:r>
      <w:r w:rsidR="00F06862">
        <w:t xml:space="preserve">The </w:t>
      </w:r>
      <w:r w:rsidR="00973EB2">
        <w:t>definitely</w:t>
      </w:r>
      <w:r w:rsidR="00222BEF">
        <w:t xml:space="preserve"> </w:t>
      </w:r>
      <w:r w:rsidR="00F06862">
        <w:t>red colonies will be relatively uniform in size</w:t>
      </w:r>
      <w:r w:rsidR="005520BF">
        <w:t xml:space="preserve"> and easy to count</w:t>
      </w:r>
      <w:r w:rsidR="00F06862">
        <w:t xml:space="preserve">.  </w:t>
      </w:r>
      <w:r w:rsidR="008C1B11">
        <w:t xml:space="preserve">Write the red colony counts in the proper column of the table provided, being careful to get the dish numbers correct; some of the spaces will already be filled in because the dishes have already been counted and either discarded or set aside, as explained above.  Then count the </w:t>
      </w:r>
      <w:r w:rsidR="008C1B11" w:rsidRPr="008C1B11">
        <w:rPr>
          <w:u w:val="single"/>
        </w:rPr>
        <w:t>white</w:t>
      </w:r>
      <w:r w:rsidR="008C1B11">
        <w:t xml:space="preserve"> colonies in the same manner.  Unlike the red colonies, the white colonies may differ in size and be difficult to count unambiguously.  </w:t>
      </w:r>
      <w:r w:rsidR="00F06862">
        <w:t xml:space="preserve">Don’t worry about </w:t>
      </w:r>
      <w:r w:rsidR="008C1B11">
        <w:t>problems counting the white colonies: i</w:t>
      </w:r>
      <w:r w:rsidR="00F06862">
        <w:t>t’s the red colonies that ar</w:t>
      </w:r>
      <w:r w:rsidR="008C1B11">
        <w:t>e important in the experiment.  I</w:t>
      </w:r>
      <w:r w:rsidR="00F06862">
        <w:t>t’s OK if a few of your white colony counts are only approximate because there are so many white colonies</w:t>
      </w:r>
      <w:r w:rsidR="00EF11B0">
        <w:t xml:space="preserve"> of widely varying sizes</w:t>
      </w:r>
      <w:r w:rsidR="00F06862">
        <w:t xml:space="preserve"> on those dishes.  </w:t>
      </w:r>
      <w:r w:rsidR="00A64FE7">
        <w:t xml:space="preserve">; </w:t>
      </w:r>
      <w:r w:rsidR="008C1B11">
        <w:t>Write the white colony counts in the proper column of the table provided, again being careful to get the dish numbers correct.  A</w:t>
      </w:r>
      <w:r w:rsidR="007C25E0">
        <w:t xml:space="preserve">t the end of the lab, </w:t>
      </w:r>
      <w:r w:rsidR="00EF11B0">
        <w:t>each team</w:t>
      </w:r>
      <w:r w:rsidR="007C25E0">
        <w:t xml:space="preserve"> </w:t>
      </w:r>
      <w:r w:rsidR="00EF11B0">
        <w:t xml:space="preserve">will </w:t>
      </w:r>
      <w:r w:rsidR="00471D97">
        <w:t>hand</w:t>
      </w:r>
      <w:r w:rsidR="00EF11B0">
        <w:t xml:space="preserve"> in</w:t>
      </w:r>
      <w:r w:rsidR="00471D97">
        <w:t xml:space="preserve"> its colony count table</w:t>
      </w:r>
      <w:r w:rsidR="00EF11B0">
        <w:t xml:space="preserve"> so the</w:t>
      </w:r>
      <w:r w:rsidR="007C25E0">
        <w:t xml:space="preserve"> results</w:t>
      </w:r>
      <w:r w:rsidR="00EF11B0">
        <w:t xml:space="preserve"> from the entire class</w:t>
      </w:r>
      <w:r w:rsidR="00A64FE7">
        <w:t xml:space="preserve"> </w:t>
      </w:r>
      <w:r w:rsidR="007C25E0">
        <w:t>can</w:t>
      </w:r>
      <w:r w:rsidR="00A64FE7">
        <w:t xml:space="preserve"> be entered in a </w:t>
      </w:r>
      <w:r w:rsidR="007C25E0">
        <w:t xml:space="preserve">single </w:t>
      </w:r>
      <w:r w:rsidR="008C1B11">
        <w:t xml:space="preserve">master </w:t>
      </w:r>
      <w:r w:rsidR="00A64FE7">
        <w:t>spreadsheet</w:t>
      </w:r>
      <w:r w:rsidR="007C25E0">
        <w:t xml:space="preserve"> to be </w:t>
      </w:r>
      <w:r w:rsidR="008C1B11">
        <w:t xml:space="preserve">distributed to all the students.  </w:t>
      </w:r>
      <w:r w:rsidR="004D4958">
        <w:t xml:space="preserve">The results </w:t>
      </w:r>
      <w:r w:rsidR="00222BEF">
        <w:t xml:space="preserve">will be discussed </w:t>
      </w:r>
      <w:r w:rsidR="00B56763">
        <w:t xml:space="preserve">in detail </w:t>
      </w:r>
      <w:r w:rsidR="00222BEF">
        <w:t xml:space="preserve">in </w:t>
      </w:r>
      <w:r w:rsidR="008C1B11">
        <w:t>Session 4</w:t>
      </w:r>
      <w:r w:rsidR="00222BEF">
        <w:t>.</w:t>
      </w:r>
    </w:p>
    <w:p w:rsidR="00F908C3" w:rsidRDefault="00F908C3" w:rsidP="00EF11B0"/>
    <w:p w:rsidR="003C7B76" w:rsidRPr="003C7B76" w:rsidRDefault="003C7B76" w:rsidP="00C52910">
      <w:pPr>
        <w:keepNext/>
        <w:rPr>
          <w:i/>
        </w:rPr>
      </w:pPr>
      <w:r>
        <w:rPr>
          <w:i/>
        </w:rPr>
        <w:t>Processing colonies for sequencing</w:t>
      </w:r>
    </w:p>
    <w:p w:rsidR="003C7B76" w:rsidRDefault="003C7B76" w:rsidP="00C52910">
      <w:pPr>
        <w:keepNext/>
      </w:pPr>
    </w:p>
    <w:p w:rsidR="00F06862" w:rsidRDefault="008C1B11" w:rsidP="003030FA">
      <w:r>
        <w:t>2</w:t>
      </w:r>
      <w:r w:rsidR="00F06862">
        <w:t xml:space="preserve">.  Each </w:t>
      </w:r>
      <w:r w:rsidR="00827B47">
        <w:t>student</w:t>
      </w:r>
      <w:r w:rsidR="00F06862">
        <w:t xml:space="preserve"> will be assigned </w:t>
      </w:r>
      <w:r w:rsidR="00827B47">
        <w:t>a particular petri dish</w:t>
      </w:r>
      <w:r w:rsidR="00F06862">
        <w:t xml:space="preserve"> and a particular number of clones from each dish.  These are the clones whose genes will be sequenced.  Use the </w:t>
      </w:r>
      <w:r w:rsidR="00F06862" w:rsidRPr="008224F0">
        <w:rPr>
          <w:b/>
          <w:u w:val="single"/>
        </w:rPr>
        <w:t>small</w:t>
      </w:r>
      <w:r w:rsidR="00F06862">
        <w:t xml:space="preserve"> (1-µl) loop of </w:t>
      </w:r>
      <w:r w:rsidR="003C030F">
        <w:t xml:space="preserve">a plastic inoculating loop to pick up a bit of red colony </w:t>
      </w:r>
      <w:r w:rsidR="003C030F" w:rsidRPr="00973BE8">
        <w:t>(about this much:</w:t>
      </w:r>
      <w:r w:rsidR="003C030F" w:rsidRPr="00973BE8">
        <w:rPr>
          <w:noProof/>
        </w:rPr>
        <w:drawing>
          <wp:inline distT="0" distB="0" distL="0" distR="0" wp14:anchorId="563A391E" wp14:editId="12AE18E8">
            <wp:extent cx="167640" cy="133985"/>
            <wp:effectExtent l="19050" t="0" r="381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167640" cy="133985"/>
                    </a:xfrm>
                    <a:prstGeom prst="rect">
                      <a:avLst/>
                    </a:prstGeom>
                    <a:noFill/>
                    <a:ln w="9525">
                      <a:noFill/>
                      <a:miter lim="800000"/>
                      <a:headEnd/>
                      <a:tailEnd/>
                    </a:ln>
                  </pic:spPr>
                </pic:pic>
              </a:graphicData>
            </a:graphic>
          </wp:inline>
        </w:drawing>
      </w:r>
      <w:r w:rsidR="003C030F">
        <w:t xml:space="preserve">), avoiding picking up any </w:t>
      </w:r>
      <w:r w:rsidR="00277340">
        <w:t>of the agar (if you do accident</w:t>
      </w:r>
      <w:r w:rsidR="003C030F">
        <w:t xml:space="preserve">ally pick up agar, discard the inoculating loop and try with another colony); immerse the loop in the 30 µl of detergent solution in a properly color-coded 200-µl PCR tube; if the colony material sticks to the loop, vortex the tube with the loop held immersed in it; once the colony material is </w:t>
      </w:r>
      <w:r w:rsidR="00F95C70">
        <w:t>dislodged from</w:t>
      </w:r>
      <w:r w:rsidR="003C030F">
        <w:t xml:space="preserve"> the loop, discard the loop and close the cap of the PCR tube; vortex the PCR tube vigorously until the cells in the colony are completely suspended.</w:t>
      </w:r>
    </w:p>
    <w:p w:rsidR="003C030F" w:rsidRDefault="003C030F" w:rsidP="003030FA"/>
    <w:p w:rsidR="003C030F" w:rsidRDefault="008C1B11" w:rsidP="003C030F">
      <w:r>
        <w:lastRenderedPageBreak/>
        <w:t>3</w:t>
      </w:r>
      <w:r w:rsidR="003C030F">
        <w:t xml:space="preserve">.  Put the PCR tubes in the </w:t>
      </w:r>
      <w:proofErr w:type="spellStart"/>
      <w:r w:rsidR="003C030F">
        <w:t>Thermocycler</w:t>
      </w:r>
      <w:proofErr w:type="spellEnd"/>
      <w:r w:rsidR="003C030F">
        <w:t>; run Program 10, which will heat the tubes to 90º for 4 min</w:t>
      </w:r>
      <w:r w:rsidR="003C030F" w:rsidRPr="00973BE8">
        <w:t>.</w:t>
      </w:r>
    </w:p>
    <w:p w:rsidR="003C030F" w:rsidRDefault="003C030F" w:rsidP="003C030F"/>
    <w:p w:rsidR="003C030F" w:rsidRDefault="008C1B11" w:rsidP="003C030F">
      <w:r>
        <w:t>4</w:t>
      </w:r>
      <w:r w:rsidR="003C030F">
        <w:t>.  Using the special adaptors</w:t>
      </w:r>
      <w:r w:rsidR="008E4A49">
        <w:t xml:space="preserve"> (</w:t>
      </w:r>
      <w:r w:rsidR="008224F0">
        <w:t xml:space="preserve">see </w:t>
      </w:r>
      <w:r w:rsidR="008224F0">
        <w:rPr>
          <w:i/>
        </w:rPr>
        <w:t>Materials</w:t>
      </w:r>
      <w:r w:rsidR="008224F0">
        <w:t xml:space="preserve"> above</w:t>
      </w:r>
      <w:r w:rsidR="008E4A49">
        <w:t>)</w:t>
      </w:r>
      <w:r w:rsidR="003C030F">
        <w:t xml:space="preserve">, microfuge the heated </w:t>
      </w:r>
      <w:r w:rsidR="008E4A49">
        <w:t xml:space="preserve">PCR </w:t>
      </w:r>
      <w:r w:rsidR="003C030F">
        <w:t>tubes for 5 min to pellet insoluble material.</w:t>
      </w:r>
    </w:p>
    <w:p w:rsidR="003C030F" w:rsidRDefault="003C030F" w:rsidP="003C030F"/>
    <w:p w:rsidR="003C030F" w:rsidRDefault="008C1B11" w:rsidP="003C030F">
      <w:r>
        <w:t>5</w:t>
      </w:r>
      <w:r w:rsidR="003C030F">
        <w:t xml:space="preserve">.  </w:t>
      </w:r>
      <w:r w:rsidR="008E4A49">
        <w:t xml:space="preserve">Use the 10-µl </w:t>
      </w:r>
      <w:proofErr w:type="spellStart"/>
      <w:r w:rsidR="008E4A49">
        <w:t>p</w:t>
      </w:r>
      <w:r w:rsidR="003C030F">
        <w:t>ipette</w:t>
      </w:r>
      <w:r w:rsidR="008E4A49">
        <w:t>r</w:t>
      </w:r>
      <w:proofErr w:type="spellEnd"/>
      <w:r w:rsidR="008E4A49">
        <w:t xml:space="preserve"> with a 10-µl pipette tip to draw up</w:t>
      </w:r>
      <w:r w:rsidR="003C030F">
        <w:t xml:space="preserve"> 10 µl of supernatant from each centrifuged PCR tube, being very careful to avoid </w:t>
      </w:r>
      <w:r w:rsidR="008E4A49">
        <w:t>letting the pipette tip reach the pellet; deliver the 10 µl of supernatant int</w:t>
      </w:r>
      <w:r w:rsidR="00B501B1">
        <w:t>o a properly labeled and color-coded</w:t>
      </w:r>
      <w:r w:rsidR="008E4A49">
        <w:t xml:space="preserve"> 500-µl </w:t>
      </w:r>
      <w:proofErr w:type="spellStart"/>
      <w:r w:rsidR="008E4A49">
        <w:t>microtube</w:t>
      </w:r>
      <w:proofErr w:type="spellEnd"/>
      <w:r w:rsidR="001A0C0D">
        <w:t xml:space="preserve"> (already contains 90 µl water)</w:t>
      </w:r>
      <w:r w:rsidR="008E4A49">
        <w:t xml:space="preserve">; close the cap of the </w:t>
      </w:r>
      <w:proofErr w:type="spellStart"/>
      <w:r w:rsidR="008E4A49">
        <w:t>microtube</w:t>
      </w:r>
      <w:proofErr w:type="spellEnd"/>
      <w:r w:rsidR="008E4A49">
        <w:t xml:space="preserve">; vortex it to mix the supernatant in with the water.  </w:t>
      </w:r>
      <w:r w:rsidR="00EF11B0">
        <w:t>After removing 5-µl portions</w:t>
      </w:r>
      <w:r w:rsidR="00DA6483">
        <w:t xml:space="preserve"> of the supernatants</w:t>
      </w:r>
      <w:r w:rsidR="00EF11B0">
        <w:t xml:space="preserve"> for PCR amplifications next step, t</w:t>
      </w:r>
      <w:r w:rsidR="008E4A49">
        <w:t xml:space="preserve">he 500-µl </w:t>
      </w:r>
      <w:proofErr w:type="spellStart"/>
      <w:r w:rsidR="008E4A49">
        <w:t>microtubes</w:t>
      </w:r>
      <w:proofErr w:type="spellEnd"/>
      <w:r w:rsidR="008E4A49">
        <w:t xml:space="preserve"> will be stored in the deepfreeze </w:t>
      </w:r>
      <w:r w:rsidR="00EF11B0">
        <w:t>as a backup</w:t>
      </w:r>
      <w:r w:rsidR="008E4A49">
        <w:t>.</w:t>
      </w:r>
    </w:p>
    <w:p w:rsidR="00A64FE7" w:rsidRDefault="00A64FE7" w:rsidP="003C030F"/>
    <w:p w:rsidR="00EF11B0" w:rsidRDefault="008C1B11" w:rsidP="003C030F">
      <w:r>
        <w:t>6</w:t>
      </w:r>
      <w:r w:rsidR="00EF11B0">
        <w:t xml:space="preserve">.  </w:t>
      </w:r>
      <w:r w:rsidR="00DA6483">
        <w:t xml:space="preserve">Pipette 5 µl of each supernatant into the corresponding empty labeled </w:t>
      </w:r>
      <w:r w:rsidR="001A0C0D">
        <w:t xml:space="preserve">color-coded </w:t>
      </w:r>
      <w:r w:rsidR="00DA6483">
        <w:t>200-µl PCR tube, using a different tip for each tube.</w:t>
      </w:r>
    </w:p>
    <w:p w:rsidR="00EF11B0" w:rsidRDefault="00EF11B0" w:rsidP="003C030F"/>
    <w:p w:rsidR="00DA6483" w:rsidRDefault="008C1B11" w:rsidP="003C030F">
      <w:r>
        <w:t>7</w:t>
      </w:r>
      <w:r w:rsidR="00DA6483">
        <w:t xml:space="preserve">.  When all </w:t>
      </w:r>
      <w:r w:rsidR="001A0C0D">
        <w:t>24</w:t>
      </w:r>
      <w:r w:rsidR="00DA6483">
        <w:t xml:space="preserve"> PCR tubes are ready, </w:t>
      </w:r>
      <w:r w:rsidR="00384B2B">
        <w:t xml:space="preserve">the </w:t>
      </w:r>
      <w:r w:rsidR="008224F0">
        <w:t xml:space="preserve">enzyme will be added to the 4-ml </w:t>
      </w:r>
      <w:r w:rsidR="00384B2B">
        <w:t xml:space="preserve">glass </w:t>
      </w:r>
      <w:r w:rsidR="008224F0">
        <w:t>vial step</w:t>
      </w:r>
      <w:r w:rsidR="00384B2B">
        <w:t xml:space="preserve"> 4, the vial will be vortexed gently to mix its contents, and</w:t>
      </w:r>
      <w:r w:rsidR="008224F0">
        <w:t xml:space="preserve"> </w:t>
      </w:r>
      <w:r w:rsidR="00DA6483">
        <w:t xml:space="preserve">a 95-µl portion of the </w:t>
      </w:r>
      <w:r w:rsidR="00384B2B">
        <w:t xml:space="preserve">resulting </w:t>
      </w:r>
      <w:r w:rsidR="00DA6483">
        <w:t xml:space="preserve">PCR ingredient premix will be pipetted into each PCR tube, changing tips with each addition; close the caps of the PCR tubes securely; vortex the PCR tubes; </w:t>
      </w:r>
      <w:r w:rsidR="00E85A80">
        <w:t>microfuge briefly as at step 9</w:t>
      </w:r>
      <w:r w:rsidR="00DA6483">
        <w:t xml:space="preserve">; put the tubes in the </w:t>
      </w:r>
      <w:proofErr w:type="spellStart"/>
      <w:r w:rsidR="00DA6483">
        <w:t>thermocycler</w:t>
      </w:r>
      <w:proofErr w:type="spellEnd"/>
      <w:r w:rsidR="00DA6483">
        <w:t xml:space="preserve"> and run Program 7, which will commence the repeated </w:t>
      </w:r>
      <w:r w:rsidR="006510E3">
        <w:t xml:space="preserve">temperature </w:t>
      </w:r>
      <w:r w:rsidR="00DA6483">
        <w:t>cycles:</w:t>
      </w:r>
    </w:p>
    <w:p w:rsidR="00DA6483" w:rsidRDefault="00DA6483" w:rsidP="003C030F"/>
    <w:p w:rsidR="00DA6483" w:rsidRDefault="00DA6483" w:rsidP="00DA6483">
      <w:pPr>
        <w:pStyle w:val="ListParagraph"/>
        <w:numPr>
          <w:ilvl w:val="0"/>
          <w:numId w:val="24"/>
        </w:numPr>
      </w:pPr>
      <w:r>
        <w:t xml:space="preserve">Program 7: 98°C for 30 sec (initial </w:t>
      </w:r>
      <w:r w:rsidR="00973EB2">
        <w:t xml:space="preserve">“melting” = </w:t>
      </w:r>
      <w:r>
        <w:t>denaturation of DNA)</w:t>
      </w:r>
    </w:p>
    <w:p w:rsidR="00DA6483" w:rsidRDefault="00DA6483" w:rsidP="00DA6483">
      <w:pPr>
        <w:pStyle w:val="ListParagraph"/>
        <w:numPr>
          <w:ilvl w:val="0"/>
          <w:numId w:val="24"/>
        </w:numPr>
      </w:pPr>
      <w:r>
        <w:t>Links to Program 8: 35 cycles of</w:t>
      </w:r>
    </w:p>
    <w:p w:rsidR="00DA6483" w:rsidRDefault="00DA6483" w:rsidP="00DA6483">
      <w:pPr>
        <w:pStyle w:val="ListParagraph"/>
        <w:numPr>
          <w:ilvl w:val="1"/>
          <w:numId w:val="24"/>
        </w:numPr>
      </w:pPr>
      <w:r>
        <w:t>10 sec 98°C melting (denaturation)</w:t>
      </w:r>
    </w:p>
    <w:p w:rsidR="00DA6483" w:rsidRDefault="00DA6483" w:rsidP="00DA6483">
      <w:pPr>
        <w:pStyle w:val="ListParagraph"/>
        <w:numPr>
          <w:ilvl w:val="1"/>
          <w:numId w:val="24"/>
        </w:numPr>
      </w:pPr>
      <w:r>
        <w:t>30 sec 61°C annealing (primers base-pair with template strands)</w:t>
      </w:r>
    </w:p>
    <w:p w:rsidR="00DA6483" w:rsidRDefault="00DA6483" w:rsidP="00DA6483">
      <w:pPr>
        <w:pStyle w:val="ListParagraph"/>
        <w:numPr>
          <w:ilvl w:val="1"/>
          <w:numId w:val="24"/>
        </w:numPr>
      </w:pPr>
      <w:r>
        <w:t>20 sec 72°C polymerizing (optimum temperature for DNA polymerase)</w:t>
      </w:r>
    </w:p>
    <w:p w:rsidR="00DA6483" w:rsidRDefault="00DA6483" w:rsidP="00DA6483">
      <w:pPr>
        <w:pStyle w:val="ListParagraph"/>
        <w:numPr>
          <w:ilvl w:val="0"/>
          <w:numId w:val="24"/>
        </w:numPr>
      </w:pPr>
      <w:r>
        <w:t>Links to Program 9: 5 min extension at 72ºC (</w:t>
      </w:r>
      <w:r w:rsidR="00B41F29">
        <w:t>any</w:t>
      </w:r>
      <w:r>
        <w:t xml:space="preserve"> incomplete primer strands</w:t>
      </w:r>
      <w:r w:rsidR="00B41F29">
        <w:t xml:space="preserve"> are completed</w:t>
      </w:r>
      <w:r>
        <w:t>)</w:t>
      </w:r>
    </w:p>
    <w:p w:rsidR="00DA6483" w:rsidRDefault="00DA6483" w:rsidP="00DA6483">
      <w:pPr>
        <w:pStyle w:val="ListParagraph"/>
        <w:numPr>
          <w:ilvl w:val="0"/>
          <w:numId w:val="24"/>
        </w:numPr>
      </w:pPr>
      <w:r>
        <w:t>Links to Program 5: indefinite soak at 4ºC</w:t>
      </w:r>
      <w:r w:rsidR="00DD3848">
        <w:t xml:space="preserve"> (final product kept at refrigerator temperature until the tubes are removed)</w:t>
      </w:r>
    </w:p>
    <w:p w:rsidR="00DA6483" w:rsidRDefault="00DA6483" w:rsidP="003C030F"/>
    <w:p w:rsidR="00390864" w:rsidRDefault="00390864" w:rsidP="003C030F">
      <w:r>
        <w:t>Here is a list of the ingredients and their final concentrations in the PCR reaction mixture:</w:t>
      </w:r>
    </w:p>
    <w:p w:rsidR="00390864" w:rsidRDefault="00390864" w:rsidP="003C030F"/>
    <w:tbl>
      <w:tblPr>
        <w:tblStyle w:val="TableGrid"/>
        <w:tblW w:w="0" w:type="auto"/>
        <w:jc w:val="center"/>
        <w:tblLook w:val="04A0" w:firstRow="1" w:lastRow="0" w:firstColumn="1" w:lastColumn="0" w:noHBand="0" w:noVBand="1"/>
      </w:tblPr>
      <w:tblGrid>
        <w:gridCol w:w="5598"/>
        <w:gridCol w:w="2880"/>
      </w:tblGrid>
      <w:tr w:rsidR="00885974" w:rsidTr="00946E9F">
        <w:trPr>
          <w:jc w:val="center"/>
        </w:trPr>
        <w:tc>
          <w:tcPr>
            <w:tcW w:w="5598" w:type="dxa"/>
          </w:tcPr>
          <w:p w:rsidR="00885974" w:rsidRDefault="00885974" w:rsidP="00A9108A">
            <w:pPr>
              <w:keepNext/>
            </w:pPr>
            <w:r>
              <w:t>Component</w:t>
            </w:r>
          </w:p>
        </w:tc>
        <w:tc>
          <w:tcPr>
            <w:tcW w:w="2880" w:type="dxa"/>
          </w:tcPr>
          <w:p w:rsidR="00885974" w:rsidRDefault="00885974" w:rsidP="00A9108A">
            <w:pPr>
              <w:keepNext/>
            </w:pPr>
            <w:r>
              <w:t>Final concentration</w:t>
            </w:r>
          </w:p>
        </w:tc>
      </w:tr>
      <w:tr w:rsidR="00885974" w:rsidTr="00EE7C7D">
        <w:trPr>
          <w:jc w:val="center"/>
        </w:trPr>
        <w:tc>
          <w:tcPr>
            <w:tcW w:w="5598" w:type="dxa"/>
            <w:vAlign w:val="center"/>
          </w:tcPr>
          <w:p w:rsidR="00885974" w:rsidRDefault="00885974" w:rsidP="00976543">
            <w:pPr>
              <w:keepNext/>
            </w:pPr>
            <w:r>
              <w:t xml:space="preserve">Yeast </w:t>
            </w:r>
            <w:proofErr w:type="spellStart"/>
            <w:r>
              <w:t>gD</w:t>
            </w:r>
            <w:r w:rsidR="00976543">
              <w:t>NA</w:t>
            </w:r>
            <w:proofErr w:type="spellEnd"/>
            <w:r w:rsidR="00976543">
              <w:t xml:space="preserve"> from one of the red colonies</w:t>
            </w:r>
          </w:p>
        </w:tc>
        <w:tc>
          <w:tcPr>
            <w:tcW w:w="2880" w:type="dxa"/>
            <w:vAlign w:val="center"/>
          </w:tcPr>
          <w:p w:rsidR="00885974" w:rsidRDefault="00885974" w:rsidP="00601903">
            <w:pPr>
              <w:keepNext/>
            </w:pPr>
            <w:r>
              <w:t>~0.1–</w:t>
            </w:r>
            <w:r w:rsidR="00601903">
              <w:t>1</w:t>
            </w:r>
            <w:r>
              <w:t xml:space="preserve">0 </w:t>
            </w:r>
            <w:proofErr w:type="spellStart"/>
            <w:r>
              <w:t>fM</w:t>
            </w:r>
            <w:proofErr w:type="spellEnd"/>
            <w:r w:rsidR="00946E9F">
              <w:t xml:space="preserve"> yeast genomes</w:t>
            </w:r>
          </w:p>
        </w:tc>
      </w:tr>
      <w:tr w:rsidR="00390864" w:rsidTr="00EE7C7D">
        <w:trPr>
          <w:jc w:val="center"/>
        </w:trPr>
        <w:tc>
          <w:tcPr>
            <w:tcW w:w="5598" w:type="dxa"/>
            <w:vAlign w:val="center"/>
          </w:tcPr>
          <w:p w:rsidR="00390864" w:rsidRDefault="000F06C9" w:rsidP="00F53791">
            <w:pPr>
              <w:keepNext/>
            </w:pPr>
            <w:r>
              <w:t>Forward</w:t>
            </w:r>
            <w:r w:rsidR="00885974">
              <w:t xml:space="preserve"> </w:t>
            </w:r>
            <w:r w:rsidR="00F53791">
              <w:t xml:space="preserve">PCR </w:t>
            </w:r>
            <w:r w:rsidR="00885974">
              <w:t>primer</w:t>
            </w:r>
          </w:p>
        </w:tc>
        <w:tc>
          <w:tcPr>
            <w:tcW w:w="2880" w:type="dxa"/>
            <w:vAlign w:val="center"/>
          </w:tcPr>
          <w:p w:rsidR="00390864" w:rsidRDefault="00885974" w:rsidP="00EE7C7D">
            <w:pPr>
              <w:keepNext/>
            </w:pPr>
            <w:r>
              <w:t>0.5 µM</w:t>
            </w:r>
          </w:p>
        </w:tc>
      </w:tr>
      <w:tr w:rsidR="00390864" w:rsidTr="00EE7C7D">
        <w:trPr>
          <w:jc w:val="center"/>
        </w:trPr>
        <w:tc>
          <w:tcPr>
            <w:tcW w:w="5598" w:type="dxa"/>
            <w:vAlign w:val="center"/>
          </w:tcPr>
          <w:p w:rsidR="00390864" w:rsidRDefault="00F53791" w:rsidP="000F06C9">
            <w:pPr>
              <w:keepNext/>
            </w:pPr>
            <w:r>
              <w:t>Reverse</w:t>
            </w:r>
            <w:r w:rsidR="00885974">
              <w:t xml:space="preserve"> PCR primer</w:t>
            </w:r>
          </w:p>
        </w:tc>
        <w:tc>
          <w:tcPr>
            <w:tcW w:w="2880" w:type="dxa"/>
            <w:vAlign w:val="center"/>
          </w:tcPr>
          <w:p w:rsidR="00390864" w:rsidRDefault="00885974" w:rsidP="00EE7C7D">
            <w:pPr>
              <w:keepNext/>
            </w:pPr>
            <w:r>
              <w:t>0.5 µM</w:t>
            </w:r>
          </w:p>
        </w:tc>
      </w:tr>
      <w:tr w:rsidR="00390864" w:rsidTr="00EE7C7D">
        <w:trPr>
          <w:jc w:val="center"/>
        </w:trPr>
        <w:tc>
          <w:tcPr>
            <w:tcW w:w="5598" w:type="dxa"/>
            <w:vAlign w:val="center"/>
          </w:tcPr>
          <w:p w:rsidR="00390864" w:rsidRDefault="00EE7C7D" w:rsidP="00EE7C7D">
            <w:pPr>
              <w:keepNext/>
            </w:pPr>
            <w:proofErr w:type="spellStart"/>
            <w:r>
              <w:t>dNTPs</w:t>
            </w:r>
            <w:proofErr w:type="spellEnd"/>
          </w:p>
        </w:tc>
        <w:tc>
          <w:tcPr>
            <w:tcW w:w="2880" w:type="dxa"/>
            <w:vAlign w:val="center"/>
          </w:tcPr>
          <w:p w:rsidR="00390864" w:rsidRDefault="00946E9F" w:rsidP="00EE7C7D">
            <w:pPr>
              <w:keepNext/>
            </w:pPr>
            <w:r>
              <w:t>200 µM</w:t>
            </w:r>
            <w:r w:rsidR="00EE7C7D">
              <w:t xml:space="preserve"> each</w:t>
            </w:r>
          </w:p>
        </w:tc>
      </w:tr>
      <w:tr w:rsidR="00390864" w:rsidTr="00EE7C7D">
        <w:trPr>
          <w:jc w:val="center"/>
        </w:trPr>
        <w:tc>
          <w:tcPr>
            <w:tcW w:w="5598" w:type="dxa"/>
            <w:vAlign w:val="center"/>
          </w:tcPr>
          <w:p w:rsidR="00390864" w:rsidRPr="00EE7C7D" w:rsidRDefault="00EE7C7D" w:rsidP="00EE7C7D">
            <w:pPr>
              <w:keepNext/>
            </w:pPr>
            <w:r>
              <w:t>Reaction buffer to supply required salts and keep pH optimal for the DNA polymerase (supplied as 5× concentrate)</w:t>
            </w:r>
          </w:p>
        </w:tc>
        <w:tc>
          <w:tcPr>
            <w:tcW w:w="2880" w:type="dxa"/>
            <w:vAlign w:val="center"/>
          </w:tcPr>
          <w:p w:rsidR="00390864" w:rsidRDefault="00EE7C7D" w:rsidP="00EE7C7D">
            <w:pPr>
              <w:keepNext/>
            </w:pPr>
            <w:r>
              <w:t>1× concentration</w:t>
            </w:r>
          </w:p>
        </w:tc>
      </w:tr>
      <w:tr w:rsidR="00390864" w:rsidTr="00EE7C7D">
        <w:trPr>
          <w:jc w:val="center"/>
        </w:trPr>
        <w:tc>
          <w:tcPr>
            <w:tcW w:w="5598" w:type="dxa"/>
            <w:vAlign w:val="center"/>
          </w:tcPr>
          <w:p w:rsidR="00390864" w:rsidRDefault="00EE7C7D" w:rsidP="00EE7C7D">
            <w:r>
              <w:t>Thermophilic DNA polymerase from an extremophile archaea</w:t>
            </w:r>
          </w:p>
        </w:tc>
        <w:tc>
          <w:tcPr>
            <w:tcW w:w="2880" w:type="dxa"/>
            <w:vAlign w:val="center"/>
          </w:tcPr>
          <w:p w:rsidR="00390864" w:rsidRDefault="00EE7C7D" w:rsidP="00EE7C7D">
            <w:r>
              <w:t>20 enzyme units/ml</w:t>
            </w:r>
          </w:p>
        </w:tc>
      </w:tr>
    </w:tbl>
    <w:p w:rsidR="00390864" w:rsidRDefault="00390864" w:rsidP="003C030F"/>
    <w:p w:rsidR="00601903" w:rsidRDefault="00601903" w:rsidP="003C030F">
      <w:r>
        <w:lastRenderedPageBreak/>
        <w:t>After the therm</w:t>
      </w:r>
      <w:r w:rsidR="00646091">
        <w:t xml:space="preserve">al </w:t>
      </w:r>
      <w:r>
        <w:t xml:space="preserve">cycles, we expect a final </w:t>
      </w:r>
      <w:r w:rsidR="00646091">
        <w:t xml:space="preserve">amplified </w:t>
      </w:r>
      <w:r>
        <w:t xml:space="preserve">PCR product concentration of ~100 </w:t>
      </w:r>
      <w:proofErr w:type="spellStart"/>
      <w:r>
        <w:t>nM</w:t>
      </w:r>
      <w:proofErr w:type="spellEnd"/>
      <w:r>
        <w:t xml:space="preserve">—at least a 10 million fold increase compared to the starting </w:t>
      </w:r>
      <w:proofErr w:type="spellStart"/>
      <w:r>
        <w:t>gDNA</w:t>
      </w:r>
      <w:proofErr w:type="spellEnd"/>
      <w:r>
        <w:t xml:space="preserve"> concentration.</w:t>
      </w:r>
    </w:p>
    <w:p w:rsidR="00601903" w:rsidRDefault="00601903" w:rsidP="003C030F"/>
    <w:p w:rsidR="00646091" w:rsidRDefault="008C1B11" w:rsidP="003C030F">
      <w:r>
        <w:t>8</w:t>
      </w:r>
      <w:r w:rsidR="00DD3848">
        <w:t xml:space="preserve">.  When the temperature cycles are complete a few hours after the </w:t>
      </w:r>
      <w:r w:rsidR="008D0740">
        <w:t>l</w:t>
      </w:r>
      <w:r w:rsidR="00F103E2">
        <w:t>ab, the PCR reaction</w:t>
      </w:r>
      <w:r w:rsidR="00DF4501">
        <w:t xml:space="preserve"> mixtures</w:t>
      </w:r>
      <w:r w:rsidR="00C60D7A">
        <w:t xml:space="preserve"> will be transferred</w:t>
      </w:r>
      <w:r w:rsidR="00DF4501">
        <w:t xml:space="preserve"> to the corresponding</w:t>
      </w:r>
      <w:r w:rsidR="00F103E2">
        <w:t xml:space="preserve"> color-coded labeled 1.5-ml </w:t>
      </w:r>
      <w:proofErr w:type="spellStart"/>
      <w:r w:rsidR="00DF4501">
        <w:t>microtubes</w:t>
      </w:r>
      <w:proofErr w:type="spellEnd"/>
      <w:r w:rsidR="00DF4501">
        <w:t xml:space="preserve">; these will be stored in the deepfreeze for </w:t>
      </w:r>
      <w:r w:rsidR="00384B2B">
        <w:t>processing</w:t>
      </w:r>
      <w:r w:rsidR="00DF4501">
        <w:t xml:space="preserve"> in</w:t>
      </w:r>
      <w:r>
        <w:t xml:space="preserve"> Session 4</w:t>
      </w:r>
      <w:r w:rsidR="001D424F">
        <w:t>.</w:t>
      </w:r>
    </w:p>
    <w:p w:rsidR="00535A01" w:rsidRDefault="00535A01" w:rsidP="003C030F"/>
    <w:p w:rsidR="00535A01" w:rsidRPr="00535A01" w:rsidRDefault="00535A01" w:rsidP="00535A01">
      <w:pPr>
        <w:keepNext/>
        <w:rPr>
          <w:b/>
        </w:rPr>
      </w:pPr>
      <w:r>
        <w:rPr>
          <w:b/>
        </w:rPr>
        <w:t>Discussion of logic of fluctuation test</w:t>
      </w:r>
    </w:p>
    <w:p w:rsidR="00535A01" w:rsidRDefault="00535A01" w:rsidP="00535A01">
      <w:pPr>
        <w:keepNext/>
      </w:pPr>
    </w:p>
    <w:p w:rsidR="00535A01" w:rsidRDefault="00535A01" w:rsidP="003C030F">
      <w:r>
        <w:t>Discussion will be continued from Session 2</w:t>
      </w:r>
      <w:r w:rsidR="00B00FAE">
        <w:t xml:space="preserve"> as time permits</w:t>
      </w:r>
      <w:r>
        <w:t xml:space="preserve">.  To prepare for this discussion you must have read </w:t>
      </w:r>
      <w:r w:rsidRPr="00535A01">
        <w:t>YeastFluctuationSession2Discussion</w:t>
      </w:r>
      <w:r>
        <w:t>.ppt in advance, including especially the extensive notes in the Notes section under each slide.</w:t>
      </w:r>
    </w:p>
    <w:p w:rsidR="00535A01" w:rsidRDefault="00535A01" w:rsidP="003C030F"/>
    <w:p w:rsidR="00C8117F" w:rsidRDefault="00C8117F" w:rsidP="003C030F"/>
    <w:p w:rsidR="00C8117F" w:rsidRDefault="00C8117F" w:rsidP="003C030F"/>
    <w:p w:rsidR="003F0D7B" w:rsidRDefault="003F0D7B" w:rsidP="003C030F"/>
    <w:p w:rsidR="007A6C12" w:rsidRDefault="007A6C12" w:rsidP="003C030F"/>
    <w:sectPr w:rsidR="007A6C12" w:rsidSect="00905DED">
      <w:headerReference w:type="default" r:id="rId1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675" w:rsidRDefault="00637675">
      <w:r>
        <w:separator/>
      </w:r>
    </w:p>
  </w:endnote>
  <w:endnote w:type="continuationSeparator" w:id="0">
    <w:p w:rsidR="00637675" w:rsidRDefault="00637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675" w:rsidRDefault="00637675">
      <w:r>
        <w:separator/>
      </w:r>
    </w:p>
  </w:footnote>
  <w:footnote w:type="continuationSeparator" w:id="0">
    <w:p w:rsidR="00637675" w:rsidRDefault="00637675">
      <w:r>
        <w:continuationSeparator/>
      </w:r>
    </w:p>
  </w:footnote>
  <w:footnote w:id="1">
    <w:p w:rsidR="00F526DA" w:rsidRPr="00D162BA" w:rsidRDefault="00F526DA">
      <w:pPr>
        <w:pStyle w:val="FootnoteText"/>
        <w:rPr>
          <w:sz w:val="20"/>
          <w:szCs w:val="20"/>
        </w:rPr>
      </w:pPr>
      <w:r w:rsidRPr="00D162BA">
        <w:rPr>
          <w:rStyle w:val="FootnoteReference"/>
          <w:sz w:val="20"/>
          <w:szCs w:val="20"/>
        </w:rPr>
        <w:footnoteRef/>
      </w:r>
      <w:r w:rsidRPr="00D162BA">
        <w:rPr>
          <w:sz w:val="20"/>
          <w:szCs w:val="20"/>
        </w:rPr>
        <w:t xml:space="preserve"> “</w:t>
      </w:r>
      <w:proofErr w:type="spellStart"/>
      <w:proofErr w:type="gramStart"/>
      <w:r w:rsidRPr="00D162BA">
        <w:rPr>
          <w:sz w:val="20"/>
          <w:szCs w:val="20"/>
        </w:rPr>
        <w:t>bp</w:t>
      </w:r>
      <w:proofErr w:type="spellEnd"/>
      <w:proofErr w:type="gramEnd"/>
      <w:r w:rsidRPr="00D162BA">
        <w:rPr>
          <w:sz w:val="20"/>
          <w:szCs w:val="20"/>
        </w:rPr>
        <w:t xml:space="preserve">” is the abbreviation for base pair (= nucleotide pair).  Normal, double-stranded DNA contains two complementary strands with the same number of bases each.  So it’s logical to gauge the length (= size) of a DNA molecule in terms of it number of base pairs.  Somewhat illogically, the </w:t>
      </w:r>
      <w:proofErr w:type="spellStart"/>
      <w:r w:rsidRPr="00D162BA">
        <w:rPr>
          <w:sz w:val="20"/>
          <w:szCs w:val="20"/>
        </w:rPr>
        <w:t>bp</w:t>
      </w:r>
      <w:proofErr w:type="spellEnd"/>
      <w:r w:rsidRPr="00D162BA">
        <w:rPr>
          <w:sz w:val="20"/>
          <w:szCs w:val="20"/>
        </w:rPr>
        <w:t xml:space="preserve"> abbreviation is extended to mean just base when we’re considering the length (size) of a single-stranded DNA molecule.</w:t>
      </w:r>
      <w:r>
        <w:rPr>
          <w:sz w:val="20"/>
          <w:szCs w:val="20"/>
        </w:rPr>
        <w:t xml:space="preserve">  Kb or </w:t>
      </w:r>
      <w:proofErr w:type="spellStart"/>
      <w:r>
        <w:rPr>
          <w:sz w:val="20"/>
          <w:szCs w:val="20"/>
        </w:rPr>
        <w:t>Kbp</w:t>
      </w:r>
      <w:proofErr w:type="spellEnd"/>
      <w:r>
        <w:rPr>
          <w:sz w:val="20"/>
          <w:szCs w:val="20"/>
        </w:rPr>
        <w:t xml:space="preserve"> means </w:t>
      </w:r>
      <w:proofErr w:type="spellStart"/>
      <w:r>
        <w:rPr>
          <w:sz w:val="20"/>
          <w:szCs w:val="20"/>
        </w:rPr>
        <w:t>kilobase</w:t>
      </w:r>
      <w:proofErr w:type="spellEnd"/>
      <w:r>
        <w:rPr>
          <w:sz w:val="20"/>
          <w:szCs w:val="20"/>
        </w:rPr>
        <w:t xml:space="preserve"> (pair), Mb or </w:t>
      </w:r>
      <w:proofErr w:type="spellStart"/>
      <w:r>
        <w:rPr>
          <w:sz w:val="20"/>
          <w:szCs w:val="20"/>
        </w:rPr>
        <w:t>Mbp</w:t>
      </w:r>
      <w:proofErr w:type="spellEnd"/>
      <w:r>
        <w:rPr>
          <w:sz w:val="20"/>
          <w:szCs w:val="20"/>
        </w:rPr>
        <w:t xml:space="preserve"> means </w:t>
      </w:r>
      <w:proofErr w:type="spellStart"/>
      <w:r>
        <w:rPr>
          <w:sz w:val="20"/>
          <w:szCs w:val="20"/>
        </w:rPr>
        <w:t>megabase</w:t>
      </w:r>
      <w:proofErr w:type="spellEnd"/>
      <w:r>
        <w:rPr>
          <w:sz w:val="20"/>
          <w:szCs w:val="20"/>
        </w:rPr>
        <w:t xml:space="preserve"> (pair), </w:t>
      </w:r>
      <w:proofErr w:type="gramStart"/>
      <w:r>
        <w:rPr>
          <w:sz w:val="20"/>
          <w:szCs w:val="20"/>
        </w:rPr>
        <w:t>Gb</w:t>
      </w:r>
      <w:proofErr w:type="gramEnd"/>
      <w:r>
        <w:rPr>
          <w:sz w:val="20"/>
          <w:szCs w:val="20"/>
        </w:rPr>
        <w:t xml:space="preserve"> or </w:t>
      </w:r>
      <w:proofErr w:type="spellStart"/>
      <w:r>
        <w:rPr>
          <w:sz w:val="20"/>
          <w:szCs w:val="20"/>
        </w:rPr>
        <w:t>Gbp</w:t>
      </w:r>
      <w:proofErr w:type="spellEnd"/>
      <w:r>
        <w:rPr>
          <w:sz w:val="20"/>
          <w:szCs w:val="20"/>
        </w:rPr>
        <w:t xml:space="preserve"> means </w:t>
      </w:r>
      <w:proofErr w:type="spellStart"/>
      <w:r>
        <w:rPr>
          <w:sz w:val="20"/>
          <w:szCs w:val="20"/>
        </w:rPr>
        <w:t>gigabase</w:t>
      </w:r>
      <w:proofErr w:type="spellEnd"/>
      <w:r>
        <w:rPr>
          <w:sz w:val="20"/>
          <w:szCs w:val="20"/>
        </w:rPr>
        <w:t xml:space="preserve"> (pair), etc.</w:t>
      </w:r>
      <w:r w:rsidR="00937CFC">
        <w:rPr>
          <w:sz w:val="20"/>
          <w:szCs w:val="20"/>
        </w:rPr>
        <w:t>, with no distinction made between single- and double-stranded DNA.</w:t>
      </w:r>
      <w:r>
        <w:rPr>
          <w:sz w:val="20"/>
          <w:szCs w:val="20"/>
        </w:rPr>
        <w:t xml:space="preserve">  The human genome has about 3 </w:t>
      </w:r>
      <w:proofErr w:type="gramStart"/>
      <w:r>
        <w:rPr>
          <w:sz w:val="20"/>
          <w:szCs w:val="20"/>
        </w:rPr>
        <w:t>Gb</w:t>
      </w:r>
      <w:proofErr w:type="gramEnd"/>
      <w:r>
        <w:rPr>
          <w:sz w:val="20"/>
          <w:szCs w:val="20"/>
        </w:rPr>
        <w:t xml:space="preserve"> of DNA; the yeast genome has 12.5 Mb (= 0.0125 Gb).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6DA" w:rsidRDefault="00F526DA">
    <w:pPr>
      <w:pStyle w:val="Header"/>
    </w:pPr>
    <w:r>
      <w:rPr>
        <w:snapToGrid w:val="0"/>
      </w:rPr>
      <w:fldChar w:fldCharType="begin"/>
    </w:r>
    <w:r>
      <w:rPr>
        <w:snapToGrid w:val="0"/>
      </w:rPr>
      <w:instrText xml:space="preserve"> FILENAME </w:instrText>
    </w:r>
    <w:r>
      <w:rPr>
        <w:snapToGrid w:val="0"/>
      </w:rPr>
      <w:fldChar w:fldCharType="separate"/>
    </w:r>
    <w:r w:rsidR="00B647F8">
      <w:rPr>
        <w:noProof/>
        <w:snapToGrid w:val="0"/>
      </w:rPr>
      <w:t>YeastFluctuationSession3.docx</w:t>
    </w:r>
    <w:r>
      <w:rPr>
        <w:snapToGrid w:val="0"/>
      </w:rPr>
      <w:fldChar w:fldCharType="end"/>
    </w:r>
    <w:r>
      <w:rPr>
        <w:snapToGrid w:val="0"/>
      </w:rPr>
      <w:t xml:space="preserve">     </w:t>
    </w:r>
    <w:r w:rsidR="00DE1832">
      <w:rPr>
        <w:snapToGrid w:val="0"/>
      </w:rPr>
      <w:t xml:space="preserve">         </w:t>
    </w:r>
    <w:r>
      <w:rPr>
        <w:snapToGrid w:val="0"/>
      </w:rPr>
      <w:t xml:space="preserve">  Page </w:t>
    </w:r>
    <w:r>
      <w:rPr>
        <w:rStyle w:val="PageNumber"/>
      </w:rPr>
      <w:fldChar w:fldCharType="begin"/>
    </w:r>
    <w:r>
      <w:rPr>
        <w:rStyle w:val="PageNumber"/>
      </w:rPr>
      <w:instrText xml:space="preserve"> PAGE </w:instrText>
    </w:r>
    <w:r>
      <w:rPr>
        <w:rStyle w:val="PageNumber"/>
      </w:rPr>
      <w:fldChar w:fldCharType="separate"/>
    </w:r>
    <w:r w:rsidR="00DE1832">
      <w:rPr>
        <w:rStyle w:val="PageNumber"/>
        <w:noProof/>
      </w:rPr>
      <w:t>1</w:t>
    </w:r>
    <w:r>
      <w:rPr>
        <w:rStyle w:val="PageNumber"/>
      </w:rPr>
      <w:fldChar w:fldCharType="end"/>
    </w:r>
  </w:p>
  <w:p w:rsidR="00F526DA" w:rsidRDefault="00F526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B24D4"/>
    <w:multiLevelType w:val="hybridMultilevel"/>
    <w:tmpl w:val="419EBA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16DE0"/>
    <w:multiLevelType w:val="hybridMultilevel"/>
    <w:tmpl w:val="DFC6436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FF0F56"/>
    <w:multiLevelType w:val="hybridMultilevel"/>
    <w:tmpl w:val="0E621A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BA5B26"/>
    <w:multiLevelType w:val="hybridMultilevel"/>
    <w:tmpl w:val="FF26F9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70533E"/>
    <w:multiLevelType w:val="hybridMultilevel"/>
    <w:tmpl w:val="4434CA3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6F75C3"/>
    <w:multiLevelType w:val="hybridMultilevel"/>
    <w:tmpl w:val="1ABC23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164468"/>
    <w:multiLevelType w:val="hybridMultilevel"/>
    <w:tmpl w:val="1A0229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D63634"/>
    <w:multiLevelType w:val="hybridMultilevel"/>
    <w:tmpl w:val="61F0A1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A478C5"/>
    <w:multiLevelType w:val="hybridMultilevel"/>
    <w:tmpl w:val="FC9EF5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D85D8B"/>
    <w:multiLevelType w:val="hybridMultilevel"/>
    <w:tmpl w:val="D5466F3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F463E96"/>
    <w:multiLevelType w:val="hybridMultilevel"/>
    <w:tmpl w:val="631484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69130B"/>
    <w:multiLevelType w:val="hybridMultilevel"/>
    <w:tmpl w:val="6E10B79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5D60FC0"/>
    <w:multiLevelType w:val="hybridMultilevel"/>
    <w:tmpl w:val="C5C0D83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71614CA"/>
    <w:multiLevelType w:val="hybridMultilevel"/>
    <w:tmpl w:val="5DD4E96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9301BBB"/>
    <w:multiLevelType w:val="hybridMultilevel"/>
    <w:tmpl w:val="01F452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2300A8"/>
    <w:multiLevelType w:val="hybridMultilevel"/>
    <w:tmpl w:val="BC3CF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A613C0"/>
    <w:multiLevelType w:val="hybridMultilevel"/>
    <w:tmpl w:val="A9281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7F6F31"/>
    <w:multiLevelType w:val="hybridMultilevel"/>
    <w:tmpl w:val="E9A029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515DB7"/>
    <w:multiLevelType w:val="hybridMultilevel"/>
    <w:tmpl w:val="0B3AF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363A8C"/>
    <w:multiLevelType w:val="hybridMultilevel"/>
    <w:tmpl w:val="B56A5BD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43C01F0"/>
    <w:multiLevelType w:val="hybridMultilevel"/>
    <w:tmpl w:val="0C34800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4570E46"/>
    <w:multiLevelType w:val="hybridMultilevel"/>
    <w:tmpl w:val="AE1293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C7342E"/>
    <w:multiLevelType w:val="hybridMultilevel"/>
    <w:tmpl w:val="0334401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65A39A5"/>
    <w:multiLevelType w:val="hybridMultilevel"/>
    <w:tmpl w:val="6D0834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C337CC"/>
    <w:multiLevelType w:val="hybridMultilevel"/>
    <w:tmpl w:val="AD8C62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5E5CA5"/>
    <w:multiLevelType w:val="hybridMultilevel"/>
    <w:tmpl w:val="FE70D8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5E7811"/>
    <w:multiLevelType w:val="hybridMultilevel"/>
    <w:tmpl w:val="FEA6D40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6676DCB"/>
    <w:multiLevelType w:val="hybridMultilevel"/>
    <w:tmpl w:val="93A0FD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F2023D"/>
    <w:multiLevelType w:val="hybridMultilevel"/>
    <w:tmpl w:val="FA6EE28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90C627F"/>
    <w:multiLevelType w:val="hybridMultilevel"/>
    <w:tmpl w:val="B78CF1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CA36FC"/>
    <w:multiLevelType w:val="hybridMultilevel"/>
    <w:tmpl w:val="27E84F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C702B"/>
    <w:multiLevelType w:val="hybridMultilevel"/>
    <w:tmpl w:val="E548A0A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34D59C1"/>
    <w:multiLevelType w:val="hybridMultilevel"/>
    <w:tmpl w:val="2556CDF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4346E0C"/>
    <w:multiLevelType w:val="hybridMultilevel"/>
    <w:tmpl w:val="17A686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4440CE"/>
    <w:multiLevelType w:val="hybridMultilevel"/>
    <w:tmpl w:val="C89C83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8218FE"/>
    <w:multiLevelType w:val="hybridMultilevel"/>
    <w:tmpl w:val="0AB04CE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5F041B7"/>
    <w:multiLevelType w:val="hybridMultilevel"/>
    <w:tmpl w:val="95D471F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9CE3934"/>
    <w:multiLevelType w:val="hybridMultilevel"/>
    <w:tmpl w:val="69D217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4A37B8"/>
    <w:multiLevelType w:val="hybridMultilevel"/>
    <w:tmpl w:val="B3B007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907EEA"/>
    <w:multiLevelType w:val="hybridMultilevel"/>
    <w:tmpl w:val="442E03B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32"/>
  </w:num>
  <w:num w:numId="3">
    <w:abstractNumId w:val="9"/>
  </w:num>
  <w:num w:numId="4">
    <w:abstractNumId w:val="36"/>
  </w:num>
  <w:num w:numId="5">
    <w:abstractNumId w:val="6"/>
  </w:num>
  <w:num w:numId="6">
    <w:abstractNumId w:val="1"/>
  </w:num>
  <w:num w:numId="7">
    <w:abstractNumId w:val="39"/>
  </w:num>
  <w:num w:numId="8">
    <w:abstractNumId w:val="20"/>
  </w:num>
  <w:num w:numId="9">
    <w:abstractNumId w:val="31"/>
  </w:num>
  <w:num w:numId="10">
    <w:abstractNumId w:val="26"/>
  </w:num>
  <w:num w:numId="11">
    <w:abstractNumId w:val="12"/>
  </w:num>
  <w:num w:numId="12">
    <w:abstractNumId w:val="11"/>
  </w:num>
  <w:num w:numId="13">
    <w:abstractNumId w:val="19"/>
  </w:num>
  <w:num w:numId="14">
    <w:abstractNumId w:val="28"/>
  </w:num>
  <w:num w:numId="15">
    <w:abstractNumId w:val="4"/>
  </w:num>
  <w:num w:numId="16">
    <w:abstractNumId w:val="15"/>
  </w:num>
  <w:num w:numId="17">
    <w:abstractNumId w:val="29"/>
  </w:num>
  <w:num w:numId="18">
    <w:abstractNumId w:val="30"/>
  </w:num>
  <w:num w:numId="19">
    <w:abstractNumId w:val="3"/>
  </w:num>
  <w:num w:numId="20">
    <w:abstractNumId w:val="17"/>
  </w:num>
  <w:num w:numId="21">
    <w:abstractNumId w:val="37"/>
  </w:num>
  <w:num w:numId="22">
    <w:abstractNumId w:val="27"/>
  </w:num>
  <w:num w:numId="23">
    <w:abstractNumId w:val="18"/>
  </w:num>
  <w:num w:numId="24">
    <w:abstractNumId w:val="7"/>
  </w:num>
  <w:num w:numId="25">
    <w:abstractNumId w:val="33"/>
  </w:num>
  <w:num w:numId="26">
    <w:abstractNumId w:val="5"/>
  </w:num>
  <w:num w:numId="27">
    <w:abstractNumId w:val="23"/>
  </w:num>
  <w:num w:numId="28">
    <w:abstractNumId w:val="8"/>
  </w:num>
  <w:num w:numId="29">
    <w:abstractNumId w:val="24"/>
  </w:num>
  <w:num w:numId="30">
    <w:abstractNumId w:val="34"/>
  </w:num>
  <w:num w:numId="31">
    <w:abstractNumId w:val="0"/>
  </w:num>
  <w:num w:numId="32">
    <w:abstractNumId w:val="14"/>
  </w:num>
  <w:num w:numId="33">
    <w:abstractNumId w:val="21"/>
  </w:num>
  <w:num w:numId="34">
    <w:abstractNumId w:val="2"/>
  </w:num>
  <w:num w:numId="35">
    <w:abstractNumId w:val="35"/>
  </w:num>
  <w:num w:numId="36">
    <w:abstractNumId w:val="13"/>
  </w:num>
  <w:num w:numId="37">
    <w:abstractNumId w:val="38"/>
  </w:num>
  <w:num w:numId="38">
    <w:abstractNumId w:val="10"/>
  </w:num>
  <w:num w:numId="39">
    <w:abstractNumId w:val="16"/>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26"/>
    <w:rsid w:val="000042BA"/>
    <w:rsid w:val="00005C46"/>
    <w:rsid w:val="000102E9"/>
    <w:rsid w:val="00012B0C"/>
    <w:rsid w:val="00016F81"/>
    <w:rsid w:val="00021329"/>
    <w:rsid w:val="00021CBD"/>
    <w:rsid w:val="00022F9F"/>
    <w:rsid w:val="00023D51"/>
    <w:rsid w:val="000247DE"/>
    <w:rsid w:val="0002686E"/>
    <w:rsid w:val="00027639"/>
    <w:rsid w:val="00027E8C"/>
    <w:rsid w:val="00030B78"/>
    <w:rsid w:val="00033C40"/>
    <w:rsid w:val="0003435C"/>
    <w:rsid w:val="00035678"/>
    <w:rsid w:val="00037A04"/>
    <w:rsid w:val="0004398C"/>
    <w:rsid w:val="000508A6"/>
    <w:rsid w:val="00052D09"/>
    <w:rsid w:val="00054F7B"/>
    <w:rsid w:val="00057B48"/>
    <w:rsid w:val="00061FCD"/>
    <w:rsid w:val="000621CA"/>
    <w:rsid w:val="00063AB4"/>
    <w:rsid w:val="000650B4"/>
    <w:rsid w:val="00070B83"/>
    <w:rsid w:val="00074AAA"/>
    <w:rsid w:val="00074ECD"/>
    <w:rsid w:val="00077B5B"/>
    <w:rsid w:val="00080079"/>
    <w:rsid w:val="000864DD"/>
    <w:rsid w:val="000904C1"/>
    <w:rsid w:val="00092D9C"/>
    <w:rsid w:val="0009422C"/>
    <w:rsid w:val="000A0B4A"/>
    <w:rsid w:val="000A0FFE"/>
    <w:rsid w:val="000A38F0"/>
    <w:rsid w:val="000A4BE9"/>
    <w:rsid w:val="000B0088"/>
    <w:rsid w:val="000B2F52"/>
    <w:rsid w:val="000B325B"/>
    <w:rsid w:val="000B3A5D"/>
    <w:rsid w:val="000B5526"/>
    <w:rsid w:val="000B6F84"/>
    <w:rsid w:val="000C1D3C"/>
    <w:rsid w:val="000D060E"/>
    <w:rsid w:val="000D39AD"/>
    <w:rsid w:val="000D4D1F"/>
    <w:rsid w:val="000D50CF"/>
    <w:rsid w:val="000E0131"/>
    <w:rsid w:val="000E2C04"/>
    <w:rsid w:val="000E4DBE"/>
    <w:rsid w:val="000F06C9"/>
    <w:rsid w:val="000F0B43"/>
    <w:rsid w:val="000F137A"/>
    <w:rsid w:val="000F1980"/>
    <w:rsid w:val="000F3B3A"/>
    <w:rsid w:val="000F7047"/>
    <w:rsid w:val="00101B6D"/>
    <w:rsid w:val="00103F70"/>
    <w:rsid w:val="00105EED"/>
    <w:rsid w:val="00111042"/>
    <w:rsid w:val="00114A65"/>
    <w:rsid w:val="001175D8"/>
    <w:rsid w:val="00117B63"/>
    <w:rsid w:val="001207B4"/>
    <w:rsid w:val="00122648"/>
    <w:rsid w:val="00124CC3"/>
    <w:rsid w:val="001264C3"/>
    <w:rsid w:val="00126E1C"/>
    <w:rsid w:val="00131797"/>
    <w:rsid w:val="00134E9B"/>
    <w:rsid w:val="00140403"/>
    <w:rsid w:val="0014181E"/>
    <w:rsid w:val="0014211F"/>
    <w:rsid w:val="0014537F"/>
    <w:rsid w:val="001466A6"/>
    <w:rsid w:val="0015445E"/>
    <w:rsid w:val="001621A2"/>
    <w:rsid w:val="00165071"/>
    <w:rsid w:val="00167E4F"/>
    <w:rsid w:val="00170BBC"/>
    <w:rsid w:val="00174499"/>
    <w:rsid w:val="0017552C"/>
    <w:rsid w:val="00176F52"/>
    <w:rsid w:val="001830E7"/>
    <w:rsid w:val="001900C9"/>
    <w:rsid w:val="00191605"/>
    <w:rsid w:val="00194940"/>
    <w:rsid w:val="001955EA"/>
    <w:rsid w:val="00195D4C"/>
    <w:rsid w:val="001A0C0D"/>
    <w:rsid w:val="001A1E86"/>
    <w:rsid w:val="001A4419"/>
    <w:rsid w:val="001A593D"/>
    <w:rsid w:val="001A6055"/>
    <w:rsid w:val="001A6921"/>
    <w:rsid w:val="001A6DE7"/>
    <w:rsid w:val="001B1A1B"/>
    <w:rsid w:val="001B27CE"/>
    <w:rsid w:val="001B3003"/>
    <w:rsid w:val="001B5B7D"/>
    <w:rsid w:val="001B7416"/>
    <w:rsid w:val="001B7ED1"/>
    <w:rsid w:val="001C0F17"/>
    <w:rsid w:val="001C44C6"/>
    <w:rsid w:val="001D424F"/>
    <w:rsid w:val="001D66F0"/>
    <w:rsid w:val="001D775B"/>
    <w:rsid w:val="001E1602"/>
    <w:rsid w:val="001E1633"/>
    <w:rsid w:val="001E18B9"/>
    <w:rsid w:val="001E2181"/>
    <w:rsid w:val="001E553B"/>
    <w:rsid w:val="001E5FA5"/>
    <w:rsid w:val="001E7062"/>
    <w:rsid w:val="001F0B79"/>
    <w:rsid w:val="001F27C3"/>
    <w:rsid w:val="001F292D"/>
    <w:rsid w:val="002011F9"/>
    <w:rsid w:val="00207077"/>
    <w:rsid w:val="00210850"/>
    <w:rsid w:val="002119F0"/>
    <w:rsid w:val="00211C48"/>
    <w:rsid w:val="00216191"/>
    <w:rsid w:val="0022051E"/>
    <w:rsid w:val="00222BEF"/>
    <w:rsid w:val="00224094"/>
    <w:rsid w:val="00230661"/>
    <w:rsid w:val="002331A8"/>
    <w:rsid w:val="002371A4"/>
    <w:rsid w:val="002446C3"/>
    <w:rsid w:val="00244AA3"/>
    <w:rsid w:val="00246DDB"/>
    <w:rsid w:val="00251B7F"/>
    <w:rsid w:val="00253FBB"/>
    <w:rsid w:val="00255AA2"/>
    <w:rsid w:val="00255F17"/>
    <w:rsid w:val="0025796E"/>
    <w:rsid w:val="0026190B"/>
    <w:rsid w:val="00261EEF"/>
    <w:rsid w:val="00264C14"/>
    <w:rsid w:val="00266346"/>
    <w:rsid w:val="0026692D"/>
    <w:rsid w:val="00272D08"/>
    <w:rsid w:val="002746FA"/>
    <w:rsid w:val="00277340"/>
    <w:rsid w:val="00283843"/>
    <w:rsid w:val="00284B3E"/>
    <w:rsid w:val="00295B21"/>
    <w:rsid w:val="002968A3"/>
    <w:rsid w:val="002A5186"/>
    <w:rsid w:val="002A673C"/>
    <w:rsid w:val="002A75FF"/>
    <w:rsid w:val="002B0210"/>
    <w:rsid w:val="002B0CE4"/>
    <w:rsid w:val="002B2696"/>
    <w:rsid w:val="002B2F4F"/>
    <w:rsid w:val="002B76B5"/>
    <w:rsid w:val="002C0417"/>
    <w:rsid w:val="002C3752"/>
    <w:rsid w:val="002D07EE"/>
    <w:rsid w:val="002D0C4B"/>
    <w:rsid w:val="002D51B6"/>
    <w:rsid w:val="002E001A"/>
    <w:rsid w:val="002E077E"/>
    <w:rsid w:val="002E0AB3"/>
    <w:rsid w:val="002E0F2B"/>
    <w:rsid w:val="002E288B"/>
    <w:rsid w:val="002E2BEA"/>
    <w:rsid w:val="002F4020"/>
    <w:rsid w:val="002F6741"/>
    <w:rsid w:val="002F7671"/>
    <w:rsid w:val="002F7C7D"/>
    <w:rsid w:val="00300B81"/>
    <w:rsid w:val="00300D14"/>
    <w:rsid w:val="00301E01"/>
    <w:rsid w:val="0030295E"/>
    <w:rsid w:val="00302D55"/>
    <w:rsid w:val="003030FA"/>
    <w:rsid w:val="0031033A"/>
    <w:rsid w:val="003115AF"/>
    <w:rsid w:val="00311A32"/>
    <w:rsid w:val="0031286C"/>
    <w:rsid w:val="00312EDA"/>
    <w:rsid w:val="003138EB"/>
    <w:rsid w:val="00314DD9"/>
    <w:rsid w:val="00316B79"/>
    <w:rsid w:val="00321DBC"/>
    <w:rsid w:val="0032381B"/>
    <w:rsid w:val="00327E2A"/>
    <w:rsid w:val="0033085B"/>
    <w:rsid w:val="00334AB4"/>
    <w:rsid w:val="00336C59"/>
    <w:rsid w:val="00346724"/>
    <w:rsid w:val="0034709C"/>
    <w:rsid w:val="00350428"/>
    <w:rsid w:val="0035324A"/>
    <w:rsid w:val="0035330E"/>
    <w:rsid w:val="0035505C"/>
    <w:rsid w:val="003569D9"/>
    <w:rsid w:val="00357B0D"/>
    <w:rsid w:val="0036076B"/>
    <w:rsid w:val="00363AA0"/>
    <w:rsid w:val="00364AD6"/>
    <w:rsid w:val="00367E94"/>
    <w:rsid w:val="003737E2"/>
    <w:rsid w:val="003755D8"/>
    <w:rsid w:val="00384B2B"/>
    <w:rsid w:val="00390864"/>
    <w:rsid w:val="00393782"/>
    <w:rsid w:val="00396D9B"/>
    <w:rsid w:val="00396D9D"/>
    <w:rsid w:val="003A44F2"/>
    <w:rsid w:val="003B10A6"/>
    <w:rsid w:val="003B140A"/>
    <w:rsid w:val="003B4047"/>
    <w:rsid w:val="003B434D"/>
    <w:rsid w:val="003B514A"/>
    <w:rsid w:val="003B73E8"/>
    <w:rsid w:val="003C030F"/>
    <w:rsid w:val="003C0915"/>
    <w:rsid w:val="003C45FB"/>
    <w:rsid w:val="003C6DB7"/>
    <w:rsid w:val="003C7270"/>
    <w:rsid w:val="003C7B76"/>
    <w:rsid w:val="003D2F88"/>
    <w:rsid w:val="003D7FF2"/>
    <w:rsid w:val="003E0CE8"/>
    <w:rsid w:val="003E586C"/>
    <w:rsid w:val="003E7591"/>
    <w:rsid w:val="003F0D7B"/>
    <w:rsid w:val="003F1D99"/>
    <w:rsid w:val="003F5083"/>
    <w:rsid w:val="004020D2"/>
    <w:rsid w:val="00402281"/>
    <w:rsid w:val="00402A88"/>
    <w:rsid w:val="0040411C"/>
    <w:rsid w:val="00404398"/>
    <w:rsid w:val="00404AB8"/>
    <w:rsid w:val="00410872"/>
    <w:rsid w:val="00415EEA"/>
    <w:rsid w:val="00420622"/>
    <w:rsid w:val="0042164A"/>
    <w:rsid w:val="004226B6"/>
    <w:rsid w:val="00430BE7"/>
    <w:rsid w:val="004322EC"/>
    <w:rsid w:val="004323AE"/>
    <w:rsid w:val="0043356C"/>
    <w:rsid w:val="00435925"/>
    <w:rsid w:val="00437365"/>
    <w:rsid w:val="00442C26"/>
    <w:rsid w:val="00447A3A"/>
    <w:rsid w:val="00450BF3"/>
    <w:rsid w:val="00450FE6"/>
    <w:rsid w:val="00451DFC"/>
    <w:rsid w:val="004533EB"/>
    <w:rsid w:val="004558F5"/>
    <w:rsid w:val="00461DF9"/>
    <w:rsid w:val="00463DE5"/>
    <w:rsid w:val="00464D17"/>
    <w:rsid w:val="004651F5"/>
    <w:rsid w:val="00466C8A"/>
    <w:rsid w:val="0047134C"/>
    <w:rsid w:val="0047186E"/>
    <w:rsid w:val="00471D97"/>
    <w:rsid w:val="00472F8A"/>
    <w:rsid w:val="0047409C"/>
    <w:rsid w:val="004746DA"/>
    <w:rsid w:val="00480DDF"/>
    <w:rsid w:val="004916AC"/>
    <w:rsid w:val="00491C52"/>
    <w:rsid w:val="00493594"/>
    <w:rsid w:val="004938C2"/>
    <w:rsid w:val="004A2429"/>
    <w:rsid w:val="004A27AF"/>
    <w:rsid w:val="004A34A0"/>
    <w:rsid w:val="004A6B82"/>
    <w:rsid w:val="004A70F9"/>
    <w:rsid w:val="004A71A4"/>
    <w:rsid w:val="004A7E77"/>
    <w:rsid w:val="004B2DE9"/>
    <w:rsid w:val="004B6CCB"/>
    <w:rsid w:val="004C04DB"/>
    <w:rsid w:val="004D0AB5"/>
    <w:rsid w:val="004D3853"/>
    <w:rsid w:val="004D4958"/>
    <w:rsid w:val="004E44C4"/>
    <w:rsid w:val="004E6529"/>
    <w:rsid w:val="004F538D"/>
    <w:rsid w:val="004F58FA"/>
    <w:rsid w:val="004F62C3"/>
    <w:rsid w:val="004F6868"/>
    <w:rsid w:val="004F767D"/>
    <w:rsid w:val="00501CC7"/>
    <w:rsid w:val="00506FF8"/>
    <w:rsid w:val="00507382"/>
    <w:rsid w:val="00510CE2"/>
    <w:rsid w:val="00513409"/>
    <w:rsid w:val="00514BB3"/>
    <w:rsid w:val="00520000"/>
    <w:rsid w:val="00520410"/>
    <w:rsid w:val="00522231"/>
    <w:rsid w:val="00533090"/>
    <w:rsid w:val="00533B5B"/>
    <w:rsid w:val="00535A01"/>
    <w:rsid w:val="00535C8F"/>
    <w:rsid w:val="005368E8"/>
    <w:rsid w:val="0053755B"/>
    <w:rsid w:val="00541147"/>
    <w:rsid w:val="005443B1"/>
    <w:rsid w:val="00547426"/>
    <w:rsid w:val="005520BF"/>
    <w:rsid w:val="00552E97"/>
    <w:rsid w:val="005537F2"/>
    <w:rsid w:val="00556196"/>
    <w:rsid w:val="00563A94"/>
    <w:rsid w:val="005649EA"/>
    <w:rsid w:val="00564A93"/>
    <w:rsid w:val="00570F51"/>
    <w:rsid w:val="00572C14"/>
    <w:rsid w:val="00575EC6"/>
    <w:rsid w:val="00582496"/>
    <w:rsid w:val="00582DA1"/>
    <w:rsid w:val="00583079"/>
    <w:rsid w:val="0058650E"/>
    <w:rsid w:val="005923B4"/>
    <w:rsid w:val="0059438E"/>
    <w:rsid w:val="00595101"/>
    <w:rsid w:val="00595819"/>
    <w:rsid w:val="00595BC0"/>
    <w:rsid w:val="00595DD3"/>
    <w:rsid w:val="005A0DAF"/>
    <w:rsid w:val="005A21D4"/>
    <w:rsid w:val="005A50A6"/>
    <w:rsid w:val="005A6D33"/>
    <w:rsid w:val="005A72C1"/>
    <w:rsid w:val="005B044D"/>
    <w:rsid w:val="005B18CA"/>
    <w:rsid w:val="005B5587"/>
    <w:rsid w:val="005C2003"/>
    <w:rsid w:val="005C238A"/>
    <w:rsid w:val="005C2934"/>
    <w:rsid w:val="005C442C"/>
    <w:rsid w:val="005C5477"/>
    <w:rsid w:val="005C7FCF"/>
    <w:rsid w:val="005D0F5B"/>
    <w:rsid w:val="005D13B5"/>
    <w:rsid w:val="005D1DC6"/>
    <w:rsid w:val="005D1EAA"/>
    <w:rsid w:val="005D678D"/>
    <w:rsid w:val="005D6BE7"/>
    <w:rsid w:val="005E19A6"/>
    <w:rsid w:val="005E2619"/>
    <w:rsid w:val="005E4143"/>
    <w:rsid w:val="005E5279"/>
    <w:rsid w:val="005E6820"/>
    <w:rsid w:val="005F5A44"/>
    <w:rsid w:val="005F7546"/>
    <w:rsid w:val="00600E1B"/>
    <w:rsid w:val="00601903"/>
    <w:rsid w:val="00605BAE"/>
    <w:rsid w:val="00605D17"/>
    <w:rsid w:val="00606AEC"/>
    <w:rsid w:val="00607EBB"/>
    <w:rsid w:val="006103BF"/>
    <w:rsid w:val="00611EB2"/>
    <w:rsid w:val="0061436E"/>
    <w:rsid w:val="00620BD1"/>
    <w:rsid w:val="00622A37"/>
    <w:rsid w:val="00632814"/>
    <w:rsid w:val="00637675"/>
    <w:rsid w:val="0064379B"/>
    <w:rsid w:val="00646091"/>
    <w:rsid w:val="00650092"/>
    <w:rsid w:val="006510E3"/>
    <w:rsid w:val="00652FB5"/>
    <w:rsid w:val="00653F08"/>
    <w:rsid w:val="0065651F"/>
    <w:rsid w:val="0066355C"/>
    <w:rsid w:val="00671398"/>
    <w:rsid w:val="0067493D"/>
    <w:rsid w:val="006762C8"/>
    <w:rsid w:val="00682C46"/>
    <w:rsid w:val="006838C2"/>
    <w:rsid w:val="00691E77"/>
    <w:rsid w:val="006939FF"/>
    <w:rsid w:val="0069422F"/>
    <w:rsid w:val="00695A26"/>
    <w:rsid w:val="00695E36"/>
    <w:rsid w:val="00696851"/>
    <w:rsid w:val="006A4C13"/>
    <w:rsid w:val="006A5733"/>
    <w:rsid w:val="006A5F15"/>
    <w:rsid w:val="006A6535"/>
    <w:rsid w:val="006A73AA"/>
    <w:rsid w:val="006B2969"/>
    <w:rsid w:val="006C7B59"/>
    <w:rsid w:val="006D3210"/>
    <w:rsid w:val="006D4DD2"/>
    <w:rsid w:val="006D5310"/>
    <w:rsid w:val="006E0B2B"/>
    <w:rsid w:val="006E17DB"/>
    <w:rsid w:val="006E2C0F"/>
    <w:rsid w:val="006E4964"/>
    <w:rsid w:val="006E67AF"/>
    <w:rsid w:val="006E7DC0"/>
    <w:rsid w:val="006F298E"/>
    <w:rsid w:val="006F29CC"/>
    <w:rsid w:val="006F2F2C"/>
    <w:rsid w:val="006F3A48"/>
    <w:rsid w:val="006F43EC"/>
    <w:rsid w:val="006F49DD"/>
    <w:rsid w:val="006F6307"/>
    <w:rsid w:val="006F772F"/>
    <w:rsid w:val="0070084D"/>
    <w:rsid w:val="00701226"/>
    <w:rsid w:val="0070141A"/>
    <w:rsid w:val="00707211"/>
    <w:rsid w:val="00707AF6"/>
    <w:rsid w:val="00707CFF"/>
    <w:rsid w:val="007111F4"/>
    <w:rsid w:val="007167EA"/>
    <w:rsid w:val="007179ED"/>
    <w:rsid w:val="00720590"/>
    <w:rsid w:val="007237A1"/>
    <w:rsid w:val="007271C5"/>
    <w:rsid w:val="0073481D"/>
    <w:rsid w:val="0074253A"/>
    <w:rsid w:val="00746E33"/>
    <w:rsid w:val="00747683"/>
    <w:rsid w:val="00751C6B"/>
    <w:rsid w:val="00754502"/>
    <w:rsid w:val="00754F13"/>
    <w:rsid w:val="007553F7"/>
    <w:rsid w:val="00756623"/>
    <w:rsid w:val="007571E0"/>
    <w:rsid w:val="0076017C"/>
    <w:rsid w:val="00764FBC"/>
    <w:rsid w:val="00765C40"/>
    <w:rsid w:val="0077001B"/>
    <w:rsid w:val="007750E8"/>
    <w:rsid w:val="007815FE"/>
    <w:rsid w:val="00784C16"/>
    <w:rsid w:val="00787BA2"/>
    <w:rsid w:val="007917CD"/>
    <w:rsid w:val="00792DFB"/>
    <w:rsid w:val="007930EE"/>
    <w:rsid w:val="007A0882"/>
    <w:rsid w:val="007A6C12"/>
    <w:rsid w:val="007B0750"/>
    <w:rsid w:val="007B095C"/>
    <w:rsid w:val="007B1E41"/>
    <w:rsid w:val="007B6B00"/>
    <w:rsid w:val="007B77A3"/>
    <w:rsid w:val="007C25E0"/>
    <w:rsid w:val="007C4B4C"/>
    <w:rsid w:val="007C4CBF"/>
    <w:rsid w:val="007C79AD"/>
    <w:rsid w:val="007D3734"/>
    <w:rsid w:val="007D4D31"/>
    <w:rsid w:val="007D71BE"/>
    <w:rsid w:val="007E3DB7"/>
    <w:rsid w:val="007F0B05"/>
    <w:rsid w:val="007F1975"/>
    <w:rsid w:val="007F2398"/>
    <w:rsid w:val="007F5016"/>
    <w:rsid w:val="007F5C89"/>
    <w:rsid w:val="007F7D71"/>
    <w:rsid w:val="00807FF4"/>
    <w:rsid w:val="00810425"/>
    <w:rsid w:val="00813B49"/>
    <w:rsid w:val="0081481E"/>
    <w:rsid w:val="008156EA"/>
    <w:rsid w:val="0081607E"/>
    <w:rsid w:val="00816116"/>
    <w:rsid w:val="0082175C"/>
    <w:rsid w:val="00822275"/>
    <w:rsid w:val="008224F0"/>
    <w:rsid w:val="00827B47"/>
    <w:rsid w:val="00827F15"/>
    <w:rsid w:val="008310B7"/>
    <w:rsid w:val="00831BE5"/>
    <w:rsid w:val="00831C4C"/>
    <w:rsid w:val="0083566A"/>
    <w:rsid w:val="008404EC"/>
    <w:rsid w:val="00844F85"/>
    <w:rsid w:val="00846A2A"/>
    <w:rsid w:val="008547EC"/>
    <w:rsid w:val="008560E8"/>
    <w:rsid w:val="008568E4"/>
    <w:rsid w:val="00857CFB"/>
    <w:rsid w:val="008606D9"/>
    <w:rsid w:val="008614CF"/>
    <w:rsid w:val="00865222"/>
    <w:rsid w:val="00865F86"/>
    <w:rsid w:val="008706D8"/>
    <w:rsid w:val="00873A7B"/>
    <w:rsid w:val="00877360"/>
    <w:rsid w:val="0088044B"/>
    <w:rsid w:val="00881362"/>
    <w:rsid w:val="00883BC0"/>
    <w:rsid w:val="00884C30"/>
    <w:rsid w:val="00885974"/>
    <w:rsid w:val="00885F14"/>
    <w:rsid w:val="00890486"/>
    <w:rsid w:val="00892AA8"/>
    <w:rsid w:val="00893721"/>
    <w:rsid w:val="00893EDB"/>
    <w:rsid w:val="00894404"/>
    <w:rsid w:val="008A0CC4"/>
    <w:rsid w:val="008A21D5"/>
    <w:rsid w:val="008A38E9"/>
    <w:rsid w:val="008A5369"/>
    <w:rsid w:val="008A6029"/>
    <w:rsid w:val="008B18BA"/>
    <w:rsid w:val="008C1395"/>
    <w:rsid w:val="008C1B11"/>
    <w:rsid w:val="008C3CDD"/>
    <w:rsid w:val="008C649E"/>
    <w:rsid w:val="008D0740"/>
    <w:rsid w:val="008D0CBF"/>
    <w:rsid w:val="008D4587"/>
    <w:rsid w:val="008E15FF"/>
    <w:rsid w:val="008E497F"/>
    <w:rsid w:val="008E4A49"/>
    <w:rsid w:val="008E4EA0"/>
    <w:rsid w:val="008E53FE"/>
    <w:rsid w:val="008F2B2C"/>
    <w:rsid w:val="008F3487"/>
    <w:rsid w:val="008F7149"/>
    <w:rsid w:val="00900B17"/>
    <w:rsid w:val="00901522"/>
    <w:rsid w:val="009019CA"/>
    <w:rsid w:val="009032E6"/>
    <w:rsid w:val="009033DD"/>
    <w:rsid w:val="009037A9"/>
    <w:rsid w:val="00905398"/>
    <w:rsid w:val="00905DED"/>
    <w:rsid w:val="009104B3"/>
    <w:rsid w:val="00912CBB"/>
    <w:rsid w:val="00917DC1"/>
    <w:rsid w:val="00922CE4"/>
    <w:rsid w:val="009259B5"/>
    <w:rsid w:val="00930A8C"/>
    <w:rsid w:val="00930D93"/>
    <w:rsid w:val="0093101E"/>
    <w:rsid w:val="00931D9F"/>
    <w:rsid w:val="00932342"/>
    <w:rsid w:val="0093343C"/>
    <w:rsid w:val="00934180"/>
    <w:rsid w:val="009358B3"/>
    <w:rsid w:val="00936561"/>
    <w:rsid w:val="00937CFC"/>
    <w:rsid w:val="009414D4"/>
    <w:rsid w:val="0094274B"/>
    <w:rsid w:val="00946E9F"/>
    <w:rsid w:val="00953411"/>
    <w:rsid w:val="00957D2E"/>
    <w:rsid w:val="00973EB2"/>
    <w:rsid w:val="00975E5B"/>
    <w:rsid w:val="00976543"/>
    <w:rsid w:val="00984673"/>
    <w:rsid w:val="009860A6"/>
    <w:rsid w:val="00986E21"/>
    <w:rsid w:val="009902C0"/>
    <w:rsid w:val="00992113"/>
    <w:rsid w:val="00994009"/>
    <w:rsid w:val="009A1849"/>
    <w:rsid w:val="009A2655"/>
    <w:rsid w:val="009A4404"/>
    <w:rsid w:val="009A464B"/>
    <w:rsid w:val="009A7D03"/>
    <w:rsid w:val="009B0407"/>
    <w:rsid w:val="009B09EE"/>
    <w:rsid w:val="009B1062"/>
    <w:rsid w:val="009B1BA9"/>
    <w:rsid w:val="009B4D35"/>
    <w:rsid w:val="009B6D29"/>
    <w:rsid w:val="009B763F"/>
    <w:rsid w:val="009C1C01"/>
    <w:rsid w:val="009C203F"/>
    <w:rsid w:val="009C376F"/>
    <w:rsid w:val="009C5127"/>
    <w:rsid w:val="009D02F1"/>
    <w:rsid w:val="009D0D89"/>
    <w:rsid w:val="009D127D"/>
    <w:rsid w:val="009D1DCA"/>
    <w:rsid w:val="009D1F79"/>
    <w:rsid w:val="009D408C"/>
    <w:rsid w:val="009E2148"/>
    <w:rsid w:val="009E34BF"/>
    <w:rsid w:val="009F19C6"/>
    <w:rsid w:val="009F2AC9"/>
    <w:rsid w:val="009F35E8"/>
    <w:rsid w:val="009F477A"/>
    <w:rsid w:val="009F50C4"/>
    <w:rsid w:val="009F5409"/>
    <w:rsid w:val="009F636F"/>
    <w:rsid w:val="00A044AA"/>
    <w:rsid w:val="00A0631C"/>
    <w:rsid w:val="00A13B25"/>
    <w:rsid w:val="00A16FE9"/>
    <w:rsid w:val="00A23D7F"/>
    <w:rsid w:val="00A2702A"/>
    <w:rsid w:val="00A2778C"/>
    <w:rsid w:val="00A329A1"/>
    <w:rsid w:val="00A3393C"/>
    <w:rsid w:val="00A34D5B"/>
    <w:rsid w:val="00A34DA4"/>
    <w:rsid w:val="00A34E95"/>
    <w:rsid w:val="00A45890"/>
    <w:rsid w:val="00A4793E"/>
    <w:rsid w:val="00A52B3C"/>
    <w:rsid w:val="00A530BE"/>
    <w:rsid w:val="00A57C27"/>
    <w:rsid w:val="00A61DA3"/>
    <w:rsid w:val="00A64FE7"/>
    <w:rsid w:val="00A709E5"/>
    <w:rsid w:val="00A72606"/>
    <w:rsid w:val="00A7326F"/>
    <w:rsid w:val="00A779A3"/>
    <w:rsid w:val="00A77AE9"/>
    <w:rsid w:val="00A82EC6"/>
    <w:rsid w:val="00A8541F"/>
    <w:rsid w:val="00A90895"/>
    <w:rsid w:val="00A9108A"/>
    <w:rsid w:val="00A9438D"/>
    <w:rsid w:val="00A952BC"/>
    <w:rsid w:val="00A967D9"/>
    <w:rsid w:val="00A97AA5"/>
    <w:rsid w:val="00AA0D1A"/>
    <w:rsid w:val="00AA0DBC"/>
    <w:rsid w:val="00AA19DA"/>
    <w:rsid w:val="00AA3743"/>
    <w:rsid w:val="00AA3939"/>
    <w:rsid w:val="00AA46ED"/>
    <w:rsid w:val="00AA5527"/>
    <w:rsid w:val="00AA5545"/>
    <w:rsid w:val="00AA75C2"/>
    <w:rsid w:val="00AB2CE8"/>
    <w:rsid w:val="00AB5EF0"/>
    <w:rsid w:val="00AB67CC"/>
    <w:rsid w:val="00AB735B"/>
    <w:rsid w:val="00AC2C26"/>
    <w:rsid w:val="00AC4A43"/>
    <w:rsid w:val="00AD1C03"/>
    <w:rsid w:val="00AD28A3"/>
    <w:rsid w:val="00AE2DC7"/>
    <w:rsid w:val="00AE3366"/>
    <w:rsid w:val="00AE69AC"/>
    <w:rsid w:val="00AF10D2"/>
    <w:rsid w:val="00AF14FB"/>
    <w:rsid w:val="00AF330B"/>
    <w:rsid w:val="00AF53CB"/>
    <w:rsid w:val="00B00FAE"/>
    <w:rsid w:val="00B02A9A"/>
    <w:rsid w:val="00B039F4"/>
    <w:rsid w:val="00B04D16"/>
    <w:rsid w:val="00B05CE3"/>
    <w:rsid w:val="00B06FC1"/>
    <w:rsid w:val="00B079C0"/>
    <w:rsid w:val="00B12A1F"/>
    <w:rsid w:val="00B17387"/>
    <w:rsid w:val="00B21346"/>
    <w:rsid w:val="00B22D61"/>
    <w:rsid w:val="00B2428F"/>
    <w:rsid w:val="00B24ACB"/>
    <w:rsid w:val="00B27C10"/>
    <w:rsid w:val="00B33C60"/>
    <w:rsid w:val="00B367EA"/>
    <w:rsid w:val="00B4136C"/>
    <w:rsid w:val="00B41F29"/>
    <w:rsid w:val="00B43FCD"/>
    <w:rsid w:val="00B4504C"/>
    <w:rsid w:val="00B501B1"/>
    <w:rsid w:val="00B51CBC"/>
    <w:rsid w:val="00B520BA"/>
    <w:rsid w:val="00B560EC"/>
    <w:rsid w:val="00B56763"/>
    <w:rsid w:val="00B60739"/>
    <w:rsid w:val="00B61AAC"/>
    <w:rsid w:val="00B625D2"/>
    <w:rsid w:val="00B62D4A"/>
    <w:rsid w:val="00B647F8"/>
    <w:rsid w:val="00B66707"/>
    <w:rsid w:val="00B66952"/>
    <w:rsid w:val="00B67177"/>
    <w:rsid w:val="00B72A66"/>
    <w:rsid w:val="00B72C69"/>
    <w:rsid w:val="00B73B4C"/>
    <w:rsid w:val="00B73CFD"/>
    <w:rsid w:val="00B74CB4"/>
    <w:rsid w:val="00B8096A"/>
    <w:rsid w:val="00B900EC"/>
    <w:rsid w:val="00B91FE7"/>
    <w:rsid w:val="00B948A3"/>
    <w:rsid w:val="00B9513E"/>
    <w:rsid w:val="00B97766"/>
    <w:rsid w:val="00B97859"/>
    <w:rsid w:val="00B97DB2"/>
    <w:rsid w:val="00BA1181"/>
    <w:rsid w:val="00BA1DAF"/>
    <w:rsid w:val="00BA2F31"/>
    <w:rsid w:val="00BA430D"/>
    <w:rsid w:val="00BA5A7D"/>
    <w:rsid w:val="00BB36B8"/>
    <w:rsid w:val="00BC0269"/>
    <w:rsid w:val="00BC0F10"/>
    <w:rsid w:val="00BC3007"/>
    <w:rsid w:val="00BC440D"/>
    <w:rsid w:val="00BC7D30"/>
    <w:rsid w:val="00BE10E6"/>
    <w:rsid w:val="00BE1239"/>
    <w:rsid w:val="00BE3D6B"/>
    <w:rsid w:val="00BF1C3F"/>
    <w:rsid w:val="00BF2E7C"/>
    <w:rsid w:val="00BF66DC"/>
    <w:rsid w:val="00BF7DDD"/>
    <w:rsid w:val="00C061FF"/>
    <w:rsid w:val="00C13A9F"/>
    <w:rsid w:val="00C151AF"/>
    <w:rsid w:val="00C16F70"/>
    <w:rsid w:val="00C178C6"/>
    <w:rsid w:val="00C17B24"/>
    <w:rsid w:val="00C20324"/>
    <w:rsid w:val="00C2154D"/>
    <w:rsid w:val="00C2445B"/>
    <w:rsid w:val="00C31277"/>
    <w:rsid w:val="00C315AB"/>
    <w:rsid w:val="00C33F82"/>
    <w:rsid w:val="00C34A45"/>
    <w:rsid w:val="00C36CFB"/>
    <w:rsid w:val="00C3796F"/>
    <w:rsid w:val="00C400D9"/>
    <w:rsid w:val="00C414A9"/>
    <w:rsid w:val="00C420B7"/>
    <w:rsid w:val="00C459FD"/>
    <w:rsid w:val="00C462EA"/>
    <w:rsid w:val="00C47BEB"/>
    <w:rsid w:val="00C52910"/>
    <w:rsid w:val="00C55957"/>
    <w:rsid w:val="00C60D7A"/>
    <w:rsid w:val="00C63919"/>
    <w:rsid w:val="00C7100B"/>
    <w:rsid w:val="00C731E4"/>
    <w:rsid w:val="00C735BE"/>
    <w:rsid w:val="00C73A64"/>
    <w:rsid w:val="00C73B9C"/>
    <w:rsid w:val="00C75C86"/>
    <w:rsid w:val="00C76631"/>
    <w:rsid w:val="00C76B49"/>
    <w:rsid w:val="00C774EB"/>
    <w:rsid w:val="00C80981"/>
    <w:rsid w:val="00C8117F"/>
    <w:rsid w:val="00C86E09"/>
    <w:rsid w:val="00C87D50"/>
    <w:rsid w:val="00C92C33"/>
    <w:rsid w:val="00C9549A"/>
    <w:rsid w:val="00C97383"/>
    <w:rsid w:val="00C97D6A"/>
    <w:rsid w:val="00CA26E9"/>
    <w:rsid w:val="00CA5FE1"/>
    <w:rsid w:val="00CB355A"/>
    <w:rsid w:val="00CC0187"/>
    <w:rsid w:val="00CC0E4A"/>
    <w:rsid w:val="00CC2E3C"/>
    <w:rsid w:val="00CD22BD"/>
    <w:rsid w:val="00CD4ACE"/>
    <w:rsid w:val="00CD5983"/>
    <w:rsid w:val="00CE0BDC"/>
    <w:rsid w:val="00CE450B"/>
    <w:rsid w:val="00CE4D75"/>
    <w:rsid w:val="00CE712E"/>
    <w:rsid w:val="00CF09A4"/>
    <w:rsid w:val="00CF29BA"/>
    <w:rsid w:val="00CF36ED"/>
    <w:rsid w:val="00CF458D"/>
    <w:rsid w:val="00CF5F21"/>
    <w:rsid w:val="00CF727E"/>
    <w:rsid w:val="00CF7C23"/>
    <w:rsid w:val="00D01B82"/>
    <w:rsid w:val="00D0322D"/>
    <w:rsid w:val="00D0622C"/>
    <w:rsid w:val="00D0778A"/>
    <w:rsid w:val="00D132EF"/>
    <w:rsid w:val="00D162BA"/>
    <w:rsid w:val="00D212A5"/>
    <w:rsid w:val="00D23806"/>
    <w:rsid w:val="00D26DA3"/>
    <w:rsid w:val="00D330E3"/>
    <w:rsid w:val="00D3493D"/>
    <w:rsid w:val="00D3628B"/>
    <w:rsid w:val="00D37702"/>
    <w:rsid w:val="00D4012E"/>
    <w:rsid w:val="00D4049D"/>
    <w:rsid w:val="00D4511A"/>
    <w:rsid w:val="00D4633A"/>
    <w:rsid w:val="00D46CC7"/>
    <w:rsid w:val="00D50047"/>
    <w:rsid w:val="00D516FE"/>
    <w:rsid w:val="00D51BA9"/>
    <w:rsid w:val="00D541CD"/>
    <w:rsid w:val="00D54E9F"/>
    <w:rsid w:val="00D550A3"/>
    <w:rsid w:val="00D5566D"/>
    <w:rsid w:val="00D63E5B"/>
    <w:rsid w:val="00D653D5"/>
    <w:rsid w:val="00D65E35"/>
    <w:rsid w:val="00D67B64"/>
    <w:rsid w:val="00D715F0"/>
    <w:rsid w:val="00D716B3"/>
    <w:rsid w:val="00D8067D"/>
    <w:rsid w:val="00D829DE"/>
    <w:rsid w:val="00D851FA"/>
    <w:rsid w:val="00D85E78"/>
    <w:rsid w:val="00D900E9"/>
    <w:rsid w:val="00D932CE"/>
    <w:rsid w:val="00D93368"/>
    <w:rsid w:val="00D94397"/>
    <w:rsid w:val="00D94DD0"/>
    <w:rsid w:val="00DA2DBB"/>
    <w:rsid w:val="00DA5A89"/>
    <w:rsid w:val="00DA6483"/>
    <w:rsid w:val="00DA7C28"/>
    <w:rsid w:val="00DB1842"/>
    <w:rsid w:val="00DB3A7C"/>
    <w:rsid w:val="00DB4E73"/>
    <w:rsid w:val="00DB7854"/>
    <w:rsid w:val="00DC0720"/>
    <w:rsid w:val="00DC23C6"/>
    <w:rsid w:val="00DC7355"/>
    <w:rsid w:val="00DD3848"/>
    <w:rsid w:val="00DE0110"/>
    <w:rsid w:val="00DE1832"/>
    <w:rsid w:val="00DE1AC2"/>
    <w:rsid w:val="00DE5AFC"/>
    <w:rsid w:val="00DE73FE"/>
    <w:rsid w:val="00DF4501"/>
    <w:rsid w:val="00E0002A"/>
    <w:rsid w:val="00E0096E"/>
    <w:rsid w:val="00E00B2E"/>
    <w:rsid w:val="00E01A2F"/>
    <w:rsid w:val="00E01AB3"/>
    <w:rsid w:val="00E01D96"/>
    <w:rsid w:val="00E110BA"/>
    <w:rsid w:val="00E12738"/>
    <w:rsid w:val="00E13077"/>
    <w:rsid w:val="00E13549"/>
    <w:rsid w:val="00E21354"/>
    <w:rsid w:val="00E237F8"/>
    <w:rsid w:val="00E3015B"/>
    <w:rsid w:val="00E3021B"/>
    <w:rsid w:val="00E322C3"/>
    <w:rsid w:val="00E331EE"/>
    <w:rsid w:val="00E33554"/>
    <w:rsid w:val="00E33837"/>
    <w:rsid w:val="00E3478F"/>
    <w:rsid w:val="00E35F85"/>
    <w:rsid w:val="00E419AC"/>
    <w:rsid w:val="00E41E28"/>
    <w:rsid w:val="00E43ECC"/>
    <w:rsid w:val="00E45A99"/>
    <w:rsid w:val="00E46127"/>
    <w:rsid w:val="00E472D9"/>
    <w:rsid w:val="00E5118D"/>
    <w:rsid w:val="00E51BDD"/>
    <w:rsid w:val="00E52B11"/>
    <w:rsid w:val="00E52F4C"/>
    <w:rsid w:val="00E7322B"/>
    <w:rsid w:val="00E73ACD"/>
    <w:rsid w:val="00E76AAF"/>
    <w:rsid w:val="00E7706E"/>
    <w:rsid w:val="00E77159"/>
    <w:rsid w:val="00E80188"/>
    <w:rsid w:val="00E810D5"/>
    <w:rsid w:val="00E827A8"/>
    <w:rsid w:val="00E8345B"/>
    <w:rsid w:val="00E84BB8"/>
    <w:rsid w:val="00E853C4"/>
    <w:rsid w:val="00E85A80"/>
    <w:rsid w:val="00E907FD"/>
    <w:rsid w:val="00E9155B"/>
    <w:rsid w:val="00E954B5"/>
    <w:rsid w:val="00EA1922"/>
    <w:rsid w:val="00EB2829"/>
    <w:rsid w:val="00EB3960"/>
    <w:rsid w:val="00EB5BF0"/>
    <w:rsid w:val="00EB618B"/>
    <w:rsid w:val="00EC4018"/>
    <w:rsid w:val="00ED0B9C"/>
    <w:rsid w:val="00ED6406"/>
    <w:rsid w:val="00ED6953"/>
    <w:rsid w:val="00EE29DF"/>
    <w:rsid w:val="00EE514A"/>
    <w:rsid w:val="00EE64D8"/>
    <w:rsid w:val="00EE7C7D"/>
    <w:rsid w:val="00EF08B0"/>
    <w:rsid w:val="00EF11B0"/>
    <w:rsid w:val="00EF238A"/>
    <w:rsid w:val="00EF53A1"/>
    <w:rsid w:val="00EF53C5"/>
    <w:rsid w:val="00EF664D"/>
    <w:rsid w:val="00F007A9"/>
    <w:rsid w:val="00F03B24"/>
    <w:rsid w:val="00F05826"/>
    <w:rsid w:val="00F05E2C"/>
    <w:rsid w:val="00F06862"/>
    <w:rsid w:val="00F103E2"/>
    <w:rsid w:val="00F10514"/>
    <w:rsid w:val="00F123E7"/>
    <w:rsid w:val="00F133B1"/>
    <w:rsid w:val="00F14AB6"/>
    <w:rsid w:val="00F16E1E"/>
    <w:rsid w:val="00F2076F"/>
    <w:rsid w:val="00F2083F"/>
    <w:rsid w:val="00F23B11"/>
    <w:rsid w:val="00F31483"/>
    <w:rsid w:val="00F33543"/>
    <w:rsid w:val="00F33706"/>
    <w:rsid w:val="00F37683"/>
    <w:rsid w:val="00F40112"/>
    <w:rsid w:val="00F4182E"/>
    <w:rsid w:val="00F41F4E"/>
    <w:rsid w:val="00F42ED2"/>
    <w:rsid w:val="00F46A16"/>
    <w:rsid w:val="00F47499"/>
    <w:rsid w:val="00F47B49"/>
    <w:rsid w:val="00F526DA"/>
    <w:rsid w:val="00F53791"/>
    <w:rsid w:val="00F537AE"/>
    <w:rsid w:val="00F67CD6"/>
    <w:rsid w:val="00F72063"/>
    <w:rsid w:val="00F80EC6"/>
    <w:rsid w:val="00F81582"/>
    <w:rsid w:val="00F81AFB"/>
    <w:rsid w:val="00F83479"/>
    <w:rsid w:val="00F83B69"/>
    <w:rsid w:val="00F85932"/>
    <w:rsid w:val="00F86CCA"/>
    <w:rsid w:val="00F908C3"/>
    <w:rsid w:val="00F94F6B"/>
    <w:rsid w:val="00F95C70"/>
    <w:rsid w:val="00FA1FC9"/>
    <w:rsid w:val="00FA2D70"/>
    <w:rsid w:val="00FA3C83"/>
    <w:rsid w:val="00FA51DC"/>
    <w:rsid w:val="00FA5CDA"/>
    <w:rsid w:val="00FB59A7"/>
    <w:rsid w:val="00FC0F0C"/>
    <w:rsid w:val="00FC451A"/>
    <w:rsid w:val="00FC73BA"/>
    <w:rsid w:val="00FD1076"/>
    <w:rsid w:val="00FD1DA5"/>
    <w:rsid w:val="00FD7613"/>
    <w:rsid w:val="00FE0888"/>
    <w:rsid w:val="00FE3A3C"/>
    <w:rsid w:val="00FE43AB"/>
    <w:rsid w:val="00FE5397"/>
    <w:rsid w:val="00FE5CD6"/>
    <w:rsid w:val="00FE6DDD"/>
    <w:rsid w:val="00FF1ADC"/>
    <w:rsid w:val="00FF2816"/>
    <w:rsid w:val="00FF4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C8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8A359B"/>
  </w:style>
  <w:style w:type="character" w:styleId="FootnoteReference">
    <w:name w:val="footnote reference"/>
    <w:basedOn w:val="DefaultParagraphFont"/>
    <w:semiHidden/>
    <w:rsid w:val="008A359B"/>
    <w:rPr>
      <w:vertAlign w:val="superscript"/>
    </w:rPr>
  </w:style>
  <w:style w:type="paragraph" w:styleId="Header">
    <w:name w:val="header"/>
    <w:basedOn w:val="Normal"/>
    <w:rsid w:val="00B73CFD"/>
    <w:pPr>
      <w:tabs>
        <w:tab w:val="center" w:pos="4320"/>
        <w:tab w:val="right" w:pos="8640"/>
      </w:tabs>
    </w:pPr>
  </w:style>
  <w:style w:type="paragraph" w:styleId="Footer">
    <w:name w:val="footer"/>
    <w:basedOn w:val="Normal"/>
    <w:rsid w:val="00B73CFD"/>
    <w:pPr>
      <w:tabs>
        <w:tab w:val="center" w:pos="4320"/>
        <w:tab w:val="right" w:pos="8640"/>
      </w:tabs>
    </w:pPr>
  </w:style>
  <w:style w:type="character" w:styleId="PageNumber">
    <w:name w:val="page number"/>
    <w:basedOn w:val="DefaultParagraphFont"/>
    <w:rsid w:val="00B73CFD"/>
  </w:style>
  <w:style w:type="character" w:styleId="Hyperlink">
    <w:name w:val="Hyperlink"/>
    <w:basedOn w:val="DefaultParagraphFont"/>
    <w:rsid w:val="001264C3"/>
    <w:rPr>
      <w:color w:val="0000FF"/>
      <w:u w:val="single"/>
    </w:rPr>
  </w:style>
  <w:style w:type="table" w:styleId="TableGrid">
    <w:name w:val="Table Grid"/>
    <w:basedOn w:val="TableNormal"/>
    <w:rsid w:val="001544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292D"/>
    <w:rPr>
      <w:rFonts w:ascii="Tahoma" w:hAnsi="Tahoma" w:cs="Tahoma"/>
      <w:sz w:val="16"/>
      <w:szCs w:val="16"/>
    </w:rPr>
  </w:style>
  <w:style w:type="character" w:customStyle="1" w:styleId="BalloonTextChar">
    <w:name w:val="Balloon Text Char"/>
    <w:basedOn w:val="DefaultParagraphFont"/>
    <w:link w:val="BalloonText"/>
    <w:uiPriority w:val="99"/>
    <w:semiHidden/>
    <w:rsid w:val="001F292D"/>
    <w:rPr>
      <w:rFonts w:ascii="Tahoma" w:hAnsi="Tahoma" w:cs="Tahoma"/>
      <w:sz w:val="16"/>
      <w:szCs w:val="16"/>
    </w:rPr>
  </w:style>
  <w:style w:type="paragraph" w:styleId="ListParagraph">
    <w:name w:val="List Paragraph"/>
    <w:basedOn w:val="Normal"/>
    <w:uiPriority w:val="34"/>
    <w:qFormat/>
    <w:rsid w:val="002F7671"/>
    <w:pPr>
      <w:ind w:left="720"/>
      <w:contextualSpacing/>
    </w:pPr>
  </w:style>
  <w:style w:type="paragraph" w:styleId="BodyTextIndent">
    <w:name w:val="Body Text Indent"/>
    <w:basedOn w:val="Normal"/>
    <w:link w:val="BodyTextIndentChar"/>
    <w:rsid w:val="00822275"/>
    <w:pPr>
      <w:ind w:left="2160"/>
    </w:pPr>
    <w:rPr>
      <w:szCs w:val="20"/>
    </w:rPr>
  </w:style>
  <w:style w:type="character" w:customStyle="1" w:styleId="BodyTextIndentChar">
    <w:name w:val="Body Text Indent Char"/>
    <w:basedOn w:val="DefaultParagraphFont"/>
    <w:link w:val="BodyTextIndent"/>
    <w:rsid w:val="00822275"/>
    <w:rPr>
      <w:sz w:val="24"/>
    </w:rPr>
  </w:style>
  <w:style w:type="character" w:styleId="FollowedHyperlink">
    <w:name w:val="FollowedHyperlink"/>
    <w:basedOn w:val="DefaultParagraphFont"/>
    <w:uiPriority w:val="99"/>
    <w:semiHidden/>
    <w:unhideWhenUsed/>
    <w:rsid w:val="00167E4F"/>
    <w:rPr>
      <w:color w:val="800080" w:themeColor="followedHyperlink"/>
      <w:u w:val="single"/>
    </w:rPr>
  </w:style>
  <w:style w:type="character" w:styleId="PlaceholderText">
    <w:name w:val="Placeholder Text"/>
    <w:basedOn w:val="DefaultParagraphFont"/>
    <w:uiPriority w:val="99"/>
    <w:semiHidden/>
    <w:rsid w:val="00C92C33"/>
    <w:rPr>
      <w:color w:val="808080"/>
    </w:rPr>
  </w:style>
  <w:style w:type="character" w:customStyle="1" w:styleId="FootnoteTextChar">
    <w:name w:val="Footnote Text Char"/>
    <w:basedOn w:val="DefaultParagraphFont"/>
    <w:link w:val="FootnoteText"/>
    <w:semiHidden/>
    <w:rsid w:val="00300B81"/>
    <w:rPr>
      <w:sz w:val="24"/>
      <w:szCs w:val="24"/>
    </w:rPr>
  </w:style>
  <w:style w:type="paragraph" w:styleId="PlainText">
    <w:name w:val="Plain Text"/>
    <w:basedOn w:val="Normal"/>
    <w:link w:val="PlainTextChar"/>
    <w:uiPriority w:val="99"/>
    <w:unhideWhenUsed/>
    <w:rsid w:val="003F1D99"/>
    <w:pPr>
      <w:ind w:firstLine="720"/>
    </w:pPr>
    <w:rPr>
      <w:rFonts w:ascii="Consolas" w:hAnsi="Consolas"/>
      <w:sz w:val="21"/>
      <w:szCs w:val="21"/>
    </w:rPr>
  </w:style>
  <w:style w:type="character" w:customStyle="1" w:styleId="PlainTextChar">
    <w:name w:val="Plain Text Char"/>
    <w:basedOn w:val="DefaultParagraphFont"/>
    <w:link w:val="PlainText"/>
    <w:uiPriority w:val="99"/>
    <w:rsid w:val="003F1D99"/>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C8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8A359B"/>
  </w:style>
  <w:style w:type="character" w:styleId="FootnoteReference">
    <w:name w:val="footnote reference"/>
    <w:basedOn w:val="DefaultParagraphFont"/>
    <w:semiHidden/>
    <w:rsid w:val="008A359B"/>
    <w:rPr>
      <w:vertAlign w:val="superscript"/>
    </w:rPr>
  </w:style>
  <w:style w:type="paragraph" w:styleId="Header">
    <w:name w:val="header"/>
    <w:basedOn w:val="Normal"/>
    <w:rsid w:val="00B73CFD"/>
    <w:pPr>
      <w:tabs>
        <w:tab w:val="center" w:pos="4320"/>
        <w:tab w:val="right" w:pos="8640"/>
      </w:tabs>
    </w:pPr>
  </w:style>
  <w:style w:type="paragraph" w:styleId="Footer">
    <w:name w:val="footer"/>
    <w:basedOn w:val="Normal"/>
    <w:rsid w:val="00B73CFD"/>
    <w:pPr>
      <w:tabs>
        <w:tab w:val="center" w:pos="4320"/>
        <w:tab w:val="right" w:pos="8640"/>
      </w:tabs>
    </w:pPr>
  </w:style>
  <w:style w:type="character" w:styleId="PageNumber">
    <w:name w:val="page number"/>
    <w:basedOn w:val="DefaultParagraphFont"/>
    <w:rsid w:val="00B73CFD"/>
  </w:style>
  <w:style w:type="character" w:styleId="Hyperlink">
    <w:name w:val="Hyperlink"/>
    <w:basedOn w:val="DefaultParagraphFont"/>
    <w:rsid w:val="001264C3"/>
    <w:rPr>
      <w:color w:val="0000FF"/>
      <w:u w:val="single"/>
    </w:rPr>
  </w:style>
  <w:style w:type="table" w:styleId="TableGrid">
    <w:name w:val="Table Grid"/>
    <w:basedOn w:val="TableNormal"/>
    <w:rsid w:val="001544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292D"/>
    <w:rPr>
      <w:rFonts w:ascii="Tahoma" w:hAnsi="Tahoma" w:cs="Tahoma"/>
      <w:sz w:val="16"/>
      <w:szCs w:val="16"/>
    </w:rPr>
  </w:style>
  <w:style w:type="character" w:customStyle="1" w:styleId="BalloonTextChar">
    <w:name w:val="Balloon Text Char"/>
    <w:basedOn w:val="DefaultParagraphFont"/>
    <w:link w:val="BalloonText"/>
    <w:uiPriority w:val="99"/>
    <w:semiHidden/>
    <w:rsid w:val="001F292D"/>
    <w:rPr>
      <w:rFonts w:ascii="Tahoma" w:hAnsi="Tahoma" w:cs="Tahoma"/>
      <w:sz w:val="16"/>
      <w:szCs w:val="16"/>
    </w:rPr>
  </w:style>
  <w:style w:type="paragraph" w:styleId="ListParagraph">
    <w:name w:val="List Paragraph"/>
    <w:basedOn w:val="Normal"/>
    <w:uiPriority w:val="34"/>
    <w:qFormat/>
    <w:rsid w:val="002F7671"/>
    <w:pPr>
      <w:ind w:left="720"/>
      <w:contextualSpacing/>
    </w:pPr>
  </w:style>
  <w:style w:type="paragraph" w:styleId="BodyTextIndent">
    <w:name w:val="Body Text Indent"/>
    <w:basedOn w:val="Normal"/>
    <w:link w:val="BodyTextIndentChar"/>
    <w:rsid w:val="00822275"/>
    <w:pPr>
      <w:ind w:left="2160"/>
    </w:pPr>
    <w:rPr>
      <w:szCs w:val="20"/>
    </w:rPr>
  </w:style>
  <w:style w:type="character" w:customStyle="1" w:styleId="BodyTextIndentChar">
    <w:name w:val="Body Text Indent Char"/>
    <w:basedOn w:val="DefaultParagraphFont"/>
    <w:link w:val="BodyTextIndent"/>
    <w:rsid w:val="00822275"/>
    <w:rPr>
      <w:sz w:val="24"/>
    </w:rPr>
  </w:style>
  <w:style w:type="character" w:styleId="FollowedHyperlink">
    <w:name w:val="FollowedHyperlink"/>
    <w:basedOn w:val="DefaultParagraphFont"/>
    <w:uiPriority w:val="99"/>
    <w:semiHidden/>
    <w:unhideWhenUsed/>
    <w:rsid w:val="00167E4F"/>
    <w:rPr>
      <w:color w:val="800080" w:themeColor="followedHyperlink"/>
      <w:u w:val="single"/>
    </w:rPr>
  </w:style>
  <w:style w:type="character" w:styleId="PlaceholderText">
    <w:name w:val="Placeholder Text"/>
    <w:basedOn w:val="DefaultParagraphFont"/>
    <w:uiPriority w:val="99"/>
    <w:semiHidden/>
    <w:rsid w:val="00C92C33"/>
    <w:rPr>
      <w:color w:val="808080"/>
    </w:rPr>
  </w:style>
  <w:style w:type="character" w:customStyle="1" w:styleId="FootnoteTextChar">
    <w:name w:val="Footnote Text Char"/>
    <w:basedOn w:val="DefaultParagraphFont"/>
    <w:link w:val="FootnoteText"/>
    <w:semiHidden/>
    <w:rsid w:val="00300B81"/>
    <w:rPr>
      <w:sz w:val="24"/>
      <w:szCs w:val="24"/>
    </w:rPr>
  </w:style>
  <w:style w:type="paragraph" w:styleId="PlainText">
    <w:name w:val="Plain Text"/>
    <w:basedOn w:val="Normal"/>
    <w:link w:val="PlainTextChar"/>
    <w:uiPriority w:val="99"/>
    <w:unhideWhenUsed/>
    <w:rsid w:val="003F1D99"/>
    <w:pPr>
      <w:ind w:firstLine="720"/>
    </w:pPr>
    <w:rPr>
      <w:rFonts w:ascii="Consolas" w:hAnsi="Consolas"/>
      <w:sz w:val="21"/>
      <w:szCs w:val="21"/>
    </w:rPr>
  </w:style>
  <w:style w:type="character" w:customStyle="1" w:styleId="PlainTextChar">
    <w:name w:val="Plain Text Char"/>
    <w:basedOn w:val="DefaultParagraphFont"/>
    <w:link w:val="PlainText"/>
    <w:uiPriority w:val="99"/>
    <w:rsid w:val="003F1D9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168930">
      <w:bodyDiv w:val="1"/>
      <w:marLeft w:val="0"/>
      <w:marRight w:val="0"/>
      <w:marTop w:val="0"/>
      <w:marBottom w:val="0"/>
      <w:divBdr>
        <w:top w:val="none" w:sz="0" w:space="0" w:color="auto"/>
        <w:left w:val="none" w:sz="0" w:space="0" w:color="auto"/>
        <w:bottom w:val="none" w:sz="0" w:space="0" w:color="auto"/>
        <w:right w:val="none" w:sz="0" w:space="0" w:color="auto"/>
      </w:divBdr>
    </w:div>
    <w:div w:id="1064525310">
      <w:bodyDiv w:val="1"/>
      <w:marLeft w:val="0"/>
      <w:marRight w:val="0"/>
      <w:marTop w:val="0"/>
      <w:marBottom w:val="0"/>
      <w:divBdr>
        <w:top w:val="none" w:sz="0" w:space="0" w:color="auto"/>
        <w:left w:val="none" w:sz="0" w:space="0" w:color="auto"/>
        <w:bottom w:val="none" w:sz="0" w:space="0" w:color="auto"/>
        <w:right w:val="none" w:sz="0" w:space="0" w:color="auto"/>
      </w:divBdr>
    </w:div>
    <w:div w:id="1413699981">
      <w:bodyDiv w:val="1"/>
      <w:marLeft w:val="0"/>
      <w:marRight w:val="0"/>
      <w:marTop w:val="0"/>
      <w:marBottom w:val="0"/>
      <w:divBdr>
        <w:top w:val="none" w:sz="0" w:space="0" w:color="auto"/>
        <w:left w:val="none" w:sz="0" w:space="0" w:color="auto"/>
        <w:bottom w:val="none" w:sz="0" w:space="0" w:color="auto"/>
        <w:right w:val="none" w:sz="0" w:space="0" w:color="auto"/>
      </w:divBdr>
    </w:div>
    <w:div w:id="1458524406">
      <w:bodyDiv w:val="1"/>
      <w:marLeft w:val="0"/>
      <w:marRight w:val="0"/>
      <w:marTop w:val="0"/>
      <w:marBottom w:val="0"/>
      <w:divBdr>
        <w:top w:val="none" w:sz="0" w:space="0" w:color="auto"/>
        <w:left w:val="none" w:sz="0" w:space="0" w:color="auto"/>
        <w:bottom w:val="none" w:sz="0" w:space="0" w:color="auto"/>
        <w:right w:val="none" w:sz="0" w:space="0" w:color="auto"/>
      </w:divBdr>
    </w:div>
    <w:div w:id="148046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en.wikipedia.org/wiki/DNA_sequencing" TargetMode="External"/><Relationship Id="rId10" Type="http://schemas.openxmlformats.org/officeDocument/2006/relationships/image" Target="media/image1.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en.wikipedia.org/wiki/DNA" TargetMode="External"/><Relationship Id="rId14" Type="http://schemas.openxmlformats.org/officeDocument/2006/relationships/hyperlink" Target="http://en.wikipedia.org/wiki/Polymerase_chain_re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0B7B8-05D9-403F-880C-406CE07A0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10</Pages>
  <Words>3151</Words>
  <Characters>17967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A Fluctuation Test in Bacteria:</vt:lpstr>
    </vt:vector>
  </TitlesOfParts>
  <Company>University Of Missouri, Columbia</Company>
  <LinksUpToDate>false</LinksUpToDate>
  <CharactersWithSpaces>21076</CharactersWithSpaces>
  <SharedDoc>false</SharedDoc>
  <HLinks>
    <vt:vector size="18" baseType="variant">
      <vt:variant>
        <vt:i4>3407976</vt:i4>
      </vt:variant>
      <vt:variant>
        <vt:i4>21</vt:i4>
      </vt:variant>
      <vt:variant>
        <vt:i4>0</vt:i4>
      </vt:variant>
      <vt:variant>
        <vt:i4>5</vt:i4>
      </vt:variant>
      <vt:variant>
        <vt:lpwstr>FluctuationTestData.xls</vt:lpwstr>
      </vt:variant>
      <vt:variant>
        <vt:lpwstr/>
      </vt:variant>
      <vt:variant>
        <vt:i4>2686999</vt:i4>
      </vt:variant>
      <vt:variant>
        <vt:i4>3</vt:i4>
      </vt:variant>
      <vt:variant>
        <vt:i4>0</vt:i4>
      </vt:variant>
      <vt:variant>
        <vt:i4>5</vt:i4>
      </vt:variant>
      <vt:variant>
        <vt:lpwstr>mailto:smithgp@missouri.edu</vt:lpwstr>
      </vt:variant>
      <vt:variant>
        <vt:lpwstr/>
      </vt:variant>
      <vt:variant>
        <vt:i4>3080235</vt:i4>
      </vt:variant>
      <vt:variant>
        <vt:i4>0</vt:i4>
      </vt:variant>
      <vt:variant>
        <vt:i4>0</vt:i4>
      </vt:variant>
      <vt:variant>
        <vt:i4>5</vt:i4>
      </vt:variant>
      <vt:variant>
        <vt:lpwstr>http://www.sci.sdsu.edu/~smaloy/MicrobialGenetics/topics/mutations/fluctuation.html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Fluctuation Test in Bacteria:</dc:title>
  <dc:creator>Biological Sciences</dc:creator>
  <cp:lastModifiedBy>smithgp</cp:lastModifiedBy>
  <cp:revision>21</cp:revision>
  <cp:lastPrinted>2014-10-06T20:11:00Z</cp:lastPrinted>
  <dcterms:created xsi:type="dcterms:W3CDTF">2014-10-04T14:11:00Z</dcterms:created>
  <dcterms:modified xsi:type="dcterms:W3CDTF">2015-08-13T22:20:00Z</dcterms:modified>
</cp:coreProperties>
</file>