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40"/>
        <w:jc w:val="center"/>
      </w:pPr>
      <w:r>
        <w:rPr>
          <w:rFonts w:ascii="Calibri" w:hAnsi="Calibri"/>
          <w:b/>
          <w:i w:val="0"/>
          <w:color w:val="5B6770"/>
          <w:sz w:val="22"/>
        </w:rPr>
        <w:t>NEVADA COUNTY SHERIFF’S SEARCH AND RESCUE</w:t>
      </w:r>
    </w:p>
    <w:p>
      <w:pPr>
        <w:spacing w:after="160"/>
        <w:jc w:val="center"/>
      </w:pPr>
      <w:r>
        <w:rPr>
          <w:rFonts w:ascii="Calibri" w:hAnsi="Calibri"/>
          <w:b/>
          <w:i w:val="0"/>
          <w:color w:val="243447"/>
          <w:sz w:val="50"/>
        </w:rPr>
        <w:t>Proposal for Adoption and Stewardship of the RID2Caltopo Program</w:t>
      </w:r>
    </w:p>
    <w:p>
      <w:pPr>
        <w:spacing w:after="560"/>
        <w:jc w:val="center"/>
      </w:pPr>
      <w:r>
        <w:rPr>
          <w:rFonts w:ascii="Calibri" w:hAnsi="Calibri"/>
          <w:b w:val="0"/>
          <w:i/>
          <w:color w:val="2E74B5"/>
          <w:sz w:val="28"/>
        </w:rPr>
        <w:t>Free operator apps, public documentation, and a companion hosted service for first responder agencies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76" w:lineRule="auto"/>
            </w:pPr>
            <w:r>
              <w:rPr>
                <w:rFonts w:ascii="Calibri" w:hAnsi="Calibri"/>
                <w:b/>
                <w:i w:val="0"/>
                <w:color w:val="2E74B5"/>
                <w:sz w:val="20"/>
              </w:rPr>
              <w:t xml:space="preserve">DECISION REQUESTED  </w:t>
            </w:r>
            <w:r>
              <w:rPr>
                <w:rFonts w:ascii="Calibri" w:hAnsi="Calibri"/>
                <w:b/>
                <w:i w:val="0"/>
                <w:color w:val="243447"/>
                <w:sz w:val="21"/>
              </w:rPr>
              <w:t>Commit to adopt and steward the RID2Caltopo public-service program—including the free apps, public websites, and companion r2c-tracker service—subject to defined due diligence and before any paying external customer is accepted.</w:t>
            </w:r>
          </w:p>
        </w:tc>
      </w:tr>
    </w:tbl>
    <w:p>
      <w:pPr>
        <w:spacing w:after="40"/>
      </w:pPr>
    </w:p>
    <w:p>
      <w:pPr>
        <w:spacing w:before="520" w:after="60"/>
        <w:jc w:val="center"/>
      </w:pPr>
      <w:r>
        <w:rPr>
          <w:rFonts w:ascii="Calibri" w:hAnsi="Calibri"/>
          <w:b/>
          <w:i w:val="0"/>
          <w:color w:val="5B6770"/>
          <w:sz w:val="19"/>
        </w:rPr>
        <w:t>Prepared for</w:t>
      </w:r>
    </w:p>
    <w:p>
      <w:pPr>
        <w:spacing w:after="280"/>
        <w:jc w:val="center"/>
      </w:pPr>
      <w:r>
        <w:rPr>
          <w:rFonts w:ascii="Calibri" w:hAnsi="Calibri"/>
          <w:b/>
          <w:i w:val="0"/>
          <w:color w:val="243447"/>
          <w:sz w:val="24"/>
        </w:rPr>
        <w:t>NCSSAR Board of Directors</w:t>
      </w:r>
    </w:p>
    <w:p>
      <w:pPr>
        <w:spacing w:after="60"/>
        <w:jc w:val="center"/>
      </w:pPr>
      <w:r>
        <w:rPr>
          <w:rFonts w:ascii="Calibri" w:hAnsi="Calibri"/>
          <w:b/>
          <w:i w:val="0"/>
          <w:color w:val="5B6770"/>
          <w:sz w:val="19"/>
        </w:rPr>
        <w:t>Prepared by</w:t>
      </w:r>
    </w:p>
    <w:p>
      <w:pPr>
        <w:spacing w:after="60"/>
        <w:jc w:val="center"/>
      </w:pPr>
      <w:r>
        <w:rPr>
          <w:rFonts w:ascii="Calibri" w:hAnsi="Calibri"/>
          <w:b w:val="0"/>
          <w:i w:val="0"/>
          <w:color w:val="243447"/>
          <w:sz w:val="22"/>
        </w:rPr>
        <w:t>Ken Taylor, Primary Developer and Platform Administrator</w:t>
      </w:r>
    </w:p>
    <w:p>
      <w:pPr>
        <w:spacing w:after="0"/>
        <w:jc w:val="center"/>
      </w:pPr>
      <w:r>
        <w:rPr>
          <w:rFonts w:ascii="Calibri" w:hAnsi="Calibri"/>
          <w:b w:val="0"/>
          <w:i w:val="0"/>
          <w:color w:val="5B6770"/>
          <w:sz w:val="20"/>
        </w:rPr>
        <w:t>August 7, 2026</w:t>
      </w:r>
    </w:p>
    <w:p>
      <w:r>
        <w:br w:type="page"/>
      </w:r>
    </w:p>
    <w:p>
      <w:pPr>
        <w:pStyle w:val="Heading1"/>
        <w:keepNext/>
      </w:pPr>
      <w:r>
        <w:t>Executive Summary</w:t>
      </w:r>
    </w:p>
    <w:p>
      <w:pPr>
        <w:spacing w:after="160" w:line="320" w:lineRule="auto"/>
        <w:jc w:val="both"/>
      </w:pPr>
      <w:r>
        <w:rPr>
          <w:rFonts w:ascii="Calibri" w:hAnsi="Calibri"/>
          <w:b w:val="0"/>
          <w:i w:val="0"/>
          <w:color w:val="243447"/>
          <w:sz w:val="22"/>
        </w:rPr>
        <w:t>RID2Caltopo is a field-developed public-service ecosystem for search-and-rescue and other first responder organizations. It includes free Android and Apple operator applications, public documentation websites, and the companion r2c-tracker hosted service for organization-scoped access, operational flight information, archived flight records, and related coordination. The program grew from needs inside the SAR community and is best positioned as a nonprofit-stewarded service—not as a personally operated project dependent on one volunteer’s finances.</w:t>
      </w:r>
    </w:p>
    <w:p>
      <w:pPr>
        <w:spacing w:after="160" w:line="320" w:lineRule="auto"/>
        <w:jc w:val="both"/>
      </w:pPr>
      <w:r>
        <w:rPr>
          <w:rFonts w:ascii="Calibri" w:hAnsi="Calibri"/>
          <w:b w:val="0"/>
          <w:i w:val="0"/>
          <w:color w:val="243447"/>
          <w:sz w:val="22"/>
        </w:rPr>
        <w:t>This proposal asks Nevada County Sheriff’s Search and Rescue, Inc. (NCSSAR) to make a conditional but affirmative commitment to adopt the RID2Caltopo program and assume responsibility for its official stewardship and hosted operations after a short due-diligence period. Until that transition closes, Ken Taylor will continue voluntarily funding the current pilot. No paid external customer should be accepted before governance, insurance, financial controls, open-source stewardship, and agency-facing terms are in place.</w:t>
      </w:r>
    </w:p>
    <w:p>
      <w:pPr>
        <w:spacing w:after="160" w:line="320" w:lineRule="auto"/>
        <w:jc w:val="both"/>
      </w:pPr>
      <w:r>
        <w:rPr>
          <w:rFonts w:ascii="Calibri" w:hAnsi="Calibri"/>
          <w:b w:val="0"/>
          <w:i w:val="0"/>
          <w:color w:val="243447"/>
          <w:sz w:val="22"/>
        </w:rPr>
        <w:t>The RID2Caltopo apps and public documentation should remain free and open source. The preferred hosted-service model is grant- and donation-supported access for eligible first responder agencies. If the board later determines that transparent cost-recovery fees are necessary for r2c-tracker or another hosted component, those fees would be authorized separately, received only by NCSSAR, and designed to further NCSSAR’s charitable purpose rather than create a private commercial benefit.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76" w:lineRule="auto"/>
            </w:pPr>
            <w:r>
              <w:rPr>
                <w:rFonts w:ascii="Calibri" w:hAnsi="Calibri"/>
                <w:b/>
                <w:i w:val="0"/>
                <w:color w:val="2E74B5"/>
                <w:sz w:val="20"/>
              </w:rPr>
              <w:t xml:space="preserve">CORE COMMITMENT  </w:t>
            </w:r>
            <w:r>
              <w:rPr>
                <w:rFonts w:ascii="Calibri" w:hAnsi="Calibri"/>
                <w:b/>
                <w:i w:val="0"/>
                <w:color w:val="243447"/>
                <w:sz w:val="21"/>
              </w:rPr>
              <w:t>NCSSAR—not an individual volunteer—would control the official project repositories and releases, program identity, domains, hosted infrastructure, funds, policies, vendor relationships, risk decisions, and continuity plan. Apache-licensed source would remain open and reusable. Ken Taylor would remain the volunteer primary developer and administrator at the board’s pleasure, without a duty to personally finance the program or guarantee its obligations.</w:t>
            </w:r>
          </w:p>
        </w:tc>
      </w:tr>
    </w:tbl>
    <w:p>
      <w:pPr>
        <w:spacing w:after="40"/>
      </w:pPr>
    </w:p>
    <w:p>
      <w:pPr>
        <w:pStyle w:val="Heading2"/>
        <w:keepNext/>
      </w:pPr>
      <w:r>
        <w:t>Program Components</w:t>
      </w:r>
    </w:p>
    <w:p>
      <w:pPr>
        <w:spacing w:after="80" w:line="290" w:lineRule="auto"/>
        <w:numPr>
          <w:ilvl w:val="0"/>
          <w:numId w:val="10"/>
        </w:numPr>
      </w:pPr>
      <w:r>
        <w:rPr>
          <w:rFonts w:ascii="Calibri" w:hAnsi="Calibri"/>
          <w:b/>
          <w:i w:val="0"/>
          <w:color w:val="243447"/>
          <w:sz w:val="22"/>
        </w:rPr>
        <w:t>RID2Caltopo for Android and Apple:</w:t>
      </w:r>
      <w:r>
        <w:rPr>
          <w:rFonts w:ascii="Calibri" w:hAnsi="Calibri"/>
          <w:b w:val="0"/>
          <w:i w:val="0"/>
          <w:color w:val="243447"/>
          <w:sz w:val="22"/>
        </w:rPr>
        <w:t xml:space="preserve"> free operator applications supporting Remote ID awareness, mapping and operational review.</w:t>
      </w:r>
    </w:p>
    <w:p>
      <w:pPr>
        <w:spacing w:after="80" w:line="290" w:lineRule="auto"/>
        <w:numPr>
          <w:ilvl w:val="0"/>
          <w:numId w:val="10"/>
        </w:numPr>
      </w:pPr>
      <w:r>
        <w:rPr>
          <w:rFonts w:ascii="Calibri" w:hAnsi="Calibri"/>
          <w:b/>
          <w:i w:val="0"/>
          <w:color w:val="243447"/>
          <w:sz w:val="22"/>
        </w:rPr>
        <w:t>RID2Caltopo public websites:</w:t>
      </w:r>
      <w:r>
        <w:rPr>
          <w:rFonts w:ascii="Calibri" w:hAnsi="Calibri"/>
          <w:b w:val="0"/>
          <w:i w:val="0"/>
          <w:color w:val="243447"/>
          <w:sz w:val="22"/>
        </w:rPr>
        <w:t xml:space="preserve"> documentation, safety information, downloads, release information, and managed-access intake.</w:t>
      </w:r>
    </w:p>
    <w:p>
      <w:pPr>
        <w:spacing w:after="80" w:line="290" w:lineRule="auto"/>
        <w:numPr>
          <w:ilvl w:val="0"/>
          <w:numId w:val="10"/>
        </w:numPr>
      </w:pPr>
      <w:r>
        <w:rPr>
          <w:rFonts w:ascii="Calibri" w:hAnsi="Calibri"/>
          <w:b/>
          <w:i w:val="0"/>
          <w:color w:val="243447"/>
          <w:sz w:val="22"/>
        </w:rPr>
        <w:t>r2c-tracker:</w:t>
      </w:r>
      <w:r>
        <w:rPr>
          <w:rFonts w:ascii="Calibri" w:hAnsi="Calibri"/>
          <w:b w:val="0"/>
          <w:i w:val="0"/>
          <w:color w:val="243447"/>
          <w:sz w:val="22"/>
        </w:rPr>
        <w:t xml:space="preserve"> the companion hosted service for organization-scoped records, administration, coordination, exports, and related managed capabilities.</w:t>
      </w:r>
    </w:p>
    <w:p>
      <w:pPr>
        <w:spacing w:after="80" w:line="290" w:lineRule="auto"/>
        <w:numPr>
          <w:ilvl w:val="0"/>
          <w:numId w:val="10"/>
        </w:numPr>
      </w:pPr>
      <w:r>
        <w:rPr>
          <w:rFonts w:ascii="Calibri" w:hAnsi="Calibri"/>
          <w:b/>
          <w:i w:val="0"/>
          <w:color w:val="243447"/>
          <w:sz w:val="22"/>
        </w:rPr>
        <w:t>Program stewardship:</w:t>
      </w:r>
      <w:r>
        <w:rPr>
          <w:rFonts w:ascii="Calibri" w:hAnsi="Calibri"/>
          <w:b w:val="0"/>
          <w:i w:val="0"/>
          <w:color w:val="243447"/>
          <w:sz w:val="22"/>
        </w:rPr>
        <w:t xml:space="preserve"> official repositories, releases, domains, project identity, policies, infrastructure, documentation, agency relationships, and continuity.</w:t>
      </w:r>
    </w:p>
    <w:p>
      <w:pPr>
        <w:pStyle w:val="Heading1"/>
        <w:keepNext/>
      </w:pPr>
      <w:r>
        <w:t>Board Action Requested</w:t>
      </w:r>
    </w:p>
    <w:p>
      <w:pPr>
        <w:spacing w:after="80" w:line="290" w:lineRule="auto"/>
        <w:numPr>
          <w:ilvl w:val="0"/>
          <w:numId w:val="11"/>
        </w:numPr>
      </w:pPr>
      <w:r>
        <w:rPr>
          <w:rFonts w:ascii="Calibri" w:hAnsi="Calibri"/>
          <w:b w:val="0"/>
          <w:i w:val="0"/>
          <w:color w:val="243447"/>
          <w:sz w:val="22"/>
        </w:rPr>
        <w:t>Approve in principle the adoption and stewardship of the RID2Caltopo public-service program as an NCSSAR charitable program, subject to the closing conditions in this proposal.</w:t>
      </w:r>
    </w:p>
    <w:p>
      <w:pPr>
        <w:spacing w:after="80" w:line="290" w:lineRule="auto"/>
        <w:numPr>
          <w:ilvl w:val="0"/>
          <w:numId w:val="11"/>
        </w:numPr>
      </w:pPr>
      <w:r>
        <w:rPr>
          <w:rFonts w:ascii="Calibri" w:hAnsi="Calibri"/>
          <w:b w:val="0"/>
          <w:i w:val="0"/>
          <w:color w:val="243447"/>
          <w:sz w:val="22"/>
        </w:rPr>
        <w:t>Direct a board officer or small project committee to complete legal, tax, insurance, technical, and financial due diligence within sixty days.</w:t>
      </w:r>
    </w:p>
    <w:p>
      <w:pPr>
        <w:spacing w:after="80" w:line="290" w:lineRule="auto"/>
        <w:numPr>
          <w:ilvl w:val="0"/>
          <w:numId w:val="11"/>
        </w:numPr>
      </w:pPr>
      <w:r>
        <w:rPr>
          <w:rFonts w:ascii="Calibri" w:hAnsi="Calibri"/>
          <w:b w:val="0"/>
          <w:i w:val="0"/>
          <w:color w:val="243447"/>
          <w:sz w:val="22"/>
        </w:rPr>
        <w:t>Authorize the president and secretary to execute a final program-stewardship and transfer agreement with a precise rights, repositories, accounts, hosted-assets, and exclusions schedule when the closing conditions are satisfied and a board-approved operating budget is in place.</w:t>
      </w:r>
    </w:p>
    <w:p>
      <w:pPr>
        <w:spacing w:after="80" w:line="290" w:lineRule="auto"/>
        <w:numPr>
          <w:ilvl w:val="0"/>
          <w:numId w:val="11"/>
        </w:numPr>
      </w:pPr>
      <w:r>
        <w:rPr>
          <w:rFonts w:ascii="Calibri" w:hAnsi="Calibri"/>
          <w:b w:val="0"/>
          <w:i w:val="0"/>
          <w:color w:val="243447"/>
          <w:sz w:val="22"/>
        </w:rPr>
        <w:t>Confirm that NCSSAR will not accept paying external customers, paid subscriptions, or customer deposits for any hosted program service before final adoption and a separate board authorization of any fee model.</w:t>
      </w:r>
    </w:p>
    <w:p>
      <w:pPr>
        <w:spacing w:after="80" w:line="290" w:lineRule="auto"/>
        <w:numPr>
          <w:ilvl w:val="0"/>
          <w:numId w:val="11"/>
        </w:numPr>
      </w:pPr>
      <w:r>
        <w:rPr>
          <w:rFonts w:ascii="Calibri" w:hAnsi="Calibri"/>
          <w:b w:val="0"/>
          <w:i w:val="0"/>
          <w:color w:val="243447"/>
          <w:sz w:val="22"/>
        </w:rPr>
        <w:t>Appoint Ken Taylor as volunteer primary developer and platform administrator, subject to written authority limits, board oversight, least-privilege controls, and the board’s ability to replace or remove him at any time.</w:t>
      </w:r>
    </w:p>
    <w:p>
      <w:pPr>
        <w:pStyle w:val="Heading1"/>
        <w:keepNext/>
      </w:pPr>
      <w:r>
        <w:t>Why This Fits NCSSAR</w:t>
      </w:r>
    </w:p>
    <w:p>
      <w:pPr>
        <w:spacing w:after="160" w:line="320" w:lineRule="auto"/>
        <w:jc w:val="both"/>
      </w:pPr>
      <w:r>
        <w:rPr>
          <w:rFonts w:ascii="Calibri" w:hAnsi="Calibri"/>
          <w:b w:val="0"/>
          <w:i w:val="0"/>
          <w:color w:val="243447"/>
          <w:sz w:val="22"/>
        </w:rPr>
        <w:t>NCSSAR describes itself as an accredited, all-volunteer Mountain Rescue Team that is community-funded and organized to provide public service. Its published volunteer manual states a commitment to excellence in public service and describes NCSSAR’s purpose as supporting the Sheriff and other governmental agencies in locating, rescuing, and recovering people in distress. Free operator tools, safety documentation, and a companion hosted service intended to improve first responder situational awareness, records stewardship, and interagency access can reasonably support that mission—subject to confirmation by NCSSAR’s counsel that the activity is within the corporation’s governing documents and tax-exempt purposes.</w:t>
      </w:r>
    </w:p>
    <w:p>
      <w:pPr>
        <w:spacing w:after="80" w:line="290" w:lineRule="auto"/>
        <w:numPr>
          <w:ilvl w:val="0"/>
          <w:numId w:val="10"/>
        </w:numPr>
      </w:pPr>
      <w:r>
        <w:rPr>
          <w:rFonts w:ascii="Calibri" w:hAnsi="Calibri"/>
          <w:b/>
          <w:i w:val="0"/>
          <w:color w:val="243447"/>
          <w:sz w:val="22"/>
        </w:rPr>
        <w:t>Mission alignment:</w:t>
      </w:r>
      <w:r>
        <w:rPr>
          <w:rFonts w:ascii="Calibri" w:hAnsi="Calibri"/>
          <w:b w:val="0"/>
          <w:i w:val="0"/>
          <w:color w:val="243447"/>
          <w:sz w:val="22"/>
        </w:rPr>
        <w:t xml:space="preserve"> the project originates in operational SAR needs and is intended for a defined charitable class of first responder agencies.</w:t>
      </w:r>
    </w:p>
    <w:p>
      <w:pPr>
        <w:spacing w:after="80" w:line="290" w:lineRule="auto"/>
        <w:numPr>
          <w:ilvl w:val="0"/>
          <w:numId w:val="10"/>
        </w:numPr>
      </w:pPr>
      <w:r>
        <w:rPr>
          <w:rFonts w:ascii="Calibri" w:hAnsi="Calibri"/>
          <w:b/>
          <w:i w:val="0"/>
          <w:color w:val="243447"/>
          <w:sz w:val="22"/>
        </w:rPr>
        <w:t>Community benefit:</w:t>
      </w:r>
      <w:r>
        <w:rPr>
          <w:rFonts w:ascii="Calibri" w:hAnsi="Calibri"/>
          <w:b w:val="0"/>
          <w:i w:val="0"/>
          <w:color w:val="243447"/>
          <w:sz w:val="22"/>
        </w:rPr>
        <w:t xml:space="preserve"> grant- or donation-supported access can make useful technology available to agencies that lack procurement budgets or technical staff.</w:t>
      </w:r>
    </w:p>
    <w:p>
      <w:pPr>
        <w:spacing w:after="80" w:line="290" w:lineRule="auto"/>
        <w:numPr>
          <w:ilvl w:val="0"/>
          <w:numId w:val="10"/>
        </w:numPr>
      </w:pPr>
      <w:r>
        <w:rPr>
          <w:rFonts w:ascii="Calibri" w:hAnsi="Calibri"/>
          <w:b/>
          <w:i w:val="0"/>
          <w:color w:val="243447"/>
          <w:sz w:val="22"/>
        </w:rPr>
        <w:t>Responsible scale:</w:t>
      </w:r>
      <w:r>
        <w:rPr>
          <w:rFonts w:ascii="Calibri" w:hAnsi="Calibri"/>
          <w:b w:val="0"/>
          <w:i w:val="0"/>
          <w:color w:val="243447"/>
          <w:sz w:val="22"/>
        </w:rPr>
        <w:t xml:space="preserve"> nonprofit stewardship allows expansion to be paced by governance, funding, security, support capacity, and operational readiness.</w:t>
      </w:r>
    </w:p>
    <w:p>
      <w:pPr>
        <w:spacing w:after="80" w:line="290" w:lineRule="auto"/>
        <w:numPr>
          <w:ilvl w:val="0"/>
          <w:numId w:val="10"/>
        </w:numPr>
      </w:pPr>
      <w:r>
        <w:rPr>
          <w:rFonts w:ascii="Calibri" w:hAnsi="Calibri"/>
          <w:b/>
          <w:i w:val="0"/>
          <w:color w:val="243447"/>
          <w:sz w:val="22"/>
        </w:rPr>
        <w:t>Continuity:</w:t>
      </w:r>
      <w:r>
        <w:rPr>
          <w:rFonts w:ascii="Calibri" w:hAnsi="Calibri"/>
          <w:b w:val="0"/>
          <w:i w:val="0"/>
          <w:color w:val="243447"/>
          <w:sz w:val="22"/>
        </w:rPr>
        <w:t xml:space="preserve"> institutional stewardship reduces the risk that the official project or hosted service disappears, becomes inaccessible, or leaves users stranded if one volunteer can no longer operate it.</w:t>
      </w:r>
    </w:p>
    <w:p>
      <w:r>
        <w:br w:type="page"/>
      </w:r>
    </w:p>
    <w:p>
      <w:pPr>
        <w:pStyle w:val="Heading1"/>
        <w:keepNext/>
      </w:pPr>
      <w:r>
        <w:t>What NCSSAR Adoption Would Mean</w:t>
      </w:r>
    </w:p>
    <w:p>
      <w:pPr>
        <w:spacing w:after="160" w:line="320" w:lineRule="auto"/>
        <w:jc w:val="both"/>
      </w:pPr>
      <w:r>
        <w:rPr>
          <w:rFonts w:ascii="Calibri" w:hAnsi="Calibri"/>
          <w:b w:val="0"/>
          <w:i w:val="0"/>
          <w:color w:val="243447"/>
          <w:sz w:val="22"/>
        </w:rPr>
        <w:t>Adoption should be documented as a transfer of program stewardship and hosted-service responsibility. It should not be limited to permission to use NCSSAR’s name or receive donations. The final agreement should identify what NCSSAR owns, controls, stewards, licenses, and excludes, while recognizing that open-source recipients retain their Apache License 2.0 rights.</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vAlign w:val="center"/>
            <w:tcMar>
              <w:top w:w="80" w:type="dxa"/>
              <w:start w:w="120" w:type="dxa"/>
              <w:bottom w:w="80" w:type="dxa"/>
              <w:end w:w="120" w:type="dxa"/>
            </w:tcMar>
            <w:shd w:fill="F4F6F9"/>
          </w:tcPr>
          <w:p>
            <w:pPr>
              <w:spacing w:after="0"/>
              <w:jc w:val="left"/>
            </w:pPr>
            <w:r>
              <w:rPr>
                <w:rFonts w:ascii="Calibri" w:hAnsi="Calibri"/>
                <w:b/>
                <w:i w:val="0"/>
                <w:color w:val="1F4D78"/>
                <w:sz w:val="19"/>
              </w:rPr>
              <w:t>Area</w:t>
            </w:r>
          </w:p>
        </w:tc>
        <w:tc>
          <w:tcPr>
            <w:tcW w:type="dxa" w:w="3780"/>
            <w:vAlign w:val="center"/>
            <w:tcMar>
              <w:top w:w="80" w:type="dxa"/>
              <w:start w:w="120" w:type="dxa"/>
              <w:bottom w:w="80" w:type="dxa"/>
              <w:end w:w="120" w:type="dxa"/>
            </w:tcMar>
            <w:shd w:fill="F4F6F9"/>
          </w:tcPr>
          <w:p>
            <w:pPr>
              <w:spacing w:after="0"/>
              <w:jc w:val="left"/>
            </w:pPr>
            <w:r>
              <w:rPr>
                <w:rFonts w:ascii="Calibri" w:hAnsi="Calibri"/>
                <w:b/>
                <w:i w:val="0"/>
                <w:color w:val="1F4D78"/>
                <w:sz w:val="19"/>
              </w:rPr>
              <w:t>NCSSAR responsibility</w:t>
            </w:r>
          </w:p>
        </w:tc>
        <w:tc>
          <w:tcPr>
            <w:tcW w:type="dxa" w:w="3780"/>
            <w:vAlign w:val="center"/>
            <w:tcMar>
              <w:top w:w="80" w:type="dxa"/>
              <w:start w:w="120" w:type="dxa"/>
              <w:bottom w:w="80" w:type="dxa"/>
              <w:end w:w="120" w:type="dxa"/>
            </w:tcMar>
            <w:shd w:fill="F4F6F9"/>
          </w:tcPr>
          <w:p>
            <w:pPr>
              <w:spacing w:after="0"/>
              <w:jc w:val="left"/>
            </w:pPr>
            <w:r>
              <w:rPr>
                <w:rFonts w:ascii="Calibri" w:hAnsi="Calibri"/>
                <w:b/>
                <w:i w:val="0"/>
                <w:color w:val="1F4D78"/>
                <w:sz w:val="19"/>
              </w:rPr>
              <w:t>Developer role</w:t>
            </w:r>
          </w:p>
        </w:tc>
      </w:tr>
      <w:tr>
        <w:tc>
          <w:tcPr>
            <w:tcW w:type="dxa" w:w="1800"/>
          </w:tcPr>
          <w:p>
            <w:pPr>
              <w:spacing w:after="0" w:line="264" w:lineRule="auto"/>
              <w:jc w:val="left"/>
            </w:pPr>
            <w:r>
              <w:rPr>
                <w:rFonts w:ascii="Calibri" w:hAnsi="Calibri"/>
                <w:b/>
                <w:i w:val="0"/>
                <w:color w:val="243447"/>
                <w:sz w:val="19"/>
              </w:rPr>
              <w:t>Program governance</w:t>
            </w:r>
          </w:p>
        </w:tc>
        <w:tc>
          <w:tcPr>
            <w:tcW w:type="dxa" w:w="3780"/>
          </w:tcPr>
          <w:p>
            <w:pPr>
              <w:spacing w:after="0" w:line="264" w:lineRule="auto"/>
              <w:jc w:val="left"/>
            </w:pPr>
            <w:r>
              <w:rPr>
                <w:rFonts w:ascii="Calibri" w:hAnsi="Calibri"/>
                <w:b w:val="0"/>
                <w:i w:val="0"/>
                <w:color w:val="243447"/>
                <w:sz w:val="19"/>
              </w:rPr>
              <w:t>Set mission, eligibility, best-effort service standard, risk tolerance, policies, and expansion pace.</w:t>
            </w:r>
          </w:p>
        </w:tc>
        <w:tc>
          <w:tcPr>
            <w:tcW w:type="dxa" w:w="3780"/>
          </w:tcPr>
          <w:p>
            <w:pPr>
              <w:spacing w:after="0" w:line="264" w:lineRule="auto"/>
              <w:jc w:val="left"/>
            </w:pPr>
            <w:r>
              <w:rPr>
                <w:rFonts w:ascii="Calibri" w:hAnsi="Calibri"/>
                <w:b w:val="0"/>
                <w:i w:val="0"/>
                <w:color w:val="243447"/>
                <w:sz w:val="19"/>
              </w:rPr>
              <w:t>Recommend technical policy and report material risks; no unilateral policy authority.</w:t>
            </w:r>
          </w:p>
        </w:tc>
      </w:tr>
      <w:tr>
        <w:tc>
          <w:tcPr>
            <w:tcW w:type="dxa" w:w="1800"/>
          </w:tcPr>
          <w:p>
            <w:pPr>
              <w:spacing w:after="0" w:line="264" w:lineRule="auto"/>
              <w:jc w:val="left"/>
            </w:pPr>
            <w:r>
              <w:rPr>
                <w:rFonts w:ascii="Calibri" w:hAnsi="Calibri"/>
                <w:b/>
                <w:i w:val="0"/>
                <w:color w:val="243447"/>
                <w:sz w:val="19"/>
              </w:rPr>
              <w:t>Open-source stewardship</w:t>
            </w:r>
          </w:p>
        </w:tc>
        <w:tc>
          <w:tcPr>
            <w:tcW w:type="dxa" w:w="3780"/>
          </w:tcPr>
          <w:p>
            <w:pPr>
              <w:spacing w:after="0" w:line="264" w:lineRule="auto"/>
              <w:jc w:val="left"/>
            </w:pPr>
            <w:r>
              <w:rPr>
                <w:rFonts w:ascii="Calibri" w:hAnsi="Calibri"/>
                <w:b w:val="0"/>
                <w:i w:val="0"/>
                <w:color w:val="243447"/>
                <w:sz w:val="19"/>
              </w:rPr>
              <w:t>Control the official repositories, releases, contribution policy, project direction, and license compliance. Own only copyrights actually assigned to NCSSAR; preserve Apache-licensed public rights.</w:t>
            </w:r>
          </w:p>
        </w:tc>
        <w:tc>
          <w:tcPr>
            <w:tcW w:type="dxa" w:w="3780"/>
          </w:tcPr>
          <w:p>
            <w:pPr>
              <w:spacing w:after="0" w:line="264" w:lineRule="auto"/>
              <w:jc w:val="left"/>
            </w:pPr>
            <w:r>
              <w:rPr>
                <w:rFonts w:ascii="Calibri" w:hAnsi="Calibri"/>
                <w:b w:val="0"/>
                <w:i w:val="0"/>
                <w:color w:val="243447"/>
                <w:sz w:val="19"/>
              </w:rPr>
              <w:t>Transfer maintainership and any assignable rights; document authorship and third-party contributions; continue development under the approved contribution policy.</w:t>
            </w:r>
          </w:p>
        </w:tc>
      </w:tr>
      <w:tr>
        <w:tc>
          <w:tcPr>
            <w:tcW w:type="dxa" w:w="1800"/>
          </w:tcPr>
          <w:p>
            <w:pPr>
              <w:spacing w:after="0" w:line="264" w:lineRule="auto"/>
              <w:jc w:val="left"/>
            </w:pPr>
            <w:r>
              <w:rPr>
                <w:rFonts w:ascii="Calibri" w:hAnsi="Calibri"/>
                <w:b/>
                <w:i w:val="0"/>
                <w:color w:val="243447"/>
                <w:sz w:val="19"/>
              </w:rPr>
              <w:t>Accounts and contracts</w:t>
            </w:r>
          </w:p>
        </w:tc>
        <w:tc>
          <w:tcPr>
            <w:tcW w:type="dxa" w:w="3780"/>
          </w:tcPr>
          <w:p>
            <w:pPr>
              <w:spacing w:after="0" w:line="264" w:lineRule="auto"/>
              <w:jc w:val="left"/>
            </w:pPr>
            <w:r>
              <w:rPr>
                <w:rFonts w:ascii="Calibri" w:hAnsi="Calibri"/>
                <w:b w:val="0"/>
                <w:i w:val="0"/>
                <w:color w:val="243447"/>
                <w:sz w:val="19"/>
              </w:rPr>
              <w:t>Control domains, cloud projects, repositories, email, payment/grant accounts, and vendor contracts through organizational accounts.</w:t>
            </w:r>
          </w:p>
        </w:tc>
        <w:tc>
          <w:tcPr>
            <w:tcW w:type="dxa" w:w="3780"/>
          </w:tcPr>
          <w:p>
            <w:pPr>
              <w:spacing w:after="0" w:line="264" w:lineRule="auto"/>
              <w:jc w:val="left"/>
            </w:pPr>
            <w:r>
              <w:rPr>
                <w:rFonts w:ascii="Calibri" w:hAnsi="Calibri"/>
                <w:b w:val="0"/>
                <w:i w:val="0"/>
                <w:color w:val="243447"/>
                <w:sz w:val="19"/>
              </w:rPr>
              <w:t>Administer delegated accounts; never personally guarantee contracts or hold sole recovery credentials.</w:t>
            </w:r>
          </w:p>
        </w:tc>
      </w:tr>
      <w:tr>
        <w:tc>
          <w:tcPr>
            <w:tcW w:type="dxa" w:w="1800"/>
          </w:tcPr>
          <w:p>
            <w:pPr>
              <w:spacing w:after="0" w:line="264" w:lineRule="auto"/>
              <w:jc w:val="left"/>
            </w:pPr>
            <w:r>
              <w:rPr>
                <w:rFonts w:ascii="Calibri" w:hAnsi="Calibri"/>
                <w:b/>
                <w:i w:val="0"/>
                <w:color w:val="243447"/>
                <w:sz w:val="19"/>
              </w:rPr>
              <w:t>Funds and spending</w:t>
            </w:r>
          </w:p>
        </w:tc>
        <w:tc>
          <w:tcPr>
            <w:tcW w:type="dxa" w:w="3780"/>
          </w:tcPr>
          <w:p>
            <w:pPr>
              <w:spacing w:after="0" w:line="264" w:lineRule="auto"/>
              <w:jc w:val="left"/>
            </w:pPr>
            <w:r>
              <w:rPr>
                <w:rFonts w:ascii="Calibri" w:hAnsi="Calibri"/>
                <w:b w:val="0"/>
                <w:i w:val="0"/>
                <w:color w:val="243447"/>
                <w:sz w:val="19"/>
              </w:rPr>
              <w:t>Receive all donations, grants, and any approved fees; approve budgets and maintain restricted project accounting.</w:t>
            </w:r>
          </w:p>
        </w:tc>
        <w:tc>
          <w:tcPr>
            <w:tcW w:type="dxa" w:w="3780"/>
          </w:tcPr>
          <w:p>
            <w:pPr>
              <w:spacing w:after="0" w:line="264" w:lineRule="auto"/>
              <w:jc w:val="left"/>
            </w:pPr>
            <w:r>
              <w:rPr>
                <w:rFonts w:ascii="Calibri" w:hAnsi="Calibri"/>
                <w:b w:val="0"/>
                <w:i w:val="0"/>
                <w:color w:val="243447"/>
                <w:sz w:val="19"/>
              </w:rPr>
              <w:t>Submit expenses and forecasts; no duty to advance funds after adoption.</w:t>
            </w:r>
          </w:p>
        </w:tc>
      </w:tr>
      <w:tr>
        <w:tc>
          <w:tcPr>
            <w:tcW w:type="dxa" w:w="1800"/>
          </w:tcPr>
          <w:p>
            <w:pPr>
              <w:spacing w:after="0" w:line="264" w:lineRule="auto"/>
              <w:jc w:val="left"/>
            </w:pPr>
            <w:r>
              <w:rPr>
                <w:rFonts w:ascii="Calibri" w:hAnsi="Calibri"/>
                <w:b/>
                <w:i w:val="0"/>
                <w:color w:val="243447"/>
                <w:sz w:val="19"/>
              </w:rPr>
              <w:t>Agency and data relationships</w:t>
            </w:r>
          </w:p>
        </w:tc>
        <w:tc>
          <w:tcPr>
            <w:tcW w:type="dxa" w:w="3780"/>
          </w:tcPr>
          <w:p>
            <w:pPr>
              <w:spacing w:after="0" w:line="264" w:lineRule="auto"/>
              <w:jc w:val="left"/>
            </w:pPr>
            <w:r>
              <w:rPr>
                <w:rFonts w:ascii="Calibri" w:hAnsi="Calibri"/>
                <w:b w:val="0"/>
                <w:i w:val="0"/>
                <w:color w:val="243447"/>
                <w:sz w:val="19"/>
              </w:rPr>
              <w:t>Approve terms, privacy practices, retention, incident response, and agency eligibility.</w:t>
            </w:r>
          </w:p>
        </w:tc>
        <w:tc>
          <w:tcPr>
            <w:tcW w:type="dxa" w:w="3780"/>
          </w:tcPr>
          <w:p>
            <w:pPr>
              <w:spacing w:after="0" w:line="264" w:lineRule="auto"/>
              <w:jc w:val="left"/>
            </w:pPr>
            <w:r>
              <w:rPr>
                <w:rFonts w:ascii="Calibri" w:hAnsi="Calibri"/>
                <w:b w:val="0"/>
                <w:i w:val="0"/>
                <w:color w:val="243447"/>
                <w:sz w:val="19"/>
              </w:rPr>
              <w:t>Implement controls and provide technical support within board-approved policies.</w:t>
            </w:r>
          </w:p>
        </w:tc>
      </w:tr>
      <w:tr>
        <w:tc>
          <w:tcPr>
            <w:tcW w:type="dxa" w:w="1800"/>
          </w:tcPr>
          <w:p>
            <w:pPr>
              <w:spacing w:after="0" w:line="264" w:lineRule="auto"/>
              <w:jc w:val="left"/>
            </w:pPr>
            <w:r>
              <w:rPr>
                <w:rFonts w:ascii="Calibri" w:hAnsi="Calibri"/>
                <w:b/>
                <w:i w:val="0"/>
                <w:color w:val="243447"/>
                <w:sz w:val="19"/>
              </w:rPr>
              <w:t>Continuity</w:t>
            </w:r>
          </w:p>
        </w:tc>
        <w:tc>
          <w:tcPr>
            <w:tcW w:type="dxa" w:w="3780"/>
          </w:tcPr>
          <w:p>
            <w:pPr>
              <w:spacing w:after="0" w:line="264" w:lineRule="auto"/>
              <w:jc w:val="left"/>
            </w:pPr>
            <w:r>
              <w:rPr>
                <w:rFonts w:ascii="Calibri" w:hAnsi="Calibri"/>
                <w:b w:val="0"/>
                <w:i w:val="0"/>
                <w:color w:val="243447"/>
                <w:sz w:val="19"/>
              </w:rPr>
              <w:t>Designate a board sponsor, backup administrator, credential escrow, documentation standard, and succession process.</w:t>
            </w:r>
          </w:p>
        </w:tc>
        <w:tc>
          <w:tcPr>
            <w:tcW w:type="dxa" w:w="3780"/>
          </w:tcPr>
          <w:p>
            <w:pPr>
              <w:spacing w:after="0" w:line="264" w:lineRule="auto"/>
              <w:jc w:val="left"/>
            </w:pPr>
            <w:r>
              <w:rPr>
                <w:rFonts w:ascii="Calibri" w:hAnsi="Calibri"/>
                <w:b w:val="0"/>
                <w:i w:val="0"/>
                <w:color w:val="243447"/>
                <w:sz w:val="19"/>
              </w:rPr>
              <w:t>Maintain documentation, train backups, and provide orderly transition assistance.</w:t>
            </w:r>
          </w:p>
        </w:tc>
      </w:tr>
    </w:tbl>
    <w:p>
      <w:pPr>
        <w:spacing w:after="40"/>
      </w:pPr>
    </w:p>
    <w:p>
      <w:pPr>
        <w:pStyle w:val="Heading2"/>
        <w:keepNext/>
      </w:pPr>
      <w:r>
        <w:t>Proposed Scope of Stewardship and Transfer</w:t>
      </w:r>
    </w:p>
    <w:p>
      <w:pPr>
        <w:spacing w:after="80" w:line="290" w:lineRule="auto"/>
        <w:numPr>
          <w:ilvl w:val="0"/>
          <w:numId w:val="10"/>
        </w:numPr>
      </w:pPr>
      <w:r>
        <w:rPr>
          <w:rFonts w:ascii="Calibri" w:hAnsi="Calibri"/>
          <w:b w:val="0"/>
          <w:i w:val="0"/>
          <w:color w:val="243447"/>
          <w:sz w:val="22"/>
        </w:rPr>
        <w:t>Official maintainership of the RID2Caltopo Android and Apple applications, public website source and documentation, and r2c-tracker repository, subject to an exact repository and license inventory.</w:t>
      </w:r>
    </w:p>
    <w:p>
      <w:pPr>
        <w:spacing w:after="80" w:line="290" w:lineRule="auto"/>
        <w:numPr>
          <w:ilvl w:val="0"/>
          <w:numId w:val="10"/>
        </w:numPr>
      </w:pPr>
      <w:r>
        <w:rPr>
          <w:rFonts w:ascii="Calibri" w:hAnsi="Calibri"/>
          <w:b w:val="0"/>
          <w:i w:val="0"/>
          <w:color w:val="243447"/>
          <w:sz w:val="22"/>
        </w:rPr>
        <w:t>Control of the official release channels, project road map, contribution process, security response, documentation, and designation of what constitutes an NCSSAR-supported release.</w:t>
      </w:r>
    </w:p>
    <w:p>
      <w:pPr>
        <w:spacing w:after="80" w:line="290" w:lineRule="auto"/>
        <w:numPr>
          <w:ilvl w:val="0"/>
          <w:numId w:val="10"/>
        </w:numPr>
      </w:pPr>
      <w:r>
        <w:rPr>
          <w:rFonts w:ascii="Calibri" w:hAnsi="Calibri"/>
          <w:b w:val="0"/>
          <w:i w:val="0"/>
          <w:color w:val="243447"/>
          <w:sz w:val="22"/>
        </w:rPr>
        <w:t>The production or pilot cloud projects, databases, storage, secrets, logs, and service accounts used exclusively for hosted program services, after security review and credential rotation.</w:t>
      </w:r>
    </w:p>
    <w:p>
      <w:pPr>
        <w:spacing w:after="80" w:line="290" w:lineRule="auto"/>
        <w:numPr>
          <w:ilvl w:val="0"/>
          <w:numId w:val="10"/>
        </w:numPr>
      </w:pPr>
      <w:r>
        <w:rPr>
          <w:rFonts w:ascii="Calibri" w:hAnsi="Calibri"/>
          <w:b w:val="0"/>
          <w:i w:val="0"/>
          <w:color w:val="243447"/>
          <w:sz w:val="22"/>
        </w:rPr>
        <w:t>Program-specific domains, email identities, project names and marks, agency agreements, and vendor accounts that are expressly listed and legally transferable.</w:t>
      </w:r>
    </w:p>
    <w:p>
      <w:pPr>
        <w:spacing w:after="80" w:line="290" w:lineRule="auto"/>
        <w:numPr>
          <w:ilvl w:val="0"/>
          <w:numId w:val="10"/>
        </w:numPr>
      </w:pPr>
      <w:r>
        <w:rPr>
          <w:rFonts w:ascii="Calibri" w:hAnsi="Calibri"/>
          <w:b w:val="0"/>
          <w:i w:val="0"/>
          <w:color w:val="243447"/>
          <w:sz w:val="22"/>
        </w:rPr>
        <w:t>Program records, budgets, grant files, incident records, and policy documentation created after adoption, with agency operational data governed separately by approved data policies.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8E6"/>
          </w:tcPr>
          <w:p>
            <w:pPr>
              <w:spacing w:after="40" w:line="276" w:lineRule="auto"/>
            </w:pPr>
            <w:r>
              <w:rPr>
                <w:rFonts w:ascii="Calibri" w:hAnsi="Calibri"/>
                <w:b/>
                <w:i w:val="0"/>
                <w:color w:val="9A6A00"/>
                <w:sz w:val="20"/>
              </w:rPr>
              <w:t xml:space="preserve">OPEN-SOURCE BOUNDARY  </w:t>
            </w:r>
            <w:r>
              <w:rPr>
                <w:rFonts w:ascii="Calibri" w:hAnsi="Calibri"/>
                <w:b/>
                <w:i w:val="0"/>
                <w:color w:val="243447"/>
                <w:sz w:val="21"/>
              </w:rPr>
              <w:t>Apache 2.0 does not place the code in the public domain or prevent copyright ownership, but it gives recipients broad, perpetual, non-exclusive, royalty-free, and generally irrevocable rights. NCSSAR could own copyrights that are validly assigned to it and steward the official project, but it could not withdraw existing Apache rights or claim exclusive ownership of outside contributions. Unrelated personal software remains excluded unless expressly listed.</w:t>
            </w:r>
          </w:p>
        </w:tc>
      </w:tr>
    </w:tbl>
    <w:p>
      <w:pPr>
        <w:spacing w:after="40"/>
      </w:pPr>
    </w:p>
    <w:p>
      <w:pPr>
        <w:spacing w:after="160" w:line="320" w:lineRule="auto"/>
        <w:jc w:val="both"/>
      </w:pPr>
      <w:r>
        <w:rPr>
          <w:rFonts w:ascii="Calibri" w:hAnsi="Calibri"/>
          <w:b w:val="0"/>
          <w:i w:val="0"/>
          <w:color w:val="243447"/>
          <w:sz w:val="22"/>
        </w:rPr>
        <w:t>The Apache license does not grant trademark rights, so official project names, logos, domains, signing identities, store listings, and release channels can be governed separately, subject to existing rights and counsel’s review. The current RID2Caltopo checkout contains an Apache 2.0 LICENSE, NOTICE, and contribution policy. A repository-level license was not located in the current r2c-tracker checkout; its intended licensing should therefore be resolved expressly during due diligence.</w:t>
      </w:r>
    </w:p>
    <w:p>
      <w:pPr>
        <w:pStyle w:val="Heading1"/>
        <w:keepNext/>
      </w:pPr>
      <w:r>
        <w:t>Developer and Administrator Arrangement</w:t>
      </w:r>
    </w:p>
    <w:p>
      <w:pPr>
        <w:spacing w:after="160" w:line="320" w:lineRule="auto"/>
        <w:jc w:val="both"/>
      </w:pPr>
      <w:r>
        <w:rPr>
          <w:rFonts w:ascii="Calibri" w:hAnsi="Calibri"/>
          <w:b w:val="0"/>
          <w:i w:val="0"/>
          <w:color w:val="243447"/>
          <w:sz w:val="22"/>
        </w:rPr>
        <w:t>The program should preserve the benefit of its current technical leadership without making the organization dependent on one person or shifting institutional obligations back to that volunteer. A written volunteer developer/administrator appointment should include the following terms.</w:t>
      </w:r>
    </w:p>
    <w:p>
      <w:pPr>
        <w:spacing w:after="80" w:line="290" w:lineRule="auto"/>
        <w:numPr>
          <w:ilvl w:val="0"/>
          <w:numId w:val="10"/>
        </w:numPr>
      </w:pPr>
      <w:r>
        <w:rPr>
          <w:rFonts w:ascii="Calibri" w:hAnsi="Calibri"/>
          <w:b w:val="0"/>
          <w:i w:val="0"/>
          <w:color w:val="243447"/>
          <w:sz w:val="22"/>
        </w:rPr>
        <w:t>Ken Taylor serves as primary developer and platform administrator for as long as both he and the board wish to continue the arrangement.</w:t>
      </w:r>
    </w:p>
    <w:p>
      <w:pPr>
        <w:spacing w:after="80" w:line="290" w:lineRule="auto"/>
        <w:numPr>
          <w:ilvl w:val="0"/>
          <w:numId w:val="10"/>
        </w:numPr>
      </w:pPr>
      <w:r>
        <w:rPr>
          <w:rFonts w:ascii="Calibri" w:hAnsi="Calibri"/>
          <w:b w:val="0"/>
          <w:i w:val="0"/>
          <w:color w:val="243447"/>
          <w:sz w:val="22"/>
        </w:rPr>
        <w:t>The role is at-will and governed by written delegated authority, security policy, conflict-of-interest policy, and board oversight.</w:t>
      </w:r>
    </w:p>
    <w:p>
      <w:pPr>
        <w:spacing w:after="80" w:line="290" w:lineRule="auto"/>
        <w:numPr>
          <w:ilvl w:val="0"/>
          <w:numId w:val="10"/>
        </w:numPr>
      </w:pPr>
      <w:r>
        <w:rPr>
          <w:rFonts w:ascii="Calibri" w:hAnsi="Calibri"/>
          <w:b w:val="0"/>
          <w:i w:val="0"/>
          <w:color w:val="243447"/>
          <w:sz w:val="22"/>
        </w:rPr>
        <w:t>The role creates no personal obligation to fund operations, reimburse NCSSAR, guarantee uptime, indemnify NCSSAR or users, or personally guarantee any vendor or customer obligation.</w:t>
      </w:r>
    </w:p>
    <w:p>
      <w:pPr>
        <w:spacing w:after="80" w:line="290" w:lineRule="auto"/>
        <w:numPr>
          <w:ilvl w:val="0"/>
          <w:numId w:val="10"/>
        </w:numPr>
      </w:pPr>
      <w:r>
        <w:rPr>
          <w:rFonts w:ascii="Calibri" w:hAnsi="Calibri"/>
          <w:b w:val="0"/>
          <w:i w:val="0"/>
          <w:color w:val="243447"/>
          <w:sz w:val="22"/>
        </w:rPr>
        <w:t>All material expenses and external commitments require prior organizational authorization; all contracts and accounts are in NCSSAR’s name after adoption.</w:t>
      </w:r>
    </w:p>
    <w:p>
      <w:pPr>
        <w:spacing w:after="80" w:line="290" w:lineRule="auto"/>
        <w:numPr>
          <w:ilvl w:val="0"/>
          <w:numId w:val="10"/>
        </w:numPr>
      </w:pPr>
      <w:r>
        <w:rPr>
          <w:rFonts w:ascii="Calibri" w:hAnsi="Calibri"/>
          <w:b w:val="0"/>
          <w:i w:val="0"/>
          <w:color w:val="243447"/>
          <w:sz w:val="22"/>
        </w:rPr>
        <w:t>A board-designated backup administrator has emergency access, and organizational recovery credentials are stored independently of the primary developer.</w:t>
      </w:r>
    </w:p>
    <w:p>
      <w:pPr>
        <w:spacing w:after="80" w:line="290" w:lineRule="auto"/>
        <w:numPr>
          <w:ilvl w:val="0"/>
          <w:numId w:val="10"/>
        </w:numPr>
      </w:pPr>
      <w:r>
        <w:rPr>
          <w:rFonts w:ascii="Calibri" w:hAnsi="Calibri"/>
          <w:b w:val="0"/>
          <w:i w:val="0"/>
          <w:color w:val="243447"/>
          <w:sz w:val="22"/>
        </w:rPr>
        <w:t>Official source contributions continue under the approved open-source contribution policy. Copyright ownership is recorded accurately; contributors are not required to assign copyright unless NCSSAR later adopts a counsel-reviewed contributor agreement.</w:t>
      </w:r>
    </w:p>
    <w:p>
      <w:pPr>
        <w:spacing w:after="80" w:line="290" w:lineRule="auto"/>
        <w:numPr>
          <w:ilvl w:val="0"/>
          <w:numId w:val="10"/>
        </w:numPr>
      </w:pPr>
      <w:r>
        <w:rPr>
          <w:rFonts w:ascii="Calibri" w:hAnsi="Calibri"/>
          <w:b w:val="0"/>
          <w:i w:val="0"/>
          <w:color w:val="243447"/>
          <w:sz w:val="22"/>
        </w:rPr>
        <w:t>Any future compensation or contractor arrangement requires advance board approval, fair-value review, conflict disclosure, and documentation; no compensation is implied by this proposal.</w:t>
      </w:r>
    </w:p>
    <w:p>
      <w:r>
        <w:br w:type="page"/>
      </w:r>
    </w:p>
    <w:p>
      <w:pPr>
        <w:pStyle w:val="Heading1"/>
        <w:keepNext/>
      </w:pPr>
      <w:r>
        <w:t>Public-Service Funding Model</w:t>
      </w:r>
    </w:p>
    <w:p>
      <w:pPr>
        <w:spacing w:after="160" w:line="320" w:lineRule="auto"/>
        <w:jc w:val="both"/>
      </w:pPr>
      <w:r>
        <w:rPr>
          <w:rFonts w:ascii="Calibri" w:hAnsi="Calibri"/>
          <w:b w:val="0"/>
          <w:i w:val="0"/>
          <w:color w:val="243447"/>
          <w:sz w:val="22"/>
        </w:rPr>
        <w:t>The recommended operating model is to keep the RID2Caltopo applications and public documentation free, while supporting development and hosted program costs through grants, restricted donations, in-kind services, and—only if later authorized—transparent cost-recovery fees for hosted services. NCSSAR should retain full discretion and control over donated funds, use them only for board-approved charitable purposes, and avoid earmarking that creates a private benefit to the developer or a particular commercial party.</w:t>
      </w:r>
    </w:p>
    <w:p>
      <w:pPr>
        <w:pStyle w:val="Heading2"/>
        <w:keepNext/>
      </w:pPr>
      <w:r>
        <w:t>Recommended financial controls</w:t>
      </w:r>
    </w:p>
    <w:p>
      <w:pPr>
        <w:spacing w:after="80" w:line="290" w:lineRule="auto"/>
        <w:numPr>
          <w:ilvl w:val="0"/>
          <w:numId w:val="10"/>
        </w:numPr>
      </w:pPr>
      <w:r>
        <w:rPr>
          <w:rFonts w:ascii="Calibri" w:hAnsi="Calibri"/>
          <w:b w:val="0"/>
          <w:i w:val="0"/>
          <w:color w:val="243447"/>
          <w:sz w:val="22"/>
        </w:rPr>
        <w:t>Establish a board-designated RID2Caltopo program fund or accounting class within NCSSAR’s books; do not route project money through a volunteer’s personal account.</w:t>
      </w:r>
    </w:p>
    <w:p>
      <w:pPr>
        <w:spacing w:after="80" w:line="290" w:lineRule="auto"/>
        <w:numPr>
          <w:ilvl w:val="0"/>
          <w:numId w:val="10"/>
        </w:numPr>
      </w:pPr>
      <w:r>
        <w:rPr>
          <w:rFonts w:ascii="Calibri" w:hAnsi="Calibri"/>
          <w:b w:val="0"/>
          <w:i w:val="0"/>
          <w:color w:val="243447"/>
          <w:sz w:val="22"/>
        </w:rPr>
        <w:t>Adopt an annual line-item budget covering cloud hosting, domains, email, security services, insurance, legal/accounting review, support, and reserves.</w:t>
      </w:r>
    </w:p>
    <w:p>
      <w:pPr>
        <w:spacing w:after="80" w:line="290" w:lineRule="auto"/>
        <w:numPr>
          <w:ilvl w:val="0"/>
          <w:numId w:val="10"/>
        </w:numPr>
      </w:pPr>
      <w:r>
        <w:rPr>
          <w:rFonts w:ascii="Calibri" w:hAnsi="Calibri"/>
          <w:b w:val="0"/>
          <w:i w:val="0"/>
          <w:color w:val="243447"/>
          <w:sz w:val="22"/>
        </w:rPr>
        <w:t>Require dual approval or other board-established controls for material expenditures and vendor changes.</w:t>
      </w:r>
    </w:p>
    <w:p>
      <w:pPr>
        <w:spacing w:after="80" w:line="290" w:lineRule="auto"/>
        <w:numPr>
          <w:ilvl w:val="0"/>
          <w:numId w:val="10"/>
        </w:numPr>
      </w:pPr>
      <w:r>
        <w:rPr>
          <w:rFonts w:ascii="Calibri" w:hAnsi="Calibri"/>
          <w:b w:val="0"/>
          <w:i w:val="0"/>
          <w:color w:val="243447"/>
          <w:sz w:val="22"/>
        </w:rPr>
        <w:t>Report actual program costs, restricted funds, commitments, and reserve position to the board on a regular schedule.</w:t>
      </w:r>
    </w:p>
    <w:p>
      <w:pPr>
        <w:spacing w:after="80" w:line="290" w:lineRule="auto"/>
        <w:numPr>
          <w:ilvl w:val="0"/>
          <w:numId w:val="10"/>
        </w:numPr>
      </w:pPr>
      <w:r>
        <w:rPr>
          <w:rFonts w:ascii="Calibri" w:hAnsi="Calibri"/>
          <w:b w:val="0"/>
          <w:i w:val="0"/>
          <w:color w:val="243447"/>
          <w:sz w:val="22"/>
        </w:rPr>
        <w:t>Keep the existing usage-allocation work in shadow mode until actual costs and reliable meters have been reviewed; a shadow allocation is a planning tool, not a charge or invoice.</w:t>
      </w:r>
    </w:p>
    <w:p>
      <w:pPr>
        <w:spacing w:after="80" w:line="290" w:lineRule="auto"/>
        <w:numPr>
          <w:ilvl w:val="0"/>
          <w:numId w:val="10"/>
        </w:numPr>
      </w:pPr>
      <w:r>
        <w:rPr>
          <w:rFonts w:ascii="Calibri" w:hAnsi="Calibri"/>
          <w:b w:val="0"/>
          <w:i w:val="0"/>
          <w:color w:val="243447"/>
          <w:sz w:val="22"/>
        </w:rPr>
        <w:t>Treat any future agency fee as a separate policy decision after legal and tax review, including whether it is substantially related program-service revenue and whether multistate registrations or contracts are required.</w:t>
      </w:r>
    </w:p>
    <w:p>
      <w:pPr>
        <w:pStyle w:val="Heading2"/>
        <w:keepNext/>
      </w:pPr>
      <w:r>
        <w:t>Interim funding before adoption</w:t>
      </w:r>
    </w:p>
    <w:p>
      <w:pPr>
        <w:spacing w:after="160" w:line="320" w:lineRule="auto"/>
        <w:jc w:val="both"/>
      </w:pPr>
      <w:r>
        <w:rPr>
          <w:rFonts w:ascii="Calibri" w:hAnsi="Calibri"/>
          <w:b w:val="0"/>
          <w:i w:val="0"/>
          <w:color w:val="243447"/>
          <w:sz w:val="22"/>
        </w:rPr>
        <w:t>Ken Taylor may continue voluntarily paying the existing website and hosted-service expenses during due diligence. Those payments should be documented as voluntary, create no promise of reimbursement, and create no expectation that he will increase, continue, or personally guarantee funding. He may stop funding if the cost becomes unreasonable or unsafe, with reasonable notice to the board and preservation of exportable agency records. No personal donation solicitation or paid customer intake should occur during this interim period.</w:t>
      </w:r>
    </w:p>
    <w:p>
      <w:pPr>
        <w:pStyle w:val="Heading1"/>
        <w:keepNext/>
      </w:pPr>
      <w:r>
        <w:t>Interim Best-Effort Service Standard</w:t>
      </w:r>
    </w:p>
    <w:p>
      <w:pPr>
        <w:keepNext/>
        <w:keepLines/>
        <w:spacing w:after="160" w:line="320" w:lineRule="auto"/>
        <w:jc w:val="both"/>
      </w:pPr>
      <w:r>
        <w:rPr>
          <w:rFonts w:ascii="Calibri" w:hAnsi="Calibri"/>
          <w:b w:val="0"/>
          <w:i w:val="0"/>
          <w:color w:val="243447"/>
          <w:sz w:val="22"/>
        </w:rPr>
        <w:t>Until NCSSAR completes adoption—and after adoption unless the Board expressly approves a different written commitment—the free RID2Caltopo applications, public websites, and r2c-tracker service should be offered only on a best-effort, as-is, and as-available basis. Access approval, trial use, volunteer assistance, or administrator communications must not be interpreted as a service-level agreement.</w:t>
      </w:r>
    </w:p>
    <w:p>
      <w:pPr>
        <w:spacing w:after="80" w:line="290" w:lineRule="auto"/>
        <w:numPr>
          <w:ilvl w:val="0"/>
          <w:numId w:val="10"/>
        </w:numPr>
      </w:pPr>
      <w:r>
        <w:rPr>
          <w:rFonts w:ascii="Calibri" w:hAnsi="Calibri"/>
          <w:b/>
          <w:i w:val="0"/>
          <w:color w:val="243447"/>
          <w:sz w:val="22"/>
        </w:rPr>
        <w:t>No committed functionality:</w:t>
      </w:r>
      <w:r>
        <w:rPr>
          <w:rFonts w:ascii="Calibri" w:hAnsi="Calibri"/>
          <w:b w:val="0"/>
          <w:i w:val="0"/>
          <w:color w:val="243447"/>
          <w:sz w:val="22"/>
        </w:rPr>
        <w:t xml:space="preserve"> features may be incomplete, experimental, changed, removed, suspended, or discontinued without a promise that any particular capability will remain available.</w:t>
      </w:r>
    </w:p>
    <w:p>
      <w:pPr>
        <w:spacing w:after="80" w:line="290" w:lineRule="auto"/>
        <w:numPr>
          <w:ilvl w:val="0"/>
          <w:numId w:val="10"/>
        </w:numPr>
      </w:pPr>
      <w:r>
        <w:rPr>
          <w:rFonts w:ascii="Calibri" w:hAnsi="Calibri"/>
          <w:b/>
          <w:i w:val="0"/>
          <w:color w:val="243447"/>
          <w:sz w:val="22"/>
        </w:rPr>
        <w:t>No availability commitment:</w:t>
      </w:r>
      <w:r>
        <w:rPr>
          <w:rFonts w:ascii="Calibri" w:hAnsi="Calibri"/>
          <w:b w:val="0"/>
          <w:i w:val="0"/>
          <w:color w:val="243447"/>
          <w:sz w:val="22"/>
        </w:rPr>
        <w:t xml:space="preserve"> there is no guaranteed uptime, response time, recovery time, maintenance window, device compatibility, network reachability, third-party availability, or uninterrupted/error-free operation.</w:t>
      </w:r>
    </w:p>
    <w:p>
      <w:pPr>
        <w:spacing w:after="80" w:line="290" w:lineRule="auto"/>
        <w:numPr>
          <w:ilvl w:val="0"/>
          <w:numId w:val="10"/>
        </w:numPr>
      </w:pPr>
      <w:r>
        <w:rPr>
          <w:rFonts w:ascii="Calibri" w:hAnsi="Calibri"/>
          <w:b/>
          <w:i w:val="0"/>
          <w:color w:val="243447"/>
          <w:sz w:val="22"/>
        </w:rPr>
        <w:t>No data guarantee:</w:t>
      </w:r>
      <w:r>
        <w:rPr>
          <w:rFonts w:ascii="Calibri" w:hAnsi="Calibri"/>
          <w:b w:val="0"/>
          <w:i w:val="0"/>
          <w:color w:val="243447"/>
          <w:sz w:val="22"/>
        </w:rPr>
        <w:t xml:space="preserve"> information may be missing, delayed, inaccurate, incomplete, or unavailable; users must independently verify operational information and maintain their own required records and exports.</w:t>
      </w:r>
    </w:p>
    <w:p>
      <w:pPr>
        <w:spacing w:after="80" w:line="290" w:lineRule="auto"/>
        <w:numPr>
          <w:ilvl w:val="0"/>
          <w:numId w:val="10"/>
        </w:numPr>
      </w:pPr>
      <w:r>
        <w:rPr>
          <w:rFonts w:ascii="Calibri" w:hAnsi="Calibri"/>
          <w:b/>
          <w:i w:val="0"/>
          <w:color w:val="243447"/>
          <w:sz w:val="22"/>
        </w:rPr>
        <w:t>No support commitment:</w:t>
      </w:r>
      <w:r>
        <w:rPr>
          <w:rFonts w:ascii="Calibri" w:hAnsi="Calibri"/>
          <w:b w:val="0"/>
          <w:i w:val="0"/>
          <w:color w:val="243447"/>
          <w:sz w:val="22"/>
        </w:rPr>
        <w:t xml:space="preserve"> assistance is provided when volunteer capacity permits, with no guaranteed response, correction, update, or continued support for a device, operating system, integration, or organization.</w:t>
      </w:r>
    </w:p>
    <w:p>
      <w:pPr>
        <w:spacing w:after="80" w:line="290" w:lineRule="auto"/>
        <w:numPr>
          <w:ilvl w:val="0"/>
          <w:numId w:val="10"/>
        </w:numPr>
      </w:pPr>
      <w:r>
        <w:rPr>
          <w:rFonts w:ascii="Calibri" w:hAnsi="Calibri"/>
          <w:b/>
          <w:i w:val="0"/>
          <w:color w:val="243447"/>
          <w:sz w:val="22"/>
        </w:rPr>
        <w:t>No life-safety reliance:</w:t>
      </w:r>
      <w:r>
        <w:rPr>
          <w:rFonts w:ascii="Calibri" w:hAnsi="Calibri"/>
          <w:b w:val="0"/>
          <w:i w:val="0"/>
          <w:color w:val="243447"/>
          <w:sz w:val="22"/>
        </w:rPr>
        <w:t xml:space="preserve"> the program is a supplemental aid and is not a certified aviation, navigation, collision-avoidance, dispatch, or life-safety system. It must never be the sole basis for a flight, rescue, or personal-safety decision.</w:t>
      </w:r>
    </w:p>
    <w:p>
      <w:pPr>
        <w:spacing w:after="80" w:line="290" w:lineRule="auto"/>
        <w:numPr>
          <w:ilvl w:val="0"/>
          <w:numId w:val="10"/>
        </w:numPr>
      </w:pPr>
      <w:r>
        <w:rPr>
          <w:rFonts w:ascii="Calibri" w:hAnsi="Calibri"/>
          <w:b/>
          <w:i w:val="0"/>
          <w:color w:val="243447"/>
          <w:sz w:val="22"/>
        </w:rPr>
        <w:t>Orderly change when feasible:</w:t>
      </w:r>
      <w:r>
        <w:rPr>
          <w:rFonts w:ascii="Calibri" w:hAnsi="Calibri"/>
          <w:b w:val="0"/>
          <w:i w:val="0"/>
          <w:color w:val="243447"/>
          <w:sz w:val="22"/>
        </w:rPr>
        <w:t xml:space="preserve"> although service is not guaranteed, administrators should use reasonable efforts to notify affected organizations of material changes and preserve a reasonable opportunity to export records before a planned archive or shutdown.</w:t>
      </w:r>
    </w:p>
    <w:p>
      <w:pPr>
        <w:spacing w:after="80" w:line="290" w:lineRule="auto"/>
        <w:numPr>
          <w:ilvl w:val="0"/>
          <w:numId w:val="10"/>
        </w:numPr>
      </w:pPr>
      <w:r>
        <w:rPr>
          <w:rFonts w:ascii="Calibri" w:hAnsi="Calibri"/>
          <w:b/>
          <w:i w:val="0"/>
          <w:color w:val="243447"/>
          <w:sz w:val="22"/>
        </w:rPr>
        <w:t>Non-waivable law controls:</w:t>
      </w:r>
      <w:r>
        <w:rPr>
          <w:rFonts w:ascii="Calibri" w:hAnsi="Calibri"/>
          <w:b w:val="0"/>
          <w:i w:val="0"/>
          <w:color w:val="243447"/>
          <w:sz w:val="22"/>
        </w:rPr>
        <w:t xml:space="preserve"> warranty disclaimers and liability limitations apply only to the extent permitted by law and must be finalized by counsel; the proposal does not attempt to waive duties that cannot legally be waived.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76" w:lineRule="auto"/>
            </w:pPr>
            <w:r>
              <w:rPr>
                <w:rFonts w:ascii="Calibri" w:hAnsi="Calibri"/>
                <w:b/>
                <w:i w:val="0"/>
                <w:color w:val="2E74B5"/>
                <w:sz w:val="20"/>
              </w:rPr>
              <w:t xml:space="preserve">COMPARABLE INDUSTRY APPROACH  </w:t>
            </w:r>
            <w:r>
              <w:rPr>
                <w:rFonts w:ascii="Calibri" w:hAnsi="Calibri"/>
                <w:b/>
                <w:i w:val="0"/>
                <w:color w:val="243447"/>
                <w:sz w:val="21"/>
              </w:rPr>
              <w:t>CalTopo’s current public terms likewise describe its service and information as provided as-is, state that availability is not continuous, disclaim guarantees of accuracy and uninterrupted or error-free operation, and reserve the ability to change services. RID2Caltopo should use its own counsel-reviewed language suited to a nonprofit, volunteer-operated public-safety aid.</w:t>
            </w:r>
          </w:p>
        </w:tc>
      </w:tr>
    </w:tbl>
    <w:p>
      <w:pPr>
        <w:spacing w:after="40"/>
      </w:pPr>
    </w:p>
    <w:p>
      <w:pPr>
        <w:pStyle w:val="Heading1"/>
        <w:keepNext/>
      </w:pPr>
      <w:r>
        <w:t>Risk Management and Public-Safety Guardrails</w:t>
      </w:r>
    </w:p>
    <w:p>
      <w:pPr>
        <w:spacing w:after="160" w:line="320" w:lineRule="auto"/>
        <w:jc w:val="both"/>
      </w:pPr>
      <w:r>
        <w:rPr>
          <w:rFonts w:ascii="Calibri" w:hAnsi="Calibri"/>
          <w:b w:val="0"/>
          <w:i w:val="0"/>
          <w:color w:val="243447"/>
          <w:sz w:val="22"/>
        </w:rPr>
        <w:t>Software used around emergency operations deserves explicit limits and disciplined controls. Adoption should occur only after the board understands the risks and obtains advice from qualified nonprofit counsel, its tax adviser, and its insurance broker.</w:t>
      </w:r>
    </w:p>
    <w:p>
      <w:pPr>
        <w:spacing w:after="80" w:line="290" w:lineRule="auto"/>
        <w:numPr>
          <w:ilvl w:val="0"/>
          <w:numId w:val="10"/>
        </w:numPr>
      </w:pPr>
      <w:r>
        <w:rPr>
          <w:rFonts w:ascii="Calibri" w:hAnsi="Calibri"/>
          <w:b/>
          <w:i w:val="0"/>
          <w:color w:val="243447"/>
          <w:sz w:val="22"/>
        </w:rPr>
        <w:t>Operational limitation:</w:t>
      </w:r>
      <w:r>
        <w:rPr>
          <w:rFonts w:ascii="Calibri" w:hAnsi="Calibri"/>
          <w:b w:val="0"/>
          <w:i w:val="0"/>
          <w:color w:val="243447"/>
          <w:sz w:val="22"/>
        </w:rPr>
        <w:t xml:space="preserve"> the program is a collection of supplemental situational-awareness, coordination, and recordkeeping aids—not a dispatch system, a guaranteed source of Remote ID, maps, weather or NOTAM data, or a substitute for incident command, aviation rules, radios, visual observation, or agency procedures.</w:t>
      </w:r>
    </w:p>
    <w:p>
      <w:pPr>
        <w:spacing w:after="80" w:line="290" w:lineRule="auto"/>
        <w:numPr>
          <w:ilvl w:val="0"/>
          <w:numId w:val="10"/>
        </w:numPr>
      </w:pPr>
      <w:r>
        <w:rPr>
          <w:rFonts w:ascii="Calibri" w:hAnsi="Calibri"/>
          <w:b/>
          <w:i w:val="0"/>
          <w:color w:val="243447"/>
          <w:sz w:val="22"/>
        </w:rPr>
        <w:t>Terms and acknowledgment:</w:t>
      </w:r>
      <w:r>
        <w:rPr>
          <w:rFonts w:ascii="Calibri" w:hAnsi="Calibri"/>
          <w:b w:val="0"/>
          <w:i w:val="0"/>
          <w:color w:val="243447"/>
          <w:sz w:val="22"/>
        </w:rPr>
        <w:t xml:space="preserve"> every participating organization accepts board-approved best-effort terms, privacy disclosures, safety limitations, acceptable-use requirements, no-SLA status, and responsibility for its own operational decisions.</w:t>
      </w:r>
    </w:p>
    <w:p>
      <w:pPr>
        <w:spacing w:after="80" w:line="290" w:lineRule="auto"/>
        <w:numPr>
          <w:ilvl w:val="0"/>
          <w:numId w:val="10"/>
        </w:numPr>
      </w:pPr>
      <w:r>
        <w:rPr>
          <w:rFonts w:ascii="Calibri" w:hAnsi="Calibri"/>
          <w:b/>
          <w:i w:val="0"/>
          <w:color w:val="243447"/>
          <w:sz w:val="22"/>
        </w:rPr>
        <w:t>Insurance review:</w:t>
      </w:r>
      <w:r>
        <w:rPr>
          <w:rFonts w:ascii="Calibri" w:hAnsi="Calibri"/>
          <w:b w:val="0"/>
          <w:i w:val="0"/>
          <w:color w:val="243447"/>
          <w:sz w:val="22"/>
        </w:rPr>
        <w:t xml:space="preserve"> ask the broker to evaluate general liability, directors and officers coverage, cyber/privacy coverage, technology errors and omissions, volunteer coverage, and whether current policies exclude software services or services outside the local team.</w:t>
      </w:r>
    </w:p>
    <w:p>
      <w:pPr>
        <w:spacing w:after="80" w:line="290" w:lineRule="auto"/>
        <w:numPr>
          <w:ilvl w:val="0"/>
          <w:numId w:val="10"/>
        </w:numPr>
      </w:pPr>
      <w:r>
        <w:rPr>
          <w:rFonts w:ascii="Calibri" w:hAnsi="Calibri"/>
          <w:b/>
          <w:i w:val="0"/>
          <w:color w:val="243447"/>
          <w:sz w:val="22"/>
        </w:rPr>
        <w:t>Security:</w:t>
      </w:r>
      <w:r>
        <w:rPr>
          <w:rFonts w:ascii="Calibri" w:hAnsi="Calibri"/>
          <w:b w:val="0"/>
          <w:i w:val="0"/>
          <w:color w:val="243447"/>
          <w:sz w:val="22"/>
        </w:rPr>
        <w:t xml:space="preserve"> require least privilege, multifactor authentication, organizational account ownership, encryption, secret rotation, dependency patching, audit logging, backup testing, incident response, and breach-notification procedures.</w:t>
      </w:r>
    </w:p>
    <w:p>
      <w:pPr>
        <w:spacing w:after="80" w:line="290" w:lineRule="auto"/>
        <w:numPr>
          <w:ilvl w:val="0"/>
          <w:numId w:val="10"/>
        </w:numPr>
      </w:pPr>
      <w:r>
        <w:rPr>
          <w:rFonts w:ascii="Calibri" w:hAnsi="Calibri"/>
          <w:b/>
          <w:i w:val="0"/>
          <w:color w:val="243447"/>
          <w:sz w:val="22"/>
        </w:rPr>
        <w:t>Data stewardship:</w:t>
      </w:r>
      <w:r>
        <w:rPr>
          <w:rFonts w:ascii="Calibri" w:hAnsi="Calibri"/>
          <w:b w:val="0"/>
          <w:i w:val="0"/>
          <w:color w:val="243447"/>
          <w:sz w:val="22"/>
        </w:rPr>
        <w:t xml:space="preserve"> approve a data inventory, retention schedule, organization-scoped access model, lawful-use rules, export process, deletion/archiving process, and a clear statement of which party is the data owner or custodian.</w:t>
      </w:r>
    </w:p>
    <w:p>
      <w:pPr>
        <w:spacing w:after="80" w:line="290" w:lineRule="auto"/>
        <w:numPr>
          <w:ilvl w:val="0"/>
          <w:numId w:val="10"/>
        </w:numPr>
      </w:pPr>
      <w:r>
        <w:rPr>
          <w:rFonts w:ascii="Calibri" w:hAnsi="Calibri"/>
          <w:b/>
          <w:i w:val="0"/>
          <w:color w:val="243447"/>
          <w:sz w:val="22"/>
        </w:rPr>
        <w:t>Service continuity:</w:t>
      </w:r>
      <w:r>
        <w:rPr>
          <w:rFonts w:ascii="Calibri" w:hAnsi="Calibri"/>
          <w:b w:val="0"/>
          <w:i w:val="0"/>
          <w:color w:val="243447"/>
          <w:sz w:val="22"/>
        </w:rPr>
        <w:t xml:space="preserve"> publish realistic availability and support expectations, maintain recovery documentation, and preserve agency export access before any manual archive or shutdown decision.</w:t>
      </w:r>
    </w:p>
    <w:p>
      <w:pPr>
        <w:spacing w:after="80" w:line="290" w:lineRule="auto"/>
        <w:numPr>
          <w:ilvl w:val="0"/>
          <w:numId w:val="10"/>
        </w:numPr>
      </w:pPr>
      <w:r>
        <w:rPr>
          <w:rFonts w:ascii="Calibri" w:hAnsi="Calibri"/>
          <w:b/>
          <w:i w:val="0"/>
          <w:color w:val="243447"/>
          <w:sz w:val="22"/>
        </w:rPr>
        <w:t>Controlled expansion:</w:t>
      </w:r>
      <w:r>
        <w:rPr>
          <w:rFonts w:ascii="Calibri" w:hAnsi="Calibri"/>
          <w:b w:val="0"/>
          <w:i w:val="0"/>
          <w:color w:val="243447"/>
          <w:sz w:val="22"/>
        </w:rPr>
        <w:t xml:space="preserve"> add agencies only when funding, support capacity, data controls, and operational qualification are adequate; do not represent pilot features as fully qualified public-safety infrastructure.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1F1"/>
          </w:tcPr>
          <w:p>
            <w:pPr>
              <w:spacing w:after="40" w:line="276" w:lineRule="auto"/>
            </w:pPr>
            <w:r>
              <w:rPr>
                <w:rFonts w:ascii="Calibri" w:hAnsi="Calibri"/>
                <w:b/>
                <w:i w:val="0"/>
                <w:color w:val="9B1C1C"/>
                <w:sz w:val="20"/>
              </w:rPr>
              <w:t xml:space="preserve">LEGAL AND TAX REVIEW REQUIRED  </w:t>
            </w:r>
            <w:r>
              <w:rPr>
                <w:rFonts w:ascii="Calibri" w:hAnsi="Calibri"/>
                <w:b/>
                <w:i w:val="0"/>
                <w:color w:val="243447"/>
                <w:sz w:val="21"/>
              </w:rPr>
              <w:t>This proposal is a governance and planning document, not legal, tax, accounting, or insurance advice. Counsel should confirm mission fit, governing-document authority, the transfer instrument, charitable-fund controls, terms of use, privacy obligations, volunteer protections, and any fee model before final adoption.</w:t>
            </w:r>
          </w:p>
        </w:tc>
      </w:tr>
    </w:tbl>
    <w:p>
      <w:pPr>
        <w:spacing w:after="40"/>
      </w:pPr>
    </w:p>
    <w:p>
      <w:r>
        <w:br w:type="page"/>
      </w:r>
    </w:p>
    <w:p>
      <w:pPr>
        <w:pStyle w:val="Heading1"/>
        <w:keepNext/>
      </w:pPr>
      <w:r>
        <w:t>Adoption Plan and Closing Conditions</w:t>
      </w:r>
    </w:p>
    <w:tbl>
      <w:tblPr>
        <w:tblStyle w:val="TableGrid"/>
        <w:tblW w:type="dxa" w:w="9360"/>
        <w:jc w:val="left"/>
        <w:tblLayout w:type="fixed"/>
        <w:tblLook w:firstColumn="1" w:firstRow="1" w:lastColumn="0" w:lastRow="0" w:noHBand="0" w:noVBand="1" w:val="04A0"/>
        <w:tblInd w:w="120" w:type="dxa"/>
      </w:tblPr>
      <w:tblGrid>
        <w:gridCol w:w="1700"/>
        <w:gridCol w:w="1500"/>
        <w:gridCol w:w="6160"/>
      </w:tblGrid>
      <w:tr>
        <w:trPr>
          <w:tblHeader w:val="true"/>
        </w:trPr>
        <w:tc>
          <w:tcPr>
            <w:tcW w:type="dxa" w:w="1700"/>
            <w:vAlign w:val="center"/>
            <w:tcMar>
              <w:top w:w="80" w:type="dxa"/>
              <w:start w:w="120" w:type="dxa"/>
              <w:bottom w:w="80" w:type="dxa"/>
              <w:end w:w="120" w:type="dxa"/>
            </w:tcMar>
            <w:shd w:fill="F4F6F9"/>
          </w:tcPr>
          <w:p>
            <w:pPr>
              <w:spacing w:after="0"/>
              <w:jc w:val="left"/>
            </w:pPr>
            <w:r>
              <w:rPr>
                <w:rFonts w:ascii="Calibri" w:hAnsi="Calibri"/>
                <w:b/>
                <w:i w:val="0"/>
                <w:color w:val="1F4D78"/>
                <w:sz w:val="19"/>
              </w:rPr>
              <w:t>Phase</w:t>
            </w:r>
          </w:p>
        </w:tc>
        <w:tc>
          <w:tcPr>
            <w:tcW w:type="dxa" w:w="1500"/>
            <w:vAlign w:val="center"/>
            <w:tcMar>
              <w:top w:w="80" w:type="dxa"/>
              <w:start w:w="120" w:type="dxa"/>
              <w:bottom w:w="80" w:type="dxa"/>
              <w:end w:w="120" w:type="dxa"/>
            </w:tcMar>
            <w:shd w:fill="F4F6F9"/>
          </w:tcPr>
          <w:p>
            <w:pPr>
              <w:spacing w:after="0"/>
              <w:jc w:val="left"/>
            </w:pPr>
            <w:r>
              <w:rPr>
                <w:rFonts w:ascii="Calibri" w:hAnsi="Calibri"/>
                <w:b/>
                <w:i w:val="0"/>
                <w:color w:val="1F4D78"/>
                <w:sz w:val="19"/>
              </w:rPr>
              <w:t>Target</w:t>
            </w:r>
          </w:p>
        </w:tc>
        <w:tc>
          <w:tcPr>
            <w:tcW w:type="dxa" w:w="6160"/>
            <w:vAlign w:val="center"/>
            <w:tcMar>
              <w:top w:w="80" w:type="dxa"/>
              <w:start w:w="120" w:type="dxa"/>
              <w:bottom w:w="80" w:type="dxa"/>
              <w:end w:w="120" w:type="dxa"/>
            </w:tcMar>
            <w:shd w:fill="F4F6F9"/>
          </w:tcPr>
          <w:p>
            <w:pPr>
              <w:spacing w:after="0"/>
              <w:jc w:val="left"/>
            </w:pPr>
            <w:r>
              <w:rPr>
                <w:rFonts w:ascii="Calibri" w:hAnsi="Calibri"/>
                <w:b/>
                <w:i w:val="0"/>
                <w:color w:val="1F4D78"/>
                <w:sz w:val="19"/>
              </w:rPr>
              <w:t>Required result before advancing</w:t>
            </w:r>
          </w:p>
        </w:tc>
      </w:tr>
      <w:tr>
        <w:tc>
          <w:tcPr>
            <w:tcW w:type="dxa" w:w="1700"/>
          </w:tcPr>
          <w:p>
            <w:pPr>
              <w:spacing w:after="0" w:line="264" w:lineRule="auto"/>
              <w:jc w:val="left"/>
            </w:pPr>
            <w:r>
              <w:rPr>
                <w:rFonts w:ascii="Calibri" w:hAnsi="Calibri"/>
                <w:b/>
                <w:i w:val="0"/>
                <w:color w:val="243447"/>
                <w:sz w:val="19"/>
              </w:rPr>
              <w:t>0 — Interim bridge</w:t>
            </w:r>
          </w:p>
        </w:tc>
        <w:tc>
          <w:tcPr>
            <w:tcW w:type="dxa" w:w="1500"/>
          </w:tcPr>
          <w:p>
            <w:pPr>
              <w:spacing w:after="0" w:line="264" w:lineRule="auto"/>
              <w:jc w:val="left"/>
            </w:pPr>
            <w:r>
              <w:rPr>
                <w:rFonts w:ascii="Calibri" w:hAnsi="Calibri"/>
                <w:b w:val="0"/>
                <w:i w:val="0"/>
                <w:color w:val="243447"/>
                <w:sz w:val="19"/>
              </w:rPr>
              <w:t>Now</w:t>
            </w:r>
          </w:p>
        </w:tc>
        <w:tc>
          <w:tcPr>
            <w:tcW w:type="dxa" w:w="6160"/>
          </w:tcPr>
          <w:p>
            <w:pPr>
              <w:spacing w:after="0" w:line="264" w:lineRule="auto"/>
              <w:jc w:val="left"/>
            </w:pPr>
            <w:r>
              <w:rPr>
                <w:rFonts w:ascii="Calibri" w:hAnsi="Calibri"/>
                <w:b w:val="0"/>
                <w:i w:val="0"/>
                <w:color w:val="243447"/>
                <w:sz w:val="19"/>
              </w:rPr>
              <w:t>Free apps, websites, and pilot hosted service remain personally supported, noncommercial, and explicitly best effort with no SLA. No paid customers or personal fundraising.</w:t>
            </w:r>
          </w:p>
        </w:tc>
      </w:tr>
      <w:tr>
        <w:tc>
          <w:tcPr>
            <w:tcW w:type="dxa" w:w="1700"/>
          </w:tcPr>
          <w:p>
            <w:pPr>
              <w:spacing w:after="0" w:line="264" w:lineRule="auto"/>
              <w:jc w:val="left"/>
            </w:pPr>
            <w:r>
              <w:rPr>
                <w:rFonts w:ascii="Calibri" w:hAnsi="Calibri"/>
                <w:b/>
                <w:i w:val="0"/>
                <w:color w:val="243447"/>
                <w:sz w:val="19"/>
              </w:rPr>
              <w:t>1 — Due diligence</w:t>
            </w:r>
          </w:p>
        </w:tc>
        <w:tc>
          <w:tcPr>
            <w:tcW w:type="dxa" w:w="1500"/>
          </w:tcPr>
          <w:p>
            <w:pPr>
              <w:spacing w:after="0" w:line="264" w:lineRule="auto"/>
              <w:jc w:val="left"/>
            </w:pPr>
            <w:r>
              <w:rPr>
                <w:rFonts w:ascii="Calibri" w:hAnsi="Calibri"/>
                <w:b w:val="0"/>
                <w:i w:val="0"/>
                <w:color w:val="243447"/>
                <w:sz w:val="19"/>
              </w:rPr>
              <w:t>Within 60 days</w:t>
            </w:r>
          </w:p>
        </w:tc>
        <w:tc>
          <w:tcPr>
            <w:tcW w:type="dxa" w:w="6160"/>
          </w:tcPr>
          <w:p>
            <w:pPr>
              <w:spacing w:after="0" w:line="264" w:lineRule="auto"/>
              <w:jc w:val="left"/>
            </w:pPr>
            <w:r>
              <w:rPr>
                <w:rFonts w:ascii="Calibri" w:hAnsi="Calibri"/>
                <w:b w:val="0"/>
                <w:i w:val="0"/>
                <w:color w:val="243447"/>
                <w:sz w:val="19"/>
              </w:rPr>
              <w:t>Counsel, tax adviser, insurer, and technical reviewer complete findings; board receives stewardship and license inventory, risk register, and twelve-month budget.</w:t>
            </w:r>
          </w:p>
        </w:tc>
      </w:tr>
      <w:tr>
        <w:tc>
          <w:tcPr>
            <w:tcW w:type="dxa" w:w="1700"/>
          </w:tcPr>
          <w:p>
            <w:pPr>
              <w:spacing w:after="0" w:line="264" w:lineRule="auto"/>
              <w:jc w:val="left"/>
            </w:pPr>
            <w:r>
              <w:rPr>
                <w:rFonts w:ascii="Calibri" w:hAnsi="Calibri"/>
                <w:b/>
                <w:i w:val="0"/>
                <w:color w:val="243447"/>
                <w:sz w:val="19"/>
              </w:rPr>
              <w:t>2 — Final adoption</w:t>
            </w:r>
          </w:p>
        </w:tc>
        <w:tc>
          <w:tcPr>
            <w:tcW w:type="dxa" w:w="1500"/>
          </w:tcPr>
          <w:p>
            <w:pPr>
              <w:spacing w:after="0" w:line="264" w:lineRule="auto"/>
              <w:jc w:val="left"/>
            </w:pPr>
            <w:r>
              <w:rPr>
                <w:rFonts w:ascii="Calibri" w:hAnsi="Calibri"/>
                <w:b w:val="0"/>
                <w:i w:val="0"/>
                <w:color w:val="243447"/>
                <w:sz w:val="19"/>
              </w:rPr>
              <w:t>Board-designated meeting</w:t>
            </w:r>
          </w:p>
        </w:tc>
        <w:tc>
          <w:tcPr>
            <w:tcW w:type="dxa" w:w="6160"/>
          </w:tcPr>
          <w:p>
            <w:pPr>
              <w:spacing w:after="0" w:line="264" w:lineRule="auto"/>
              <w:jc w:val="left"/>
            </w:pPr>
            <w:r>
              <w:rPr>
                <w:rFonts w:ascii="Calibri" w:hAnsi="Calibri"/>
                <w:b w:val="0"/>
                <w:i w:val="0"/>
                <w:color w:val="243447"/>
                <w:sz w:val="19"/>
              </w:rPr>
              <w:t>Board approves budget and policies; stewardship and transfer agreements are signed; official accounts transfer; credentials rotate; insurance is effective.</w:t>
            </w:r>
          </w:p>
        </w:tc>
      </w:tr>
      <w:tr>
        <w:tc>
          <w:tcPr>
            <w:tcW w:type="dxa" w:w="1700"/>
          </w:tcPr>
          <w:p>
            <w:pPr>
              <w:spacing w:after="0" w:line="264" w:lineRule="auto"/>
              <w:jc w:val="left"/>
            </w:pPr>
            <w:r>
              <w:rPr>
                <w:rFonts w:ascii="Calibri" w:hAnsi="Calibri"/>
                <w:b/>
                <w:i w:val="0"/>
                <w:color w:val="243447"/>
                <w:sz w:val="19"/>
              </w:rPr>
              <w:t>3 — Controlled public-service pilot</w:t>
            </w:r>
          </w:p>
        </w:tc>
        <w:tc>
          <w:tcPr>
            <w:tcW w:type="dxa" w:w="1500"/>
          </w:tcPr>
          <w:p>
            <w:pPr>
              <w:spacing w:after="0" w:line="264" w:lineRule="auto"/>
              <w:jc w:val="left"/>
            </w:pPr>
            <w:r>
              <w:rPr>
                <w:rFonts w:ascii="Calibri" w:hAnsi="Calibri"/>
                <w:b w:val="0"/>
                <w:i w:val="0"/>
                <w:color w:val="243447"/>
                <w:sz w:val="19"/>
              </w:rPr>
              <w:t>After closing</w:t>
            </w:r>
          </w:p>
        </w:tc>
        <w:tc>
          <w:tcPr>
            <w:tcW w:type="dxa" w:w="6160"/>
          </w:tcPr>
          <w:p>
            <w:pPr>
              <w:spacing w:after="0" w:line="264" w:lineRule="auto"/>
              <w:jc w:val="left"/>
            </w:pPr>
            <w:r>
              <w:rPr>
                <w:rFonts w:ascii="Calibri" w:hAnsi="Calibri"/>
                <w:b w:val="0"/>
                <w:i w:val="0"/>
                <w:color w:val="243447"/>
                <w:sz w:val="19"/>
              </w:rPr>
              <w:t>NCSSAR and a limited number of approved first responder agencies operate under signed terms; support load, incidents, costs, and outcomes are reviewed.</w:t>
            </w:r>
          </w:p>
        </w:tc>
      </w:tr>
      <w:tr>
        <w:tc>
          <w:tcPr>
            <w:tcW w:type="dxa" w:w="1700"/>
          </w:tcPr>
          <w:p>
            <w:pPr>
              <w:spacing w:after="0" w:line="264" w:lineRule="auto"/>
              <w:jc w:val="left"/>
            </w:pPr>
            <w:r>
              <w:rPr>
                <w:rFonts w:ascii="Calibri" w:hAnsi="Calibri"/>
                <w:b/>
                <w:i w:val="0"/>
                <w:color w:val="243447"/>
                <w:sz w:val="19"/>
              </w:rPr>
              <w:t>4 — Broader access</w:t>
            </w:r>
          </w:p>
        </w:tc>
        <w:tc>
          <w:tcPr>
            <w:tcW w:type="dxa" w:w="1500"/>
          </w:tcPr>
          <w:p>
            <w:pPr>
              <w:spacing w:after="0" w:line="264" w:lineRule="auto"/>
              <w:jc w:val="left"/>
            </w:pPr>
            <w:r>
              <w:rPr>
                <w:rFonts w:ascii="Calibri" w:hAnsi="Calibri"/>
                <w:b w:val="0"/>
                <w:i w:val="0"/>
                <w:color w:val="243447"/>
                <w:sz w:val="19"/>
              </w:rPr>
              <w:t>Separate board decision</w:t>
            </w:r>
          </w:p>
        </w:tc>
        <w:tc>
          <w:tcPr>
            <w:tcW w:type="dxa" w:w="6160"/>
          </w:tcPr>
          <w:p>
            <w:pPr>
              <w:spacing w:after="0" w:line="264" w:lineRule="auto"/>
              <w:jc w:val="left"/>
            </w:pPr>
            <w:r>
              <w:rPr>
                <w:rFonts w:ascii="Calibri" w:hAnsi="Calibri"/>
                <w:b w:val="0"/>
                <w:i w:val="0"/>
                <w:color w:val="243447"/>
                <w:sz w:val="19"/>
              </w:rPr>
              <w:t>Grants/donations support expansion. Any fee or paid plan requires new board authorization after legal, tax, insurance, and capacity review.</w:t>
            </w:r>
          </w:p>
        </w:tc>
      </w:tr>
    </w:tbl>
    <w:p>
      <w:pPr>
        <w:spacing w:after="40"/>
      </w:pPr>
    </w:p>
    <w:p>
      <w:pPr>
        <w:pStyle w:val="Heading2"/>
        <w:keepNext/>
      </w:pPr>
      <w:r>
        <w:t>Closing conditions</w:t>
      </w:r>
    </w:p>
    <w:p>
      <w:pPr>
        <w:spacing w:after="80" w:line="290" w:lineRule="auto"/>
        <w:numPr>
          <w:ilvl w:val="0"/>
          <w:numId w:val="10"/>
        </w:numPr>
      </w:pPr>
      <w:r>
        <w:rPr>
          <w:rFonts w:ascii="Calibri" w:hAnsi="Calibri"/>
          <w:b w:val="0"/>
          <w:i w:val="0"/>
          <w:color w:val="243447"/>
          <w:sz w:val="22"/>
        </w:rPr>
        <w:t>Board-approved finding that the program furthers NCSSAR’s charitable mission and is permitted by its articles, bylaws, policies, Sheriff relationship, and tax-exempt status.</w:t>
      </w:r>
    </w:p>
    <w:p>
      <w:pPr>
        <w:spacing w:after="80" w:line="290" w:lineRule="auto"/>
        <w:numPr>
          <w:ilvl w:val="0"/>
          <w:numId w:val="10"/>
        </w:numPr>
      </w:pPr>
      <w:r>
        <w:rPr>
          <w:rFonts w:ascii="Calibri" w:hAnsi="Calibri"/>
          <w:b w:val="0"/>
          <w:i w:val="0"/>
          <w:color w:val="243447"/>
          <w:sz w:val="22"/>
        </w:rPr>
        <w:t>Signed program-stewardship and transfer agreement identifying official repositories, copyrights actually assignable, Apache-licensed materials, third-party contributions, marks, domains, accounts, hosted assets, and exclusions.</w:t>
      </w:r>
    </w:p>
    <w:p>
      <w:pPr>
        <w:spacing w:after="80" w:line="290" w:lineRule="auto"/>
        <w:numPr>
          <w:ilvl w:val="0"/>
          <w:numId w:val="10"/>
        </w:numPr>
      </w:pPr>
      <w:r>
        <w:rPr>
          <w:rFonts w:ascii="Calibri" w:hAnsi="Calibri"/>
          <w:b w:val="0"/>
          <w:i w:val="0"/>
          <w:color w:val="243447"/>
          <w:sz w:val="22"/>
        </w:rPr>
        <w:t>Board-approved twelve-month operating budget, funding source, spending authority, reserve target, and reporting cadence.</w:t>
      </w:r>
    </w:p>
    <w:p>
      <w:pPr>
        <w:spacing w:after="80" w:line="290" w:lineRule="auto"/>
        <w:numPr>
          <w:ilvl w:val="0"/>
          <w:numId w:val="10"/>
        </w:numPr>
      </w:pPr>
      <w:r>
        <w:rPr>
          <w:rFonts w:ascii="Calibri" w:hAnsi="Calibri"/>
          <w:b w:val="0"/>
          <w:i w:val="0"/>
          <w:color w:val="243447"/>
          <w:sz w:val="22"/>
        </w:rPr>
        <w:t>Written review by the insurance broker and binders or endorsements the board determines are necessary.</w:t>
      </w:r>
    </w:p>
    <w:p>
      <w:pPr>
        <w:spacing w:after="80" w:line="290" w:lineRule="auto"/>
        <w:numPr>
          <w:ilvl w:val="0"/>
          <w:numId w:val="10"/>
        </w:numPr>
      </w:pPr>
      <w:r>
        <w:rPr>
          <w:rFonts w:ascii="Calibri" w:hAnsi="Calibri"/>
          <w:b w:val="0"/>
          <w:i w:val="0"/>
          <w:color w:val="243447"/>
          <w:sz w:val="22"/>
        </w:rPr>
        <w:t>Board-approved best-effort terms, no-SLA statement, privacy notice, safety acknowledgment, data-retention policy, incident-response plan, and acceptable-use policy.</w:t>
      </w:r>
    </w:p>
    <w:p>
      <w:pPr>
        <w:spacing w:after="80" w:line="290" w:lineRule="auto"/>
        <w:numPr>
          <w:ilvl w:val="0"/>
          <w:numId w:val="10"/>
        </w:numPr>
      </w:pPr>
      <w:r>
        <w:rPr>
          <w:rFonts w:ascii="Calibri" w:hAnsi="Calibri"/>
          <w:b w:val="0"/>
          <w:i w:val="0"/>
          <w:color w:val="243447"/>
          <w:sz w:val="22"/>
        </w:rPr>
        <w:t>Organizational control of critical accounts, multifactor authentication, credential escrow, backup administrator access, tested export/restore procedures, and a current system inventory.</w:t>
      </w:r>
    </w:p>
    <w:p>
      <w:pPr>
        <w:spacing w:after="80" w:line="290" w:lineRule="auto"/>
        <w:numPr>
          <w:ilvl w:val="0"/>
          <w:numId w:val="10"/>
        </w:numPr>
      </w:pPr>
      <w:r>
        <w:rPr>
          <w:rFonts w:ascii="Calibri" w:hAnsi="Calibri"/>
          <w:b w:val="0"/>
          <w:i w:val="0"/>
          <w:color w:val="243447"/>
          <w:sz w:val="22"/>
        </w:rPr>
        <w:t>Written volunteer developer/administrator appointment defining authority, reporting, expenses, ownership of new work, conflicts, transition duties, and the absence of personal financial guarantees.</w:t>
      </w:r>
    </w:p>
    <w:p>
      <w:pPr>
        <w:pStyle w:val="Heading1"/>
        <w:keepNext/>
      </w:pPr>
      <w:r>
        <w:t>Measures of Success</w:t>
      </w:r>
    </w:p>
    <w:p>
      <w:pPr>
        <w:spacing w:after="160" w:line="320" w:lineRule="auto"/>
        <w:jc w:val="both"/>
      </w:pPr>
      <w:r>
        <w:rPr>
          <w:rFonts w:ascii="Calibri" w:hAnsi="Calibri"/>
          <w:b w:val="0"/>
          <w:i w:val="0"/>
          <w:color w:val="243447"/>
          <w:sz w:val="22"/>
        </w:rPr>
        <w:t>During the controlled pilot, the board should receive a concise quarterly program report covering:</w:t>
      </w:r>
    </w:p>
    <w:p>
      <w:pPr>
        <w:spacing w:after="80" w:line="290" w:lineRule="auto"/>
        <w:numPr>
          <w:ilvl w:val="0"/>
          <w:numId w:val="10"/>
        </w:numPr>
      </w:pPr>
      <w:r>
        <w:rPr>
          <w:rFonts w:ascii="Calibri" w:hAnsi="Calibri"/>
          <w:b w:val="0"/>
          <w:i w:val="0"/>
          <w:color w:val="243447"/>
          <w:sz w:val="22"/>
        </w:rPr>
        <w:t>Number and type of participating agencies, active administrators, and completed onboarding events.</w:t>
      </w:r>
    </w:p>
    <w:p>
      <w:pPr>
        <w:spacing w:after="80" w:line="290" w:lineRule="auto"/>
        <w:numPr>
          <w:ilvl w:val="0"/>
          <w:numId w:val="10"/>
        </w:numPr>
      </w:pPr>
      <w:r>
        <w:rPr>
          <w:rFonts w:ascii="Calibri" w:hAnsi="Calibri"/>
          <w:b w:val="0"/>
          <w:i w:val="0"/>
          <w:color w:val="243447"/>
          <w:sz w:val="22"/>
        </w:rPr>
        <w:t>Service availability, security events, support requests, material defects, and time to resolution.</w:t>
      </w:r>
    </w:p>
    <w:p>
      <w:pPr>
        <w:spacing w:after="80" w:line="290" w:lineRule="auto"/>
        <w:numPr>
          <w:ilvl w:val="0"/>
          <w:numId w:val="10"/>
        </w:numPr>
      </w:pPr>
      <w:r>
        <w:rPr>
          <w:rFonts w:ascii="Calibri" w:hAnsi="Calibri"/>
          <w:b w:val="0"/>
          <w:i w:val="0"/>
          <w:color w:val="243447"/>
          <w:sz w:val="22"/>
        </w:rPr>
        <w:t>Actual hosting and support cost, funding received, restricted balance, forecast, and reserve coverage.</w:t>
      </w:r>
    </w:p>
    <w:p>
      <w:pPr>
        <w:spacing w:after="80" w:line="290" w:lineRule="auto"/>
        <w:numPr>
          <w:ilvl w:val="0"/>
          <w:numId w:val="10"/>
        </w:numPr>
      </w:pPr>
      <w:r>
        <w:rPr>
          <w:rFonts w:ascii="Calibri" w:hAnsi="Calibri"/>
          <w:b w:val="0"/>
          <w:i w:val="0"/>
          <w:color w:val="243447"/>
          <w:sz w:val="22"/>
        </w:rPr>
        <w:t>Agency record exports, archive/shutdown contacts, data incidents, and compliance exceptions.</w:t>
      </w:r>
    </w:p>
    <w:p>
      <w:pPr>
        <w:spacing w:after="80" w:line="290" w:lineRule="auto"/>
        <w:numPr>
          <w:ilvl w:val="0"/>
          <w:numId w:val="10"/>
        </w:numPr>
      </w:pPr>
      <w:r>
        <w:rPr>
          <w:rFonts w:ascii="Calibri" w:hAnsi="Calibri"/>
          <w:b w:val="0"/>
          <w:i w:val="0"/>
          <w:color w:val="243447"/>
          <w:sz w:val="22"/>
        </w:rPr>
        <w:t>Operator feedback and documented public-service outcomes, without exposing sensitive operational data.</w:t>
      </w:r>
    </w:p>
    <w:p>
      <w:pPr>
        <w:spacing w:after="80" w:line="290" w:lineRule="auto"/>
        <w:numPr>
          <w:ilvl w:val="0"/>
          <w:numId w:val="10"/>
        </w:numPr>
      </w:pPr>
      <w:r>
        <w:rPr>
          <w:rFonts w:ascii="Calibri" w:hAnsi="Calibri"/>
          <w:b w:val="0"/>
          <w:i w:val="0"/>
          <w:color w:val="243447"/>
          <w:sz w:val="22"/>
        </w:rPr>
        <w:t>Technical continuity: documentation completeness, backup administrator readiness, tested recovery, and unresolved single-person dependencies.</w:t>
      </w:r>
    </w:p>
    <w:p>
      <w:r>
        <w:br w:type="page"/>
      </w:r>
    </w:p>
    <w:p>
      <w:pPr>
        <w:pStyle w:val="Heading1"/>
        <w:keepNext/>
      </w:pPr>
      <w:r>
        <w:t>Recommended Board Resolution</w:t>
      </w:r>
    </w:p>
    <w:p>
      <w:pPr>
        <w:spacing w:after="160" w:line="320" w:lineRule="auto"/>
        <w:jc w:val="both"/>
      </w:pPr>
      <w:r>
        <w:rPr>
          <w:rFonts w:ascii="Calibri" w:hAnsi="Calibri"/>
          <w:b w:val="0"/>
          <w:i w:val="0"/>
          <w:color w:val="243447"/>
          <w:sz w:val="22"/>
        </w:rPr>
        <w:t>The following motion is drafted for board consideration. Counsel may revise it before adoption.</w:t>
      </w:r>
    </w:p>
    <w:p>
      <w:pPr>
        <w:spacing w:after="140" w:line="276" w:lineRule="auto"/>
        <w:jc w:val="left"/>
      </w:pPr>
      <w:r>
        <w:rPr>
          <w:rFonts w:ascii="Calibri" w:hAnsi="Calibri"/>
          <w:b/>
          <w:i w:val="0"/>
          <w:color w:val="1F4D78"/>
          <w:sz w:val="20"/>
        </w:rPr>
        <w:t xml:space="preserve">RESOLVED, </w:t>
      </w:r>
      <w:r>
        <w:rPr>
          <w:rFonts w:ascii="Calibri" w:hAnsi="Calibri"/>
          <w:b w:val="0"/>
          <w:i w:val="0"/>
          <w:color w:val="243447"/>
          <w:sz w:val="20"/>
        </w:rPr>
        <w:t>that the Board of Directors of Nevada County Sheriff’s Search and Rescue, Inc. approves in principle the adoption and stewardship of the RID2Caltopo public-service program—including the free Android and Apple applications, public websites and documentation, and companion r2c-tracker hosted service—to support eligible search-and-rescue and first responder organizations, subject to the closing conditions and limitations stated in the August 7, 2026 proposal presented to the Board;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the Board commits to assume official stewardship and hosted-service operating responsibility for the program components identified in a final written schedule, while preserving all Apache License 2.0 rights and recognizing that NCSSAR owns only copyrights and other rights validly assigned to it, provided that the Board receives and accepts satisfactory legal, tax, insurance, financial, security, licensing, and technical due-diligence findings; approves an operating budget and necessary policies; and authorizes execution of the final transfer documents;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the President is directed to appoint a board officer or project committee to complete due diligence and present a final adoption package to the Board within sixty days;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no hosted component shall accept paying external customers, paid subscriptions, customer deposits, or personally received project donations before final adoption, and that any later fee model requires separate Board approval after legal, tax, insurance, and capacity review;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during the interim period, and thereafter unless the Board expressly approves otherwise in writing, the RID2Caltopo applications, websites, and r2c-tracker service are offered only on a best-effort, as-is, and as-available basis, without any service-level agreement, guaranteed functionality, availability, accuracy, support, compatibility, retention, or fitness for life-safety use, subject to applicable law and final counsel-approved terms;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upon final adoption all program donations, grants, fees, contracts, vendor accounts, and expenses shall be received, held, authorized, and accounted for by NCSSAR; no volunteer shall be required to advance funds, personally guarantee an obligation, or accept personal financial responsibility for the program;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Ken Taylor is appointed volunteer primary developer and platform administrator effective upon final adoption, serving at the pleasure of the Board under a written delegation of authority, with board-controlled recovery access, a designated backup administrator, and no implied right to compensation; and</w:t>
      </w:r>
    </w:p>
    <w:p>
      <w:pPr>
        <w:spacing w:after="140" w:line="276" w:lineRule="auto"/>
        <w:jc w:val="left"/>
      </w:pPr>
      <w:r>
        <w:rPr>
          <w:rFonts w:ascii="Calibri" w:hAnsi="Calibri"/>
          <w:b/>
          <w:i w:val="0"/>
          <w:color w:val="1F4D78"/>
          <w:sz w:val="20"/>
        </w:rPr>
        <w:t xml:space="preserve">FURTHER RESOLVED, </w:t>
      </w:r>
      <w:r>
        <w:rPr>
          <w:rFonts w:ascii="Calibri" w:hAnsi="Calibri"/>
          <w:b w:val="0"/>
          <w:i w:val="0"/>
          <w:color w:val="243447"/>
          <w:sz w:val="20"/>
        </w:rPr>
        <w:t>that the President and Secretary are authorized to execute documents and take actions reasonably necessary to complete the approved due diligence and, following final Board approval, the transfer and orderly operation of the program.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line="276" w:lineRule="auto"/>
            </w:pPr>
            <w:r>
              <w:rPr>
                <w:rFonts w:ascii="Calibri" w:hAnsi="Calibri"/>
                <w:b/>
                <w:i w:val="0"/>
                <w:color w:val="2E74B5"/>
                <w:sz w:val="20"/>
              </w:rPr>
              <w:t xml:space="preserve">EFFECT OF THIS RESOLUTION  </w:t>
            </w:r>
            <w:r>
              <w:rPr>
                <w:rFonts w:ascii="Calibri" w:hAnsi="Calibri"/>
                <w:b/>
                <w:i w:val="0"/>
                <w:color w:val="243447"/>
                <w:sz w:val="21"/>
              </w:rPr>
              <w:t>This is a real commitment to steward the complete program under stated safeguards. Official responsibility does not transfer, and paid hosted service does not begin, until the board accepts the final diligence package and signs the stewardship and transfer documents. Existing Apache rights remain unaffected.</w:t>
            </w:r>
          </w:p>
        </w:tc>
      </w:tr>
    </w:tbl>
    <w:p>
      <w:pPr>
        <w:spacing w:after="40"/>
      </w:pPr>
    </w:p>
    <w:p>
      <w:pPr>
        <w:pStyle w:val="Heading2"/>
        <w:keepNext/>
      </w:pPr>
      <w:r>
        <w:t>Board Record of Action and Certification</w:t>
      </w:r>
    </w:p>
    <w:p>
      <w:pPr>
        <w:spacing w:after="160" w:line="320" w:lineRule="auto"/>
        <w:jc w:val="left"/>
      </w:pPr>
      <w:r>
        <w:rPr>
          <w:rFonts w:ascii="Calibri" w:hAnsi="Calibri"/>
          <w:b/>
          <w:i w:val="0"/>
          <w:color w:val="243447"/>
          <w:sz w:val="22"/>
        </w:rPr>
        <w:t>Resolution:</w:t>
      </w:r>
      <w:r>
        <w:rPr>
          <w:rFonts w:ascii="Calibri" w:hAnsi="Calibri"/>
          <w:b w:val="0"/>
          <w:i w:val="0"/>
          <w:color w:val="243447"/>
          <w:sz w:val="22"/>
        </w:rPr>
        <w:t xml:space="preserve"> Adoption and Stewardship of the RID2Caltopo Public-Service Program</w:t>
      </w:r>
    </w:p>
    <w:p>
      <w:pPr>
        <w:spacing w:after="160" w:line="320" w:lineRule="auto"/>
        <w:jc w:val="left"/>
      </w:pPr>
      <w:r>
        <w:rPr>
          <w:rFonts w:ascii="Calibri" w:hAnsi="Calibri"/>
          <w:b w:val="0"/>
          <w:i w:val="0"/>
          <w:color w:val="243447"/>
          <w:sz w:val="22"/>
        </w:rPr>
        <w:t>The undersigned records the Board’s action on the foregoing resolution and certifies that the action is reflected accurately in NCSSAR’s minutes.</w:t>
      </w:r>
    </w:p>
    <w:p>
      <w:pPr>
        <w:spacing w:after="160" w:line="320" w:lineRule="auto"/>
        <w:jc w:val="left"/>
      </w:pPr>
      <w:r>
        <w:rPr>
          <w:rFonts w:ascii="Calibri" w:hAnsi="Calibri"/>
          <w:b w:val="0"/>
          <w:i w:val="0"/>
          <w:color w:val="243447"/>
          <w:sz w:val="22"/>
        </w:rPr>
        <w:t>Motion by: _________________________________</w:t>
      </w:r>
    </w:p>
    <w:p>
      <w:pPr>
        <w:spacing w:after="160" w:line="320" w:lineRule="auto"/>
        <w:jc w:val="left"/>
      </w:pPr>
      <w:r>
        <w:rPr>
          <w:rFonts w:ascii="Calibri" w:hAnsi="Calibri"/>
          <w:b w:val="0"/>
          <w:i w:val="0"/>
          <w:color w:val="243447"/>
          <w:sz w:val="22"/>
        </w:rPr>
        <w:t>Second by: ________________________________</w:t>
      </w:r>
    </w:p>
    <w:p>
      <w:pPr>
        <w:spacing w:after="160" w:line="320" w:lineRule="auto"/>
        <w:jc w:val="left"/>
      </w:pPr>
      <w:r>
        <w:rPr>
          <w:rFonts w:ascii="Calibri" w:hAnsi="Calibri"/>
          <w:b w:val="0"/>
          <w:i w:val="0"/>
          <w:color w:val="243447"/>
          <w:sz w:val="22"/>
        </w:rPr>
        <w:t>Vote:  For ______    Against ______    Abstain ______    Absent ______</w:t>
      </w:r>
    </w:p>
    <w:p>
      <w:pPr>
        <w:spacing w:after="160" w:line="320" w:lineRule="auto"/>
        <w:jc w:val="left"/>
      </w:pPr>
      <w:r>
        <w:rPr>
          <w:rFonts w:ascii="Calibri" w:hAnsi="Calibri"/>
          <w:b w:val="0"/>
          <w:i w:val="0"/>
          <w:color w:val="243447"/>
          <w:sz w:val="22"/>
        </w:rPr>
        <w:t>Date adopted: _______________________________</w:t>
      </w:r>
    </w:p>
    <w:p>
      <w:pPr>
        <w:spacing w:after="160" w:line="320" w:lineRule="auto"/>
        <w:jc w:val="left"/>
      </w:pPr>
      <w:r>
        <w:rPr>
          <w:rFonts w:ascii="Calibri" w:hAnsi="Calibri"/>
          <w:b w:val="0"/>
          <w:i w:val="0"/>
          <w:color w:val="243447"/>
          <w:sz w:val="22"/>
        </w:rPr>
        <w:t>Board Chair: ____________________________________    Date: __________________</w:t>
      </w:r>
    </w:p>
    <w:p>
      <w:pPr>
        <w:spacing w:after="160" w:line="320" w:lineRule="auto"/>
        <w:jc w:val="left"/>
      </w:pPr>
      <w:r>
        <w:rPr>
          <w:rFonts w:ascii="Calibri" w:hAnsi="Calibri"/>
          <w:b w:val="0"/>
          <w:i w:val="0"/>
          <w:color w:val="243447"/>
          <w:sz w:val="22"/>
        </w:rPr>
        <w:t>Secretary: _______________________________________    Date: __________________</w:t>
      </w:r>
    </w:p>
    <w:p>
      <w:pPr>
        <w:pStyle w:val="Heading1"/>
        <w:keepNext/>
        <w:pageBreakBefore/>
      </w:pPr>
      <w:r>
        <w:t>Due-Diligence Package for Final Adoption</w:t>
      </w:r>
    </w:p>
    <w:p>
      <w:pPr>
        <w:spacing w:after="160" w:line="320" w:lineRule="auto"/>
        <w:jc w:val="both"/>
      </w:pPr>
      <w:r>
        <w:rPr>
          <w:rFonts w:ascii="Calibri" w:hAnsi="Calibri"/>
          <w:b w:val="0"/>
          <w:i w:val="0"/>
          <w:color w:val="243447"/>
          <w:sz w:val="22"/>
        </w:rPr>
        <w:t>The project committee should return to the board with one organized package containing the following items.</w:t>
      </w:r>
    </w:p>
    <w:p>
      <w:pPr>
        <w:pStyle w:val="Heading2"/>
        <w:keepNext/>
      </w:pPr>
      <w:r>
        <w:t>Corporate, legal, and tax</w:t>
      </w:r>
    </w:p>
    <w:p>
      <w:pPr>
        <w:spacing w:after="80" w:line="290" w:lineRule="auto"/>
        <w:numPr>
          <w:ilvl w:val="0"/>
          <w:numId w:val="10"/>
        </w:numPr>
      </w:pPr>
      <w:r>
        <w:rPr>
          <w:rFonts w:ascii="Calibri" w:hAnsi="Calibri"/>
          <w:b w:val="0"/>
          <w:i w:val="0"/>
          <w:color w:val="243447"/>
          <w:sz w:val="22"/>
        </w:rPr>
        <w:t>Articles, bylaws, tax determination letter, policies, and Sheriff relationship reviewed for authority and mission fit.</w:t>
      </w:r>
    </w:p>
    <w:p>
      <w:pPr>
        <w:spacing w:after="80" w:line="290" w:lineRule="auto"/>
        <w:numPr>
          <w:ilvl w:val="0"/>
          <w:numId w:val="10"/>
        </w:numPr>
      </w:pPr>
      <w:r>
        <w:rPr>
          <w:rFonts w:ascii="Calibri" w:hAnsi="Calibri"/>
          <w:b w:val="0"/>
          <w:i w:val="0"/>
          <w:color w:val="243447"/>
          <w:sz w:val="22"/>
        </w:rPr>
        <w:t>Counsel memorandum or written advice on open-source stewardship, copyright assignment, marks, asset and account transfer, volunteer authority, best-effort terms, disclaimers, privacy, charitable solicitation, multistate service, and any fee model.</w:t>
      </w:r>
    </w:p>
    <w:p>
      <w:pPr>
        <w:spacing w:after="80" w:line="290" w:lineRule="auto"/>
        <w:numPr>
          <w:ilvl w:val="0"/>
          <w:numId w:val="10"/>
        </w:numPr>
      </w:pPr>
      <w:r>
        <w:rPr>
          <w:rFonts w:ascii="Calibri" w:hAnsi="Calibri"/>
          <w:b w:val="0"/>
          <w:i w:val="0"/>
          <w:color w:val="243447"/>
          <w:sz w:val="22"/>
        </w:rPr>
        <w:t>Conflict-of-interest disclosure and fair-value process for any transaction involving the developer or another insider.</w:t>
      </w:r>
    </w:p>
    <w:p>
      <w:pPr>
        <w:pStyle w:val="Heading2"/>
        <w:keepNext/>
      </w:pPr>
      <w:r>
        <w:t>Technology and data</w:t>
      </w:r>
    </w:p>
    <w:p>
      <w:pPr>
        <w:spacing w:after="80" w:line="290" w:lineRule="auto"/>
        <w:numPr>
          <w:ilvl w:val="0"/>
          <w:numId w:val="10"/>
        </w:numPr>
      </w:pPr>
      <w:r>
        <w:rPr>
          <w:rFonts w:ascii="Calibri" w:hAnsi="Calibri"/>
          <w:b w:val="0"/>
          <w:i w:val="0"/>
          <w:color w:val="243447"/>
          <w:sz w:val="22"/>
        </w:rPr>
        <w:t>Repository-by-repository copyright and license inventory, including confirmation of Apache coverage, contributor provenance, NOTICE obligations, third-party terms, software bill of materials, deployment diagram, data inventory, and external dependencies.</w:t>
      </w:r>
    </w:p>
    <w:p>
      <w:pPr>
        <w:spacing w:after="80" w:line="290" w:lineRule="auto"/>
        <w:numPr>
          <w:ilvl w:val="0"/>
          <w:numId w:val="10"/>
        </w:numPr>
      </w:pPr>
      <w:r>
        <w:rPr>
          <w:rFonts w:ascii="Calibri" w:hAnsi="Calibri"/>
          <w:b w:val="0"/>
          <w:i w:val="0"/>
          <w:color w:val="243447"/>
          <w:sz w:val="22"/>
        </w:rPr>
        <w:t>A specific licensing decision for r2c-tracker, whose current checkout does not contain an obvious repository-level LICENSE file, including whether it will also be released under Apache 2.0 and what notices are required.</w:t>
      </w:r>
    </w:p>
    <w:p>
      <w:pPr>
        <w:spacing w:after="80" w:line="290" w:lineRule="auto"/>
        <w:numPr>
          <w:ilvl w:val="0"/>
          <w:numId w:val="10"/>
        </w:numPr>
      </w:pPr>
      <w:r>
        <w:rPr>
          <w:rFonts w:ascii="Calibri" w:hAnsi="Calibri"/>
          <w:b w:val="0"/>
          <w:i w:val="0"/>
          <w:color w:val="243447"/>
          <w:sz w:val="22"/>
        </w:rPr>
        <w:t>Account inventory showing organizational owner, billing owner, administrators, recovery methods, multifactor authentication, and transfer status.</w:t>
      </w:r>
    </w:p>
    <w:p>
      <w:pPr>
        <w:spacing w:after="80" w:line="290" w:lineRule="auto"/>
        <w:numPr>
          <w:ilvl w:val="0"/>
          <w:numId w:val="10"/>
        </w:numPr>
      </w:pPr>
      <w:r>
        <w:rPr>
          <w:rFonts w:ascii="Calibri" w:hAnsi="Calibri"/>
          <w:b w:val="0"/>
          <w:i w:val="0"/>
          <w:color w:val="243447"/>
          <w:sz w:val="22"/>
        </w:rPr>
        <w:t>Security baseline, threat/risk register, incident-response plan, backup/restore test, continuity runbook, and known qualification gaps.</w:t>
      </w:r>
    </w:p>
    <w:p>
      <w:pPr>
        <w:pStyle w:val="Heading2"/>
        <w:keepNext/>
      </w:pPr>
      <w:r>
        <w:t>Finance and operations</w:t>
      </w:r>
    </w:p>
    <w:p>
      <w:pPr>
        <w:spacing w:after="80" w:line="290" w:lineRule="auto"/>
        <w:numPr>
          <w:ilvl w:val="0"/>
          <w:numId w:val="10"/>
        </w:numPr>
      </w:pPr>
      <w:r>
        <w:rPr>
          <w:rFonts w:ascii="Calibri" w:hAnsi="Calibri"/>
          <w:b w:val="0"/>
          <w:i w:val="0"/>
          <w:color w:val="243447"/>
          <w:sz w:val="22"/>
        </w:rPr>
        <w:t>Twelve-month budget based on actual cloud and vendor costs, plus conservative estimates for insurance, legal/accounting, security, support, and contingency.</w:t>
      </w:r>
    </w:p>
    <w:p>
      <w:pPr>
        <w:spacing w:after="80" w:line="290" w:lineRule="auto"/>
        <w:numPr>
          <w:ilvl w:val="0"/>
          <w:numId w:val="10"/>
        </w:numPr>
      </w:pPr>
      <w:r>
        <w:rPr>
          <w:rFonts w:ascii="Calibri" w:hAnsi="Calibri"/>
          <w:b w:val="0"/>
          <w:i w:val="0"/>
          <w:color w:val="243447"/>
          <w:sz w:val="22"/>
        </w:rPr>
        <w:t>Funding plan identifying committed funds, realistic grant/donation prospects, reserve target, and board-approved stop or scale-down triggers.</w:t>
      </w:r>
    </w:p>
    <w:p>
      <w:pPr>
        <w:spacing w:after="80" w:line="290" w:lineRule="auto"/>
        <w:numPr>
          <w:ilvl w:val="0"/>
          <w:numId w:val="10"/>
        </w:numPr>
      </w:pPr>
      <w:r>
        <w:rPr>
          <w:rFonts w:ascii="Calibri" w:hAnsi="Calibri"/>
          <w:b w:val="0"/>
          <w:i w:val="0"/>
          <w:color w:val="243447"/>
          <w:sz w:val="22"/>
        </w:rPr>
        <w:t>Agency eligibility, best-effort/no-SLA disclosure, onboarding, volunteer support, records export, archive/shutdown contact, complaint, incident, and service-discontinuation procedures.</w:t>
      </w:r>
    </w:p>
    <w:p>
      <w:pPr>
        <w:pStyle w:val="Heading1"/>
        <w:keepNext/>
        <w:pageBreakBefore/>
      </w:pPr>
      <w:r>
        <w:t>Questions the Board Should Resolve</w:t>
      </w:r>
    </w:p>
    <w:p>
      <w:pPr>
        <w:spacing w:after="80" w:line="290" w:lineRule="auto"/>
        <w:numPr>
          <w:ilvl w:val="0"/>
          <w:numId w:val="13"/>
        </w:numPr>
      </w:pPr>
      <w:r>
        <w:rPr>
          <w:rFonts w:ascii="Calibri" w:hAnsi="Calibri"/>
          <w:b w:val="0"/>
          <w:i w:val="0"/>
          <w:color w:val="243447"/>
          <w:sz w:val="22"/>
        </w:rPr>
        <w:t>Does stewarding the free RID2Caltopo apps, public websites, and companion hosted service for outside first responder agencies clearly advance NCSSAR’s exempt purpose and governing documents?</w:t>
      </w:r>
    </w:p>
    <w:p>
      <w:pPr>
        <w:spacing w:after="80" w:line="290" w:lineRule="auto"/>
        <w:numPr>
          <w:ilvl w:val="0"/>
          <w:numId w:val="13"/>
        </w:numPr>
      </w:pPr>
      <w:r>
        <w:rPr>
          <w:rFonts w:ascii="Calibri" w:hAnsi="Calibri"/>
          <w:b w:val="0"/>
          <w:i w:val="0"/>
          <w:color w:val="243447"/>
          <w:sz w:val="22"/>
        </w:rPr>
        <w:t>Is the Board willing to own the program’s obligations as well as its assets, including data stewardship, contracts, insurance, financial controls, and continuity?</w:t>
      </w:r>
    </w:p>
    <w:p>
      <w:pPr>
        <w:spacing w:after="80" w:line="290" w:lineRule="auto"/>
        <w:numPr>
          <w:ilvl w:val="0"/>
          <w:numId w:val="13"/>
        </w:numPr>
      </w:pPr>
      <w:r>
        <w:rPr>
          <w:rFonts w:ascii="Calibri" w:hAnsi="Calibri"/>
          <w:b w:val="0"/>
          <w:i w:val="0"/>
          <w:color w:val="243447"/>
          <w:sz w:val="22"/>
        </w:rPr>
        <w:t>What annual spending limit, reserve, and funding trigger will apply before new agencies are admitted?</w:t>
      </w:r>
    </w:p>
    <w:p>
      <w:pPr>
        <w:spacing w:after="80" w:line="290" w:lineRule="auto"/>
        <w:numPr>
          <w:ilvl w:val="0"/>
          <w:numId w:val="13"/>
        </w:numPr>
      </w:pPr>
      <w:r>
        <w:rPr>
          <w:rFonts w:ascii="Calibri" w:hAnsi="Calibri"/>
          <w:b w:val="0"/>
          <w:i w:val="0"/>
          <w:color w:val="243447"/>
          <w:sz w:val="22"/>
        </w:rPr>
        <w:t>Which board officer or committee will supervise the program, and who is the trained backup administrator?</w:t>
      </w:r>
    </w:p>
    <w:p>
      <w:pPr>
        <w:spacing w:after="80" w:line="290" w:lineRule="auto"/>
        <w:numPr>
          <w:ilvl w:val="0"/>
          <w:numId w:val="13"/>
        </w:numPr>
      </w:pPr>
      <w:r>
        <w:rPr>
          <w:rFonts w:ascii="Calibri" w:hAnsi="Calibri"/>
          <w:b w:val="0"/>
          <w:i w:val="0"/>
          <w:color w:val="243447"/>
          <w:sz w:val="22"/>
        </w:rPr>
        <w:t>What service boundaries and public-safety limitations will be communicated to participating agencies?</w:t>
      </w:r>
    </w:p>
    <w:p>
      <w:pPr>
        <w:spacing w:after="80" w:line="290" w:lineRule="auto"/>
        <w:numPr>
          <w:ilvl w:val="0"/>
          <w:numId w:val="13"/>
        </w:numPr>
      </w:pPr>
      <w:r>
        <w:rPr>
          <w:rFonts w:ascii="Calibri" w:hAnsi="Calibri"/>
          <w:b w:val="0"/>
          <w:i w:val="0"/>
          <w:color w:val="243447"/>
          <w:sz w:val="22"/>
        </w:rPr>
        <w:t>If grants and donations are insufficient, will the Board scale down, pause onboarding, seek a successor nonprofit, or consider a separately approved cost-recovery model?</w:t>
      </w:r>
    </w:p>
    <w:p>
      <w:pPr>
        <w:spacing w:after="80" w:line="290" w:lineRule="auto"/>
        <w:numPr>
          <w:ilvl w:val="0"/>
          <w:numId w:val="13"/>
        </w:numPr>
      </w:pPr>
      <w:r>
        <w:rPr>
          <w:rFonts w:ascii="Calibri" w:hAnsi="Calibri"/>
          <w:b w:val="0"/>
          <w:i w:val="0"/>
          <w:color w:val="243447"/>
          <w:sz w:val="22"/>
        </w:rPr>
        <w:t>Which copyrights, marks, domains, repositories, accounts, and hosted assets can actually be transferred, and which materials remain governed by Apache or third-party licenses?</w:t>
      </w:r>
    </w:p>
    <w:p>
      <w:pPr>
        <w:pStyle w:val="Heading1"/>
        <w:keepNext/>
        <w:pageBreakBefore/>
      </w:pPr>
      <w:r>
        <w:t>Sources and Notes</w:t>
      </w:r>
    </w:p>
    <w:p>
      <w:pPr>
        <w:spacing w:after="160" w:line="320" w:lineRule="auto"/>
        <w:jc w:val="both"/>
      </w:pPr>
      <w:r>
        <w:rPr>
          <w:rFonts w:ascii="Calibri" w:hAnsi="Calibri"/>
          <w:b w:val="0"/>
          <w:i w:val="0"/>
          <w:color w:val="243447"/>
          <w:sz w:val="22"/>
        </w:rPr>
        <w:t>This proposal relies on the following public sources and the current RID2Caltopo and r2c-tracker project documentation. Links were reviewed August 7, 2026.</w:t>
      </w:r>
    </w:p>
    <w:p>
      <w:pPr>
        <w:spacing w:after="140" w:line="276" w:lineRule="auto"/>
        <w:ind w:left="259" w:hanging="259"/>
        <w:jc w:val="left"/>
      </w:pPr>
      <w:r>
        <w:rPr>
          <w:rFonts w:ascii="Calibri" w:hAnsi="Calibri"/>
          <w:b/>
          <w:i w:val="0"/>
          <w:color w:val="1F4D78"/>
          <w:sz w:val="19"/>
        </w:rPr>
        <w:t xml:space="preserve">Nevada County Sheriff’s Search and Rescue. </w:t>
      </w:r>
      <w:r>
        <w:rPr>
          <w:rFonts w:ascii="Calibri" w:hAnsi="Calibri"/>
          <w:b w:val="0"/>
          <w:i w:val="0"/>
          <w:color w:val="243447"/>
          <w:sz w:val="19"/>
        </w:rPr>
        <w:t xml:space="preserve">Public description of NCSSAR as an accredited, all-volunteer, community-funded California nonprofit Mountain Rescue Team. </w:t>
      </w:r>
      <w:r>
        <w:rPr>
          <w:rFonts w:ascii="Calibri" w:hAnsi="Calibri"/>
          <w:b w:val="0"/>
          <w:i w:val="0"/>
          <w:color w:val="2E74B5"/>
          <w:sz w:val="17"/>
        </w:rPr>
        <w:t>https://nevadacountysar.org/</w:t>
      </w:r>
    </w:p>
    <w:p>
      <w:pPr>
        <w:spacing w:after="140" w:line="276" w:lineRule="auto"/>
        <w:ind w:left="259" w:hanging="259"/>
        <w:jc w:val="left"/>
      </w:pPr>
      <w:r>
        <w:rPr>
          <w:rFonts w:ascii="Calibri" w:hAnsi="Calibri"/>
          <w:b/>
          <w:i w:val="0"/>
          <w:color w:val="1F4D78"/>
          <w:sz w:val="19"/>
        </w:rPr>
        <w:t xml:space="preserve">NCSSAR Volunteer Manual. </w:t>
      </w:r>
      <w:r>
        <w:rPr>
          <w:rFonts w:ascii="Calibri" w:hAnsi="Calibri"/>
          <w:b w:val="0"/>
          <w:i w:val="0"/>
          <w:color w:val="243447"/>
          <w:sz w:val="19"/>
        </w:rPr>
        <w:t xml:space="preserve">Published mission, public-service commitment, operational authority, and organizational purpose. </w:t>
      </w:r>
      <w:r>
        <w:rPr>
          <w:rFonts w:ascii="Calibri" w:hAnsi="Calibri"/>
          <w:b w:val="0"/>
          <w:i w:val="0"/>
          <w:color w:val="2E74B5"/>
          <w:sz w:val="17"/>
        </w:rPr>
        <w:t>https://www.nevadacountysar.org/uploads/1/1/3/0/113073069/ncssar_volunteer_manual_11-17.pdf</w:t>
      </w:r>
    </w:p>
    <w:p>
      <w:pPr>
        <w:spacing w:after="140" w:line="276" w:lineRule="auto"/>
        <w:ind w:left="259" w:hanging="259"/>
        <w:jc w:val="left"/>
      </w:pPr>
      <w:r>
        <w:rPr>
          <w:rFonts w:ascii="Calibri" w:hAnsi="Calibri"/>
          <w:b/>
          <w:i w:val="0"/>
          <w:color w:val="1F4D78"/>
          <w:sz w:val="19"/>
        </w:rPr>
        <w:t xml:space="preserve">Internal Revenue Service — Exemption requirements for 501(c)(3) organizations. </w:t>
      </w:r>
      <w:r>
        <w:rPr>
          <w:rFonts w:ascii="Calibri" w:hAnsi="Calibri"/>
          <w:b w:val="0"/>
          <w:i w:val="0"/>
          <w:color w:val="243447"/>
          <w:sz w:val="19"/>
        </w:rPr>
        <w:t xml:space="preserve">Exempt-purpose and private-benefit limitations. </w:t>
      </w:r>
      <w:r>
        <w:rPr>
          <w:rFonts w:ascii="Calibri" w:hAnsi="Calibri"/>
          <w:b w:val="0"/>
          <w:i w:val="0"/>
          <w:color w:val="2E74B5"/>
          <w:sz w:val="17"/>
        </w:rPr>
        <w:t>https://www.irs.gov/charities-non-profits/charitable-organizations/exemption-requirements-501c3-organizations</w:t>
      </w:r>
    </w:p>
    <w:p>
      <w:pPr>
        <w:spacing w:after="140" w:line="276" w:lineRule="auto"/>
        <w:ind w:left="259" w:hanging="259"/>
        <w:jc w:val="left"/>
      </w:pPr>
      <w:r>
        <w:rPr>
          <w:rFonts w:ascii="Calibri" w:hAnsi="Calibri"/>
          <w:b/>
          <w:i w:val="0"/>
          <w:color w:val="1F4D78"/>
          <w:sz w:val="19"/>
        </w:rPr>
        <w:t xml:space="preserve">Internal Revenue Service — Life cycle of a public charity: ongoing compliance. </w:t>
      </w:r>
      <w:r>
        <w:rPr>
          <w:rFonts w:ascii="Calibri" w:hAnsi="Calibri"/>
          <w:b w:val="0"/>
          <w:i w:val="0"/>
          <w:color w:val="243447"/>
          <w:sz w:val="19"/>
        </w:rPr>
        <w:t xml:space="preserve">Charitable-contribution substantiation, disclosure, and ongoing compliance topics. </w:t>
      </w:r>
      <w:r>
        <w:rPr>
          <w:rFonts w:ascii="Calibri" w:hAnsi="Calibri"/>
          <w:b w:val="0"/>
          <w:i w:val="0"/>
          <w:color w:val="2E74B5"/>
          <w:sz w:val="17"/>
        </w:rPr>
        <w:t>https://www.irs.gov/charities-non-profits/charitable-organizations/life-cycle-of-a-public-charity-ongoing-compliance</w:t>
      </w:r>
    </w:p>
    <w:p>
      <w:pPr>
        <w:spacing w:after="140" w:line="276" w:lineRule="auto"/>
        <w:ind w:left="259" w:hanging="259"/>
        <w:jc w:val="left"/>
      </w:pPr>
      <w:r>
        <w:rPr>
          <w:rFonts w:ascii="Calibri" w:hAnsi="Calibri"/>
          <w:b/>
          <w:i w:val="0"/>
          <w:color w:val="1F4D78"/>
          <w:sz w:val="19"/>
        </w:rPr>
        <w:t xml:space="preserve">California Attorney General — Guide for Charities. </w:t>
      </w:r>
      <w:r>
        <w:rPr>
          <w:rFonts w:ascii="Calibri" w:hAnsi="Calibri"/>
          <w:b w:val="0"/>
          <w:i w:val="0"/>
          <w:color w:val="243447"/>
          <w:sz w:val="19"/>
        </w:rPr>
        <w:t xml:space="preserve">Board oversight, fiduciary duties, charitable assets, records, fundraising, and California nonprofit governance. </w:t>
      </w:r>
      <w:r>
        <w:rPr>
          <w:rFonts w:ascii="Calibri" w:hAnsi="Calibri"/>
          <w:b w:val="0"/>
          <w:i w:val="0"/>
          <w:color w:val="2E74B5"/>
          <w:sz w:val="17"/>
        </w:rPr>
        <w:t>https://oag.ca.gov/system/files/media/Guide%20for%20Charities.pdf</w:t>
      </w:r>
    </w:p>
    <w:p>
      <w:pPr>
        <w:spacing w:after="140" w:line="276" w:lineRule="auto"/>
        <w:ind w:left="259" w:hanging="259"/>
        <w:jc w:val="left"/>
      </w:pPr>
      <w:r>
        <w:rPr>
          <w:rFonts w:ascii="Calibri" w:hAnsi="Calibri"/>
          <w:b/>
          <w:i w:val="0"/>
          <w:color w:val="1F4D78"/>
          <w:sz w:val="19"/>
        </w:rPr>
        <w:t xml:space="preserve">National Council of Nonprofits — Cybersecurity for Nonprofits. </w:t>
      </w:r>
      <w:r>
        <w:rPr>
          <w:rFonts w:ascii="Calibri" w:hAnsi="Calibri"/>
          <w:b w:val="0"/>
          <w:i w:val="0"/>
          <w:color w:val="243447"/>
          <w:sz w:val="19"/>
        </w:rPr>
        <w:t xml:space="preserve">Cyber-risk assessment and cyber-liability insurance considerations. </w:t>
      </w:r>
      <w:r>
        <w:rPr>
          <w:rFonts w:ascii="Calibri" w:hAnsi="Calibri"/>
          <w:b w:val="0"/>
          <w:i w:val="0"/>
          <w:color w:val="2E74B5"/>
          <w:sz w:val="17"/>
        </w:rPr>
        <w:t>https://www.councilofnonprofits.org/running-nonprofit/administration-and-financial-management/cybersecurity-nonprofits</w:t>
      </w:r>
    </w:p>
    <w:p>
      <w:pPr>
        <w:spacing w:after="140" w:line="276" w:lineRule="auto"/>
        <w:ind w:left="259" w:hanging="259"/>
        <w:jc w:val="left"/>
      </w:pPr>
      <w:r>
        <w:rPr>
          <w:rFonts w:ascii="Calibri" w:hAnsi="Calibri"/>
          <w:b/>
          <w:i w:val="0"/>
          <w:color w:val="1F4D78"/>
          <w:sz w:val="19"/>
        </w:rPr>
        <w:t xml:space="preserve">Apache Software Foundation — Apache License 2.0. </w:t>
      </w:r>
      <w:r>
        <w:rPr>
          <w:rFonts w:ascii="Calibri" w:hAnsi="Calibri"/>
          <w:b w:val="0"/>
          <w:i w:val="0"/>
          <w:color w:val="243447"/>
          <w:sz w:val="19"/>
        </w:rPr>
        <w:t xml:space="preserve">Perpetual, worldwide, non-exclusive, royalty-free, generally irrevocable copyright and patent grants; attribution, NOTICE, trademark, warranty, and liability provisions. </w:t>
      </w:r>
      <w:r>
        <w:rPr>
          <w:rFonts w:ascii="Calibri" w:hAnsi="Calibri"/>
          <w:b w:val="0"/>
          <w:i w:val="0"/>
          <w:color w:val="2E74B5"/>
          <w:sz w:val="17"/>
        </w:rPr>
        <w:t>https://www.apache.org/licenses/LICENSE-2.0</w:t>
      </w:r>
    </w:p>
    <w:p>
      <w:pPr>
        <w:spacing w:after="140" w:line="276" w:lineRule="auto"/>
        <w:ind w:left="259" w:hanging="259"/>
        <w:jc w:val="left"/>
      </w:pPr>
      <w:r>
        <w:rPr>
          <w:rFonts w:ascii="Calibri" w:hAnsi="Calibri"/>
          <w:b/>
          <w:i w:val="0"/>
          <w:color w:val="1F4D78"/>
          <w:sz w:val="19"/>
        </w:rPr>
        <w:t xml:space="preserve">CalTopo — Terms of Use. </w:t>
      </w:r>
      <w:r>
        <w:rPr>
          <w:rFonts w:ascii="Calibri" w:hAnsi="Calibri"/>
          <w:b w:val="0"/>
          <w:i w:val="0"/>
          <w:color w:val="243447"/>
          <w:sz w:val="19"/>
        </w:rPr>
        <w:t xml:space="preserve">Comparative language addressing as-is service, changes to service, non-continuous availability, data limitations, and warranty disclaimers. </w:t>
      </w:r>
      <w:r>
        <w:rPr>
          <w:rFonts w:ascii="Calibri" w:hAnsi="Calibri"/>
          <w:b w:val="0"/>
          <w:i w:val="0"/>
          <w:color w:val="2E74B5"/>
          <w:sz w:val="17"/>
        </w:rPr>
        <w:t>https://caltopo.com/about/terms-of-use</w:t>
      </w:r>
    </w:p>
    <w:p>
      <w:pPr>
        <w:spacing w:after="140" w:line="276" w:lineRule="auto"/>
        <w:ind w:left="259" w:hanging="259"/>
        <w:jc w:val="left"/>
      </w:pPr>
      <w:r>
        <w:rPr>
          <w:rFonts w:ascii="Calibri" w:hAnsi="Calibri"/>
          <w:b/>
          <w:i w:val="0"/>
          <w:color w:val="1F4D78"/>
          <w:sz w:val="19"/>
        </w:rPr>
        <w:t xml:space="preserve">RID2Caltopo project documentation. </w:t>
      </w:r>
      <w:r>
        <w:rPr>
          <w:rFonts w:ascii="Calibri" w:hAnsi="Calibri"/>
          <w:b w:val="0"/>
          <w:i w:val="0"/>
          <w:color w:val="243447"/>
          <w:sz w:val="19"/>
        </w:rPr>
        <w:t xml:space="preserve">Apache licensing, contribution policy, third-party notices, and the existing operational warning against sole reliance for aviation or personal-safety decisions. </w:t>
      </w:r>
      <w:r>
        <w:rPr>
          <w:rFonts w:ascii="Calibri" w:hAnsi="Calibri"/>
          <w:b w:val="0"/>
          <w:i w:val="0"/>
          <w:color w:val="2E74B5"/>
          <w:sz w:val="17"/>
        </w:rPr>
        <w:t>Internal project files: LICENSE, NOTICE, CONTRIBUTING.md, DisclaimerLicense.md, DISCLAIMER.md, and THIRD_PARTY_NOTICES.md</w:t>
      </w:r>
    </w:p>
    <w:p>
      <w:pPr>
        <w:spacing w:after="140" w:line="276" w:lineRule="auto"/>
        <w:ind w:left="259" w:hanging="259"/>
        <w:jc w:val="left"/>
      </w:pPr>
      <w:r>
        <w:rPr>
          <w:rFonts w:ascii="Calibri" w:hAnsi="Calibri"/>
          <w:b/>
          <w:i w:val="0"/>
          <w:color w:val="1F4D78"/>
          <w:sz w:val="19"/>
        </w:rPr>
        <w:t xml:space="preserve">r2c-tracker project documentation. </w:t>
      </w:r>
      <w:r>
        <w:rPr>
          <w:rFonts w:ascii="Calibri" w:hAnsi="Calibri"/>
          <w:b w:val="0"/>
          <w:i w:val="0"/>
          <w:color w:val="243447"/>
          <w:sz w:val="19"/>
        </w:rPr>
        <w:t xml:space="preserve">Current hosted-platform design, organization administration, data boundaries, record export, lifecycle controls, shadow cost allocation, and release history. </w:t>
      </w:r>
      <w:r>
        <w:rPr>
          <w:rFonts w:ascii="Calibri" w:hAnsi="Calibri"/>
          <w:b w:val="0"/>
          <w:i w:val="0"/>
          <w:color w:val="2E74B5"/>
          <w:sz w:val="17"/>
        </w:rPr>
        <w:t>Internal project files: README.md, PLATFORM_ADMIN_DESIGN.md, and changes.txt</w:t>
      </w:r>
    </w:p>
    <w:p>
      <w:pPr>
        <w:pStyle w:val="Heading2"/>
        <w:keepNext/>
      </w:pPr>
      <w:r>
        <w:t>Drafting Note</w:t>
      </w:r>
    </w:p>
    <w:p>
      <w:pPr>
        <w:spacing w:after="160" w:line="320" w:lineRule="auto"/>
        <w:jc w:val="both"/>
      </w:pPr>
      <w:r>
        <w:rPr>
          <w:rFonts w:ascii="Calibri" w:hAnsi="Calibri"/>
          <w:b w:val="0"/>
          <w:i w:val="0"/>
          <w:color w:val="243447"/>
          <w:sz w:val="22"/>
        </w:rPr>
        <w:t>The proposal intentionally separates the Board’s commitment to steward the program from the legal closing of the transition. This allows NCSSAR to make a meaningful policy decision while preserving its duty to evaluate open-source rights, transferable assets, costs, insurance, tax treatment, security, and operational obligations before assuming them. It also creates two unambiguous boundaries: no paid external service begins while hosted-service responsibility remains personal, and interim access creates no promised functionality or service level.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0"/>
        <w:sz w:val="17"/>
      </w:rPr>
      <w:t xml:space="preserve">Board Draft  •  August 7, 2026  |  </w:t>
    </w:r>
    <w:r>
      <w:rPr>
        <w:rFonts w:ascii="Calibri" w:hAnsi="Calibri"/>
        <w:b w:val="0"/>
        <w:i w:val="0"/>
        <w:color w:val="5B6770"/>
        <w:sz w:val="18"/>
      </w:rPr>
      <w:fldChar w:fldCharType="begin"/>
      <w:instrText xml:space="preserve">PAGE</w:instrText>
      <w:fldChar w:fldCharType="separate"/>
      <w:fldChar w:fldCharType="end"/>
    </w:r>
    <w:r>
      <w:rPr>
        <w:rFonts w:ascii="Calibri" w:hAnsi="Calibri"/>
        <w:b w:val="0"/>
        <w:i w:val="0"/>
        <w:color w:val="5B6770"/>
        <w:sz w:val="17"/>
      </w:rPr>
      <w:t xml:space="preserve"> of </w:t>
    </w:r>
    <w:r>
      <w:rPr>
        <w:rFonts w:ascii="Calibri" w:hAnsi="Calibri"/>
        <w:b w:val="0"/>
        <w:i w:val="0"/>
        <w:color w:val="5B6770"/>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770"/>
        <w:sz w:val="17"/>
      </w:rPr>
      <w:t>NCSSAR  |  RID2Caltopo Public-Service Program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1">
    <w:abstractNumId w:val="10"/>
  </w:num>
  <w:abstractNum w:abstractNumId="11">
    <w:multiLevelType w:val="singleLevel"/>
    <w:lvl w:ilvl="0">
      <w:start w:val="1"/>
      <w:numFmt w:val="bullet"/>
      <w:lvlText w:val="•"/>
      <w:lvlJc w:val="left"/>
      <w:pPr>
        <w:tabs>
          <w:tab w:val="num" w:pos="540"/>
        </w:tabs>
        <w:ind w:left="540" w:hanging="280"/>
        <w:spacing w:after="80" w:line="290" w:lineRule="auto"/>
      </w:pPr>
      <w:rPr>
        <w:rFonts w:ascii="Symbol" w:hAnsi="Symbol"/>
      </w:rPr>
    </w:lvl>
  </w:abstractNum>
  <w:num w:numId="12">
    <w:abstractNumId w:val="11"/>
  </w:num>
  <w:abstractNum w:abstractNumId="12">
    <w:multiLevelType w:val="singleLevel"/>
    <w:lvl w:ilvl="0">
      <w:start w:val="1"/>
      <w:numFmt w:val="decimal"/>
      <w:lvlText w:val="%1."/>
      <w:lvlJc w:val="left"/>
      <w:pPr>
        <w:tabs>
          <w:tab w:val="num" w:pos="540"/>
        </w:tabs>
        <w:ind w:left="540" w:hanging="280"/>
        <w:spacing w:after="80" w:line="29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Adoption and Stewardship of the RID2Caltopo Public-Service Program</dc:title>
  <dc:subject>NCSSAR board proposal</dc:subject>
  <dc:creator>Ken Taylor</dc:creator>
  <cp:keywords>NCSSAR, RID2Caltopo, r2c-tracker, Apache 2.0, nonprofit, public service, first responders, board proposal</cp:keywords>
  <dc:description>Board draft prepared August 7, 2026</dc:description>
  <cp:lastModifiedBy/>
  <cp:revision>1</cp:revision>
  <dcterms:created xsi:type="dcterms:W3CDTF">2013-12-23T23:15:00Z</dcterms:created>
  <dcterms:modified xsi:type="dcterms:W3CDTF">2013-12-23T23:15:00Z</dcterms:modified>
  <cp:category/>
</cp:coreProperties>
</file>