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pPr>
      <w:r>
        <w:rPr>
          <w:rFonts w:ascii="Calibri" w:hAnsi="Calibri"/>
          <w:b/>
          <w:color w:val="2E74B5"/>
          <w:sz w:val="20"/>
        </w:rPr>
        <w:t>TECHNICAL &amp; SECURITY DUE DILIGENCE</w:t>
      </w:r>
    </w:p>
    <w:p>
      <w:pPr>
        <w:pStyle w:val="Title"/>
      </w:pPr>
      <w:r>
        <w:t>RID2Caltopo Public-Service Program</w:t>
      </w:r>
    </w:p>
    <w:p>
      <w:pPr>
        <w:pStyle w:val="Subtitle"/>
      </w:pPr>
      <w:r>
        <w:t>Board technical review of the Android and iOS apps, public websites, and companion r2c-tracker hosted service</w:t>
      </w:r>
    </w:p>
    <w:p>
      <w:pPr>
        <w:spacing w:after="40" w:line="240" w:lineRule="auto"/>
      </w:pPr>
      <w:r>
        <w:rPr>
          <w:rFonts w:ascii="Calibri" w:hAnsi="Calibri"/>
          <w:b/>
          <w:sz w:val="21"/>
        </w:rPr>
        <w:t xml:space="preserve">Prepared for: </w:t>
      </w:r>
      <w:r>
        <w:rPr>
          <w:rFonts w:ascii="Calibri" w:hAnsi="Calibri"/>
          <w:sz w:val="21"/>
        </w:rPr>
        <w:t>Nevada County Sheriff’s Search and Rescue Board of Directors and technical reviewers</w:t>
      </w:r>
    </w:p>
    <w:p>
      <w:pPr>
        <w:spacing w:after="40" w:line="240" w:lineRule="auto"/>
      </w:pPr>
      <w:r>
        <w:rPr>
          <w:rFonts w:ascii="Calibri" w:hAnsi="Calibri"/>
          <w:b/>
          <w:sz w:val="21"/>
        </w:rPr>
        <w:t xml:space="preserve">Purpose: </w:t>
      </w:r>
      <w:r>
        <w:rPr>
          <w:rFonts w:ascii="Calibri" w:hAnsi="Calibri"/>
          <w:sz w:val="21"/>
        </w:rPr>
        <w:t>Conditional adoption and stewardship due diligence</w:t>
      </w:r>
    </w:p>
    <w:p>
      <w:pPr>
        <w:spacing w:after="40" w:line="240" w:lineRule="auto"/>
      </w:pPr>
      <w:r>
        <w:rPr>
          <w:rFonts w:ascii="Calibri" w:hAnsi="Calibri"/>
          <w:b/>
          <w:sz w:val="21"/>
        </w:rPr>
        <w:t>Review date: August 8, 2026</w:t>
      </w:r>
    </w:p>
    <w:p>
      <w:pPr>
        <w:spacing w:after="40" w:line="240" w:lineRule="auto"/>
      </w:pPr>
      <w:r>
        <w:rPr>
          <w:rFonts w:ascii="Calibri" w:hAnsi="Calibri"/>
          <w:b/>
          <w:sz w:val="21"/>
        </w:rPr>
        <w:t>Evidence basis: Current source, project documentation, executed security gates, and point-in-time live cloud inspection and hardening</w:t>
      </w:r>
    </w:p>
    <w:p>
      <w:pPr>
        <w:spacing w:after="40" w:line="240" w:lineRule="auto"/>
      </w:pPr>
      <w:r>
        <w:rPr>
          <w:rFonts w:ascii="Calibri" w:hAnsi="Calibri"/>
          <w:b/>
          <w:sz w:val="21"/>
        </w:rPr>
        <w:t>Classification: Board review draft - updated after initial remediation; contains architecture and risk information; distribute deliberately</w:t>
      </w:r>
    </w:p>
    <w:p>
      <w:pPr>
        <w:spacing w:after="280"/>
        <w:pBdr>
          <w:bottom w:val="single" w:sz="14" w:space="4" w:color="2E74B5"/>
        </w:pBdr>
      </w:pPr>
    </w:p>
    <w:tbl>
      <w:tblPr>
        <w:jc w:val="left"/>
        <w:tblLook w:firstColumn="1" w:firstRow="1" w:lastColumn="0" w:lastRow="0" w:noHBand="0" w:noVBand="1" w:val="04A0"/>
        <w:tblW w:w="9360" w:type="dxa"/>
        <w:tblInd w:w="120" w:type="dxa"/>
        <w:tblLayout w:type="fixed"/>
      </w:tblPr>
      <w:tblGrid>
        <w:gridCol w:w="9360"/>
      </w:tblGrid>
      <w:tr>
        <w:trPr>
          <w:tblHeader w:val="true"/>
          <w:cantSplit w:val="true"/>
        </w:trPr>
        <w:tc>
          <w:tcPr>
            <w:tcW w:type="dxa" w:w="9360"/>
            <w:tcMar>
              <w:top w:w="80" w:type="dxa"/>
              <w:start w:w="120" w:type="dxa"/>
              <w:bottom w:w="80" w:type="dxa"/>
              <w:end w:w="120" w:type="dxa"/>
            </w:tcMar>
            <w:vAlign w:val="center"/>
            <w:shd w:fill="E8EEF5"/>
          </w:tcPr>
          <w:p>
            <w:pPr>
              <w:spacing w:before="60" w:after="60"/>
            </w:pPr>
            <w:r>
              <w:rPr>
                <w:rFonts w:ascii="Calibri" w:hAnsi="Calibri"/>
                <w:b/>
                <w:color w:val="17365D"/>
              </w:rPr>
              <w:t>RECOMMENDATION  Continue the limited NCSSAR-controlled pilot. Material source and no-outage cloud controls are now implemented, but adoption and external expansion should remain conditioned on institutional ownership, proven IAP-only host administration, backup/reconstruction evidence, tested monitoring/incident response, independent review, and field qualification.</w:t>
            </w:r>
          </w:p>
        </w:tc>
      </w:tr>
    </w:tbl>
    <w:p>
      <w:pPr>
        <w:spacing w:after="20"/>
      </w:pPr>
    </w:p>
    <w:p>
      <w:pPr>
        <w:pStyle w:val="Heading1"/>
      </w:pPr>
      <w:r>
        <w:t>Executive assessment</w:t>
      </w:r>
    </w:p>
    <w:p>
      <w:pPr>
        <w:keepLines w:val="0"/>
      </w:pPr>
      <w:r>
        <w:rPr>
          <w:rFonts w:ascii="Calibri" w:hAnsi="Calibri"/>
          <w:i w:val="0"/>
          <w:color w:val="20262E"/>
        </w:rPr>
        <w:t>The program demonstrates a thoughtful security direction and now has a stronger, repeatable assurance baseline for its controlled pilot. In addition to organization-scoped authorization, CSRF protection, OAuth safeguards, revocable device credentials, audit events, private database routing, and explicit operator consent, the server source now includes an executable authorization inventory, exact dependency resolution, automated vulnerability/static/secret checks, CycloneDX SBOM generation, and fail-closed handling for unconfigured legacy credentials.</w:t>
      </w:r>
    </w:p>
    <w:p>
      <w:pPr>
        <w:keepLines w:val="0"/>
      </w:pPr>
      <w:r>
        <w:rPr>
          <w:rFonts w:ascii="Calibri" w:hAnsi="Calibri"/>
          <w:i w:val="0"/>
          <w:color w:val="20262E"/>
        </w:rPr>
        <w:t>The present assurance level remains pilot-grade. No-outage database-host controls are live, including deletion protection, removal of unused public-web tags, and a logged public-RDP deny, but public SSH and the VM public IP remain until a maintenance-window repair proves IAP access. Board-controlled ownership and recovery identities, alert destinations, backup/restore evidence, an incident tabletop, independent tenant/cloud review, full cross-platform supply-chain coverage, and managed-video field qualification remain open.</w:t>
      </w:r>
    </w:p>
    <w:p>
      <w:pPr>
        <w:keepLines w:val="0"/>
      </w:pPr>
      <w:r>
        <w:rPr>
          <w:rFonts w:ascii="Calibri" w:hAnsi="Calibri"/>
          <w:i w:val="0"/>
          <w:color w:val="20262E"/>
        </w:rPr>
        <w:t>The appropriate Board decision remains conditional stewardship: continue the limited NCSSAR-controlled pilot, retain the completed controls, and close or explicitly accept the remaining institutional, host-access, recovery, monitoring, independent-review, and field-qualification risks before broader onboarding or payment.</w:t>
      </w:r>
    </w:p>
    <w:p>
      <w:pPr>
        <w:pStyle w:val="Heading2"/>
      </w:pPr>
      <w:r>
        <w:t>Review conclusion at a glance</w:t>
      </w:r>
    </w:p>
    <w:tbl>
      <w:tblPr>
        <w:tblStyle w:val="TableGrid"/>
        <w:jc w:val="left"/>
        <w:tblLook w:firstColumn="1" w:firstRow="1" w:lastColumn="0" w:lastRow="0" w:noHBand="0" w:noVBand="1" w:val="04A0"/>
        <w:tblW w:w="9360" w:type="dxa"/>
        <w:tblInd w:w="120" w:type="dxa"/>
        <w:tblLayout w:type="fixed"/>
      </w:tblPr>
      <w:tblGrid>
        <w:gridCol w:w="1800"/>
        <w:gridCol w:w="2600"/>
        <w:gridCol w:w="4960"/>
      </w:tblGrid>
      <w:tr>
        <w:trPr>
          <w:tblHeader w:val="true"/>
          <w:cantSplit w:val="true"/>
        </w:trPr>
        <w:tc>
          <w:tcPr>
            <w:tcW w:type="dxa" w:w="1800"/>
            <w:shd w:fill="F2F4F7"/>
            <w:tcMar>
              <w:top w:w="80" w:type="dxa"/>
              <w:start w:w="120" w:type="dxa"/>
              <w:bottom w:w="80" w:type="dxa"/>
              <w:end w:w="120" w:type="dxa"/>
            </w:tcMar>
            <w:vAlign w:val="center"/>
          </w:tcPr>
          <w:p>
            <w:pPr>
              <w:spacing w:before="20" w:after="20"/>
            </w:pPr>
            <w:r>
              <w:rPr>
                <w:rFonts w:ascii="Calibri" w:hAnsi="Calibri"/>
                <w:b/>
                <w:color w:val="17365D"/>
                <w:sz w:val="19"/>
              </w:rPr>
              <w:t>Area</w:t>
            </w:r>
          </w:p>
        </w:tc>
        <w:tc>
          <w:tcPr>
            <w:tcW w:type="dxa" w:w="2600"/>
            <w:shd w:fill="F2F4F7"/>
            <w:tcMar>
              <w:top w:w="80" w:type="dxa"/>
              <w:start w:w="120" w:type="dxa"/>
              <w:bottom w:w="80" w:type="dxa"/>
              <w:end w:w="120" w:type="dxa"/>
            </w:tcMar>
            <w:vAlign w:val="center"/>
          </w:tcPr>
          <w:p>
            <w:pPr>
              <w:spacing w:before="20" w:after="20"/>
            </w:pPr>
            <w:r>
              <w:rPr>
                <w:rFonts w:ascii="Calibri" w:hAnsi="Calibri"/>
                <w:b/>
                <w:color w:val="17365D"/>
                <w:sz w:val="19"/>
              </w:rPr>
              <w:t>Assessment</w:t>
            </w:r>
          </w:p>
        </w:tc>
        <w:tc>
          <w:tcPr>
            <w:tcW w:type="dxa" w:w="4960"/>
            <w:shd w:fill="F2F4F7"/>
            <w:tcMar>
              <w:top w:w="80" w:type="dxa"/>
              <w:start w:w="120" w:type="dxa"/>
              <w:bottom w:w="80" w:type="dxa"/>
              <w:end w:w="120" w:type="dxa"/>
            </w:tcMar>
            <w:vAlign w:val="center"/>
          </w:tcPr>
          <w:p>
            <w:pPr>
              <w:spacing w:before="20" w:after="20"/>
            </w:pPr>
            <w:r>
              <w:rPr>
                <w:rFonts w:ascii="Calibri" w:hAnsi="Calibri"/>
                <w:b/>
                <w:color w:val="17365D"/>
                <w:sz w:val="19"/>
              </w:rPr>
              <w:t>Board implication</w:t>
            </w:r>
          </w:p>
        </w:tc>
      </w:tr>
      <w:tr>
        <w:trPr>
          <w:cantSplit w:val="true"/>
        </w:trPr>
        <w:tc>
          <w:tcPr>
            <w:tcW w:type="dxa" w:w="1800"/>
            <w:tcMar>
              <w:top w:w="80" w:type="dxa"/>
              <w:start w:w="120" w:type="dxa"/>
              <w:bottom w:w="80" w:type="dxa"/>
              <w:end w:w="120" w:type="dxa"/>
            </w:tcMar>
            <w:vAlign w:val="center"/>
          </w:tcPr>
          <w:p>
            <w:pPr>
              <w:spacing w:before="0" w:after="0" w:line="252" w:lineRule="auto"/>
            </w:pPr>
            <w:r>
              <w:rPr>
                <w:rFonts w:ascii="Calibri" w:hAnsi="Calibri"/>
                <w:sz w:val="18"/>
              </w:rPr>
              <w:t>Security architecture</w:t>
            </w:r>
          </w:p>
        </w:tc>
        <w:tc>
          <w:tcPr>
            <w:tcW w:type="dxa" w:w="2600"/>
            <w:tcMar>
              <w:top w:w="80" w:type="dxa"/>
              <w:start w:w="120" w:type="dxa"/>
              <w:bottom w:w="80" w:type="dxa"/>
              <w:end w:w="120" w:type="dxa"/>
            </w:tcMar>
            <w:vAlign w:val="center"/>
          </w:tcPr>
          <w:p>
            <w:pPr>
              <w:spacing w:before="0" w:after="0" w:line="252" w:lineRule="auto"/>
            </w:pPr>
            <w:r>
              <w:rPr>
                <w:rFonts w:ascii="Calibri" w:hAnsi="Calibri"/>
                <w:sz w:val="18"/>
              </w:rPr>
              <w:t>Improved pilot controls</w:t>
            </w:r>
          </w:p>
        </w:tc>
        <w:tc>
          <w:tcPr>
            <w:tcW w:type="dxa" w:w="4960"/>
            <w:tcMar>
              <w:top w:w="80" w:type="dxa"/>
              <w:start w:w="120" w:type="dxa"/>
              <w:bottom w:w="80" w:type="dxa"/>
              <w:end w:w="120" w:type="dxa"/>
            </w:tcMar>
            <w:vAlign w:val="center"/>
          </w:tcPr>
          <w:p>
            <w:pPr>
              <w:spacing w:before="0" w:after="0" w:line="252" w:lineRule="auto"/>
            </w:pPr>
            <w:r>
              <w:rPr>
                <w:rFonts w:ascii="Calibri" w:hAnsi="Calibri"/>
                <w:sz w:val="18"/>
              </w:rPr>
              <w:t>Retain the new authorization and security gates; independently verify tenant and live-cloud boundaries.</w:t>
            </w:r>
          </w:p>
        </w:tc>
      </w:tr>
      <w:tr>
        <w:trPr>
          <w:cantSplit w:val="true"/>
        </w:trPr>
        <w:tc>
          <w:tcPr>
            <w:tcW w:type="dxa" w:w="1800"/>
            <w:tcMar>
              <w:top w:w="80" w:type="dxa"/>
              <w:start w:w="120" w:type="dxa"/>
              <w:bottom w:w="80" w:type="dxa"/>
              <w:end w:w="120" w:type="dxa"/>
            </w:tcMar>
            <w:vAlign w:val="center"/>
          </w:tcPr>
          <w:p>
            <w:pPr>
              <w:spacing w:before="0" w:after="0" w:line="252" w:lineRule="auto"/>
            </w:pPr>
            <w:r>
              <w:rPr>
                <w:rFonts w:ascii="Calibri" w:hAnsi="Calibri"/>
                <w:sz w:val="18"/>
              </w:rPr>
              <w:t>Operational safety</w:t>
            </w:r>
          </w:p>
        </w:tc>
        <w:tc>
          <w:tcPr>
            <w:tcW w:type="dxa" w:w="2600"/>
            <w:tcMar>
              <w:top w:w="80" w:type="dxa"/>
              <w:start w:w="120" w:type="dxa"/>
              <w:bottom w:w="80" w:type="dxa"/>
              <w:end w:w="120" w:type="dxa"/>
            </w:tcMar>
            <w:vAlign w:val="center"/>
          </w:tcPr>
          <w:p>
            <w:pPr>
              <w:spacing w:before="0" w:after="0" w:line="252" w:lineRule="auto"/>
            </w:pPr>
            <w:r>
              <w:rPr>
                <w:rFonts w:ascii="Calibri" w:hAnsi="Calibri"/>
                <w:sz w:val="18"/>
              </w:rPr>
              <w:t>High-consequence, best-effort tool</w:t>
            </w:r>
          </w:p>
        </w:tc>
        <w:tc>
          <w:tcPr>
            <w:tcW w:type="dxa" w:w="4960"/>
            <w:tcMar>
              <w:top w:w="80" w:type="dxa"/>
              <w:start w:w="120" w:type="dxa"/>
              <w:bottom w:w="80" w:type="dxa"/>
              <w:end w:w="120" w:type="dxa"/>
            </w:tcMar>
            <w:vAlign w:val="center"/>
          </w:tcPr>
          <w:p>
            <w:pPr>
              <w:spacing w:before="0" w:after="0" w:line="252" w:lineRule="auto"/>
            </w:pPr>
            <w:r>
              <w:rPr>
                <w:rFonts w:ascii="Calibri" w:hAnsi="Calibri"/>
                <w:sz w:val="18"/>
              </w:rPr>
              <w:t>Maintain no-SLA/no-life-safety-reliance terms and field qualification gates.</w:t>
            </w:r>
          </w:p>
        </w:tc>
      </w:tr>
      <w:tr>
        <w:trPr>
          <w:cantSplit w:val="true"/>
        </w:trPr>
        <w:tc>
          <w:tcPr>
            <w:tcW w:type="dxa" w:w="1800"/>
            <w:tcMar>
              <w:top w:w="80" w:type="dxa"/>
              <w:start w:w="120" w:type="dxa"/>
              <w:bottom w:w="80" w:type="dxa"/>
              <w:end w:w="120" w:type="dxa"/>
            </w:tcMar>
            <w:vAlign w:val="center"/>
          </w:tcPr>
          <w:p>
            <w:pPr>
              <w:spacing w:before="0" w:after="0" w:line="252" w:lineRule="auto"/>
            </w:pPr>
            <w:r>
              <w:rPr>
                <w:rFonts w:ascii="Calibri" w:hAnsi="Calibri"/>
                <w:sz w:val="18"/>
              </w:rPr>
              <w:t>Privacy and data</w:t>
            </w:r>
          </w:p>
        </w:tc>
        <w:tc>
          <w:tcPr>
            <w:tcW w:type="dxa" w:w="2600"/>
            <w:tcMar>
              <w:top w:w="80" w:type="dxa"/>
              <w:start w:w="120" w:type="dxa"/>
              <w:bottom w:w="80" w:type="dxa"/>
              <w:end w:w="120" w:type="dxa"/>
            </w:tcMar>
            <w:vAlign w:val="center"/>
          </w:tcPr>
          <w:p>
            <w:pPr>
              <w:spacing w:before="0" w:after="0" w:line="252" w:lineRule="auto"/>
            </w:pPr>
            <w:r>
              <w:rPr>
                <w:rFonts w:ascii="Calibri" w:hAnsi="Calibri"/>
                <w:sz w:val="18"/>
              </w:rPr>
              <w:t>Sensitive operational data is present</w:t>
            </w:r>
          </w:p>
        </w:tc>
        <w:tc>
          <w:tcPr>
            <w:tcW w:type="dxa" w:w="4960"/>
            <w:tcMar>
              <w:top w:w="80" w:type="dxa"/>
              <w:start w:w="120" w:type="dxa"/>
              <w:bottom w:w="80" w:type="dxa"/>
              <w:end w:w="120" w:type="dxa"/>
            </w:tcMar>
            <w:vAlign w:val="center"/>
          </w:tcPr>
          <w:p>
            <w:pPr>
              <w:spacing w:before="0" w:after="0" w:line="252" w:lineRule="auto"/>
            </w:pPr>
            <w:r>
              <w:rPr>
                <w:rFonts w:ascii="Calibri" w:hAnsi="Calibri"/>
                <w:sz w:val="18"/>
              </w:rPr>
              <w:t>Approve inventory, retention, access, export, and incident rules before expansion.</w:t>
            </w:r>
          </w:p>
        </w:tc>
      </w:tr>
      <w:tr>
        <w:trPr>
          <w:cantSplit w:val="true"/>
        </w:trPr>
        <w:tc>
          <w:tcPr>
            <w:tcW w:type="dxa" w:w="1800"/>
            <w:tcMar>
              <w:top w:w="80" w:type="dxa"/>
              <w:start w:w="120" w:type="dxa"/>
              <w:bottom w:w="80" w:type="dxa"/>
              <w:end w:w="120" w:type="dxa"/>
            </w:tcMar>
            <w:vAlign w:val="center"/>
          </w:tcPr>
          <w:p>
            <w:pPr>
              <w:spacing w:before="0" w:after="0" w:line="252" w:lineRule="auto"/>
            </w:pPr>
            <w:r>
              <w:rPr>
                <w:rFonts w:ascii="Calibri" w:hAnsi="Calibri"/>
                <w:sz w:val="18"/>
              </w:rPr>
              <w:t>Resilience</w:t>
            </w:r>
          </w:p>
        </w:tc>
        <w:tc>
          <w:tcPr>
            <w:tcW w:type="dxa" w:w="2600"/>
            <w:tcMar>
              <w:top w:w="80" w:type="dxa"/>
              <w:start w:w="120" w:type="dxa"/>
              <w:bottom w:w="80" w:type="dxa"/>
              <w:end w:w="120" w:type="dxa"/>
            </w:tcMar>
            <w:vAlign w:val="center"/>
          </w:tcPr>
          <w:p>
            <w:pPr>
              <w:spacing w:before="0" w:after="0" w:line="252" w:lineRule="auto"/>
            </w:pPr>
            <w:r>
              <w:rPr>
                <w:rFonts w:ascii="Calibri" w:hAnsi="Calibri"/>
                <w:sz w:val="18"/>
              </w:rPr>
              <w:t>Runbooks drafted; recovery unproven</w:t>
            </w:r>
          </w:p>
        </w:tc>
        <w:tc>
          <w:tcPr>
            <w:tcW w:type="dxa" w:w="4960"/>
            <w:tcMar>
              <w:top w:w="80" w:type="dxa"/>
              <w:start w:w="120" w:type="dxa"/>
              <w:bottom w:w="80" w:type="dxa"/>
              <w:end w:w="120" w:type="dxa"/>
            </w:tcMar>
            <w:vAlign w:val="center"/>
          </w:tcPr>
          <w:p>
            <w:pPr>
              <w:spacing w:before="0" w:after="0" w:line="252" w:lineRule="auto"/>
            </w:pPr>
            <w:r>
              <w:rPr>
                <w:rFonts w:ascii="Calibri" w:hAnsi="Calibri"/>
                <w:sz w:val="18"/>
              </w:rPr>
              <w:t>Approve recovery objectives, separate backup custody, and complete a witnessed reconstruction exercise.</w:t>
            </w:r>
          </w:p>
        </w:tc>
      </w:tr>
      <w:tr>
        <w:trPr>
          <w:cantSplit w:val="true"/>
        </w:trPr>
        <w:tc>
          <w:tcPr>
            <w:tcW w:type="dxa" w:w="1800"/>
            <w:tcMar>
              <w:top w:w="80" w:type="dxa"/>
              <w:start w:w="120" w:type="dxa"/>
              <w:bottom w:w="80" w:type="dxa"/>
              <w:end w:w="120" w:type="dxa"/>
            </w:tcMar>
            <w:vAlign w:val="center"/>
          </w:tcPr>
          <w:p>
            <w:pPr>
              <w:spacing w:before="0" w:after="0" w:line="252" w:lineRule="auto"/>
            </w:pPr>
            <w:r>
              <w:rPr>
                <w:rFonts w:ascii="Calibri" w:hAnsi="Calibri"/>
                <w:sz w:val="18"/>
              </w:rPr>
              <w:t>Software supply chain</w:t>
            </w:r>
          </w:p>
        </w:tc>
        <w:tc>
          <w:tcPr>
            <w:tcW w:type="dxa" w:w="2600"/>
            <w:tcMar>
              <w:top w:w="80" w:type="dxa"/>
              <w:start w:w="120" w:type="dxa"/>
              <w:bottom w:w="80" w:type="dxa"/>
              <w:end w:w="120" w:type="dxa"/>
            </w:tcMar>
            <w:vAlign w:val="center"/>
          </w:tcPr>
          <w:p>
            <w:pPr>
              <w:spacing w:before="0" w:after="0" w:line="252" w:lineRule="auto"/>
            </w:pPr>
            <w:r>
              <w:rPr>
                <w:rFonts w:ascii="Calibri" w:hAnsi="Calibri"/>
                <w:sz w:val="18"/>
              </w:rPr>
              <w:t>Server gate established; program coverage partial</w:t>
            </w:r>
          </w:p>
        </w:tc>
        <w:tc>
          <w:tcPr>
            <w:tcW w:type="dxa" w:w="4960"/>
            <w:tcMar>
              <w:top w:w="80" w:type="dxa"/>
              <w:start w:w="120" w:type="dxa"/>
              <w:bottom w:w="80" w:type="dxa"/>
              <w:end w:w="120" w:type="dxa"/>
            </w:tcMar>
            <w:vAlign w:val="center"/>
          </w:tcPr>
          <w:p>
            <w:pPr>
              <w:spacing w:before="0" w:after="0" w:line="252" w:lineRule="auto"/>
            </w:pPr>
            <w:r>
              <w:rPr>
                <w:rFonts w:ascii="Calibri" w:hAnsi="Calibri"/>
                <w:sz w:val="18"/>
              </w:rPr>
              <w:t>Retain lock/SBOM/scans and extend them to container, Android, Apple, websites, bundled media, and release provenance.</w:t>
            </w:r>
          </w:p>
        </w:tc>
      </w:tr>
      <w:tr>
        <w:trPr>
          <w:cantSplit w:val="true"/>
        </w:trPr>
        <w:tc>
          <w:tcPr>
            <w:tcW w:type="dxa" w:w="1800"/>
            <w:tcMar>
              <w:top w:w="80" w:type="dxa"/>
              <w:start w:w="120" w:type="dxa"/>
              <w:bottom w:w="80" w:type="dxa"/>
              <w:end w:w="120" w:type="dxa"/>
            </w:tcMar>
            <w:vAlign w:val="center"/>
          </w:tcPr>
          <w:p>
            <w:pPr>
              <w:spacing w:before="0" w:after="0" w:line="252" w:lineRule="auto"/>
            </w:pPr>
            <w:r>
              <w:rPr>
                <w:rFonts w:ascii="Calibri" w:hAnsi="Calibri"/>
                <w:sz w:val="18"/>
              </w:rPr>
              <w:t>Adoption readiness</w:t>
            </w:r>
          </w:p>
        </w:tc>
        <w:tc>
          <w:tcPr>
            <w:tcW w:type="dxa" w:w="2600"/>
            <w:tcMar>
              <w:top w:w="80" w:type="dxa"/>
              <w:start w:w="120" w:type="dxa"/>
              <w:bottom w:w="80" w:type="dxa"/>
              <w:end w:w="120" w:type="dxa"/>
            </w:tcMar>
            <w:vAlign w:val="center"/>
          </w:tcPr>
          <w:p>
            <w:pPr>
              <w:spacing w:before="0" w:after="0" w:line="252" w:lineRule="auto"/>
            </w:pPr>
            <w:r>
              <w:rPr>
                <w:rFonts w:ascii="Calibri" w:hAnsi="Calibri"/>
                <w:sz w:val="18"/>
              </w:rPr>
              <w:t>Conditional - improved</w:t>
            </w:r>
          </w:p>
        </w:tc>
        <w:tc>
          <w:tcPr>
            <w:tcW w:type="dxa" w:w="4960"/>
            <w:tcMar>
              <w:top w:w="80" w:type="dxa"/>
              <w:start w:w="120" w:type="dxa"/>
              <w:bottom w:w="80" w:type="dxa"/>
              <w:end w:w="120" w:type="dxa"/>
            </w:tcMar>
            <w:vAlign w:val="center"/>
          </w:tcPr>
          <w:p>
            <w:pPr>
              <w:spacing w:before="0" w:after="0" w:line="252" w:lineRule="auto"/>
            </w:pPr>
            <w:r>
              <w:rPr>
                <w:rFonts w:ascii="Calibri" w:hAnsi="Calibri"/>
                <w:sz w:val="18"/>
              </w:rPr>
              <w:t>Continue controlled pilot; complete remaining P0/P1 institutional and evidence gates before expansion.</w:t>
            </w:r>
          </w:p>
        </w:tc>
      </w:tr>
    </w:tbl>
    <w:p>
      <w:pPr>
        <w:spacing w:after="20"/>
      </w:pPr>
    </w:p>
    <w:p>
      <w:pPr>
        <w:spacing w:before="60" w:after="0"/>
      </w:pPr>
    </w:p>
    <w:p>
      <w:pPr>
        <w:pStyle w:val="Heading1"/>
      </w:pPr>
      <w:r>
        <w:t>1. Scope, method, and limitations</w:t>
      </w:r>
    </w:p>
    <w:p>
      <w:pPr>
        <w:pStyle w:val="Heading2"/>
      </w:pPr>
      <w:r>
        <w:t>Systems in scope</w:t>
      </w:r>
    </w:p>
    <w:p>
      <w:pPr>
        <w:keepLines/>
        <w:numPr>
          <w:ilvl w:val="0"/>
          <w:numId w:val="10"/>
        </w:numPr>
      </w:pPr>
      <w:r>
        <w:rPr>
          <w:rFonts w:ascii="Calibri" w:hAnsi="Calibri"/>
        </w:rPr>
        <w:t>RID2Caltopo Android application, including Remote ID processing, local records, CalTopo publishing, tracker coordination, organization configuration, and managed-video client functions.</w:t>
      </w:r>
    </w:p>
    <w:p>
      <w:pPr>
        <w:keepLines/>
        <w:numPr>
          <w:ilvl w:val="0"/>
          <w:numId w:val="10"/>
        </w:numPr>
      </w:pPr>
      <w:r>
        <w:rPr>
          <w:rFonts w:ascii="Calibri" w:hAnsi="Calibri"/>
        </w:rPr>
        <w:t>RID2Caltopo Apple application and shared R2CCore package, including equivalent configuration, privacy, archive, and coordination behavior.</w:t>
      </w:r>
    </w:p>
    <w:p>
      <w:pPr>
        <w:keepLines/>
        <w:numPr>
          <w:ilvl w:val="0"/>
          <w:numId w:val="10"/>
        </w:numPr>
      </w:pPr>
      <w:r>
        <w:rPr>
          <w:rFonts w:ascii="Calibri" w:hAnsi="Calibri"/>
        </w:rPr>
        <w:t>RID2Caltopo public websites and the managed-access request form and worker.</w:t>
      </w:r>
    </w:p>
    <w:p>
      <w:pPr>
        <w:keepLines/>
        <w:numPr>
          <w:ilvl w:val="0"/>
          <w:numId w:val="10"/>
        </w:numPr>
      </w:pPr>
      <w:r>
        <w:rPr>
          <w:rFonts w:ascii="Calibri" w:hAnsi="Calibri"/>
        </w:rPr>
        <w:t>r2c-tracker FastAPI application, organization control plane, enrollment, FAA proxy, flight-log storage, platform administration, and managed-video signaling.</w:t>
      </w:r>
    </w:p>
    <w:p>
      <w:pPr>
        <w:keepLines/>
        <w:numPr>
          <w:ilvl w:val="0"/>
          <w:numId w:val="10"/>
        </w:numPr>
      </w:pPr>
      <w:r>
        <w:rPr>
          <w:rFonts w:ascii="Calibri" w:hAnsi="Calibri"/>
        </w:rPr>
        <w:t>Pilot deployment documentation for Cloud Run, PostgreSQL, Cloud Storage, Secret Manager, OAuth, Gmail delivery, and network connectivity.</w:t>
      </w:r>
    </w:p>
    <w:p>
      <w:pPr>
        <w:pStyle w:val="Heading2"/>
      </w:pPr>
      <w:r>
        <w:t>Evidence reviewed</w:t>
      </w:r>
    </w:p>
    <w:tbl>
      <w:tblPr>
        <w:tblStyle w:val="TableGrid"/>
        <w:jc w:val="left"/>
        <w:tblLook w:firstColumn="1" w:firstRow="1" w:lastColumn="0" w:lastRow="0" w:noHBand="0" w:noVBand="1" w:val="04A0"/>
        <w:tblW w:w="9360" w:type="dxa"/>
        <w:tblInd w:w="120" w:type="dxa"/>
        <w:tblLayout w:type="fixed"/>
      </w:tblPr>
      <w:tblGrid>
        <w:gridCol w:w="2200"/>
        <w:gridCol w:w="2700"/>
        <w:gridCol w:w="4460"/>
      </w:tblGrid>
      <w:tr>
        <w:trPr>
          <w:tblHeader w:val="true"/>
          <w:cantSplit w:val="true"/>
        </w:trPr>
        <w:tc>
          <w:tcPr>
            <w:tcW w:type="dxa" w:w="2200"/>
            <w:shd w:fill="F2F4F7"/>
            <w:tcMar>
              <w:top w:w="80" w:type="dxa"/>
              <w:start w:w="120" w:type="dxa"/>
              <w:bottom w:w="80" w:type="dxa"/>
              <w:end w:w="120" w:type="dxa"/>
            </w:tcMar>
            <w:vAlign w:val="center"/>
          </w:tcPr>
          <w:p>
            <w:pPr>
              <w:spacing w:before="20" w:after="20"/>
            </w:pPr>
            <w:r>
              <w:rPr>
                <w:rFonts w:ascii="Calibri" w:hAnsi="Calibri"/>
                <w:b/>
                <w:color w:val="17365D"/>
                <w:sz w:val="18"/>
              </w:rPr>
              <w:t>Evidence</w:t>
            </w:r>
          </w:p>
        </w:tc>
        <w:tc>
          <w:tcPr>
            <w:tcW w:type="dxa" w:w="2700"/>
            <w:shd w:fill="F2F4F7"/>
            <w:tcMar>
              <w:top w:w="80" w:type="dxa"/>
              <w:start w:w="120" w:type="dxa"/>
              <w:bottom w:w="80" w:type="dxa"/>
              <w:end w:w="120" w:type="dxa"/>
            </w:tcMar>
            <w:vAlign w:val="center"/>
          </w:tcPr>
          <w:p>
            <w:pPr>
              <w:spacing w:before="20" w:after="20"/>
            </w:pPr>
            <w:r>
              <w:rPr>
                <w:rFonts w:ascii="Calibri" w:hAnsi="Calibri"/>
                <w:b/>
                <w:color w:val="17365D"/>
                <w:sz w:val="18"/>
              </w:rPr>
              <w:t>Status</w:t>
            </w:r>
          </w:p>
        </w:tc>
        <w:tc>
          <w:tcPr>
            <w:tcW w:type="dxa" w:w="4460"/>
            <w:shd w:fill="F2F4F7"/>
            <w:tcMar>
              <w:top w:w="80" w:type="dxa"/>
              <w:start w:w="120" w:type="dxa"/>
              <w:bottom w:w="80" w:type="dxa"/>
              <w:end w:w="120" w:type="dxa"/>
            </w:tcMar>
            <w:vAlign w:val="center"/>
          </w:tcPr>
          <w:p>
            <w:pPr>
              <w:spacing w:before="20" w:after="20"/>
            </w:pPr>
            <w:r>
              <w:rPr>
                <w:rFonts w:ascii="Calibri" w:hAnsi="Calibri"/>
                <w:b/>
                <w:color w:val="17365D"/>
                <w:sz w:val="18"/>
              </w:rPr>
              <w:t>Use in this report</w:t>
            </w:r>
          </w:p>
        </w:tc>
      </w:tr>
      <w:tr>
        <w:trPr>
          <w:cantSplit w:val="true"/>
        </w:trPr>
        <w:tc>
          <w:tcPr>
            <w:tcW w:type="dxa" w:w="2200"/>
            <w:tcMar>
              <w:top w:w="80" w:type="dxa"/>
              <w:start w:w="120" w:type="dxa"/>
              <w:bottom w:w="80" w:type="dxa"/>
              <w:end w:w="120" w:type="dxa"/>
            </w:tcMar>
            <w:vAlign w:val="center"/>
          </w:tcPr>
          <w:p>
            <w:pPr>
              <w:spacing w:before="0" w:after="0" w:line="252" w:lineRule="auto"/>
            </w:pPr>
            <w:r>
              <w:rPr>
                <w:rFonts w:ascii="Calibri" w:hAnsi="Calibri"/>
                <w:sz w:val="17"/>
              </w:rPr>
              <w:t>r2c-tracker source</w:t>
            </w:r>
          </w:p>
        </w:tc>
        <w:tc>
          <w:tcPr>
            <w:tcW w:type="dxa" w:w="2700"/>
            <w:tcMar>
              <w:top w:w="80" w:type="dxa"/>
              <w:start w:w="120" w:type="dxa"/>
              <w:bottom w:w="80" w:type="dxa"/>
              <w:end w:w="120" w:type="dxa"/>
            </w:tcMar>
            <w:vAlign w:val="center"/>
          </w:tcPr>
          <w:p>
            <w:pPr>
              <w:spacing w:before="0" w:after="0" w:line="252" w:lineRule="auto"/>
            </w:pPr>
            <w:r>
              <w:rPr>
                <w:rFonts w:ascii="Calibri" w:hAnsi="Calibri"/>
                <w:sz w:val="17"/>
              </w:rPr>
              <w:t>Commit 20defc43 plus uncommitted pilot work</w:t>
            </w:r>
          </w:p>
        </w:tc>
        <w:tc>
          <w:tcPr>
            <w:tcW w:type="dxa" w:w="4460"/>
            <w:tcMar>
              <w:top w:w="80" w:type="dxa"/>
              <w:start w:w="120" w:type="dxa"/>
              <w:bottom w:w="80" w:type="dxa"/>
              <w:end w:w="120" w:type="dxa"/>
            </w:tcMar>
            <w:vAlign w:val="center"/>
          </w:tcPr>
          <w:p>
            <w:pPr>
              <w:spacing w:before="0" w:after="0" w:line="252" w:lineRule="auto"/>
            </w:pPr>
            <w:r>
              <w:rPr>
                <w:rFonts w:ascii="Calibri" w:hAnsi="Calibri"/>
                <w:sz w:val="17"/>
              </w:rPr>
              <w:t>Architecture, auth, tenancy, storage, deployment, tests</w:t>
            </w:r>
          </w:p>
        </w:tc>
      </w:tr>
      <w:tr>
        <w:trPr>
          <w:cantSplit w:val="true"/>
        </w:trPr>
        <w:tc>
          <w:tcPr>
            <w:tcW w:type="dxa" w:w="2200"/>
            <w:tcMar>
              <w:top w:w="80" w:type="dxa"/>
              <w:start w:w="120" w:type="dxa"/>
              <w:bottom w:w="80" w:type="dxa"/>
              <w:end w:w="120" w:type="dxa"/>
            </w:tcMar>
            <w:vAlign w:val="center"/>
          </w:tcPr>
          <w:p>
            <w:pPr>
              <w:spacing w:before="0" w:after="0" w:line="252" w:lineRule="auto"/>
            </w:pPr>
            <w:r>
              <w:rPr>
                <w:rFonts w:ascii="Calibri" w:hAnsi="Calibri"/>
                <w:sz w:val="17"/>
              </w:rPr>
              <w:t>RID2Caltopo source</w:t>
            </w:r>
          </w:p>
        </w:tc>
        <w:tc>
          <w:tcPr>
            <w:tcW w:type="dxa" w:w="2700"/>
            <w:tcMar>
              <w:top w:w="80" w:type="dxa"/>
              <w:start w:w="120" w:type="dxa"/>
              <w:bottom w:w="80" w:type="dxa"/>
              <w:end w:w="120" w:type="dxa"/>
            </w:tcMar>
            <w:vAlign w:val="center"/>
          </w:tcPr>
          <w:p>
            <w:pPr>
              <w:spacing w:before="0" w:after="0" w:line="252" w:lineRule="auto"/>
            </w:pPr>
            <w:r>
              <w:rPr>
                <w:rFonts w:ascii="Calibri" w:hAnsi="Calibri"/>
                <w:sz w:val="17"/>
              </w:rPr>
              <w:t>Commit e69844ed plus uncommitted release/disclaimer work</w:t>
            </w:r>
          </w:p>
        </w:tc>
        <w:tc>
          <w:tcPr>
            <w:tcW w:type="dxa" w:w="4460"/>
            <w:tcMar>
              <w:top w:w="80" w:type="dxa"/>
              <w:start w:w="120" w:type="dxa"/>
              <w:bottom w:w="80" w:type="dxa"/>
              <w:end w:w="120" w:type="dxa"/>
            </w:tcMar>
            <w:vAlign w:val="center"/>
          </w:tcPr>
          <w:p>
            <w:pPr>
              <w:spacing w:before="0" w:after="0" w:line="252" w:lineRule="auto"/>
            </w:pPr>
            <w:r>
              <w:rPr>
                <w:rFonts w:ascii="Calibri" w:hAnsi="Calibri"/>
                <w:sz w:val="17"/>
              </w:rPr>
              <w:t>Android/iOS data handling, credentials, safety controls</w:t>
            </w:r>
          </w:p>
        </w:tc>
      </w:tr>
      <w:tr>
        <w:trPr>
          <w:cantSplit w:val="true"/>
        </w:trPr>
        <w:tc>
          <w:tcPr>
            <w:tcW w:type="dxa" w:w="2200"/>
            <w:tcMar>
              <w:top w:w="80" w:type="dxa"/>
              <w:start w:w="120" w:type="dxa"/>
              <w:bottom w:w="80" w:type="dxa"/>
              <w:end w:w="120" w:type="dxa"/>
            </w:tcMar>
            <w:vAlign w:val="center"/>
          </w:tcPr>
          <w:p>
            <w:pPr>
              <w:spacing w:before="0" w:after="0" w:line="252" w:lineRule="auto"/>
            </w:pPr>
            <w:r>
              <w:rPr>
                <w:rFonts w:ascii="Calibri" w:hAnsi="Calibri"/>
                <w:sz w:val="17"/>
              </w:rPr>
              <w:t>Website source</w:t>
            </w:r>
          </w:p>
        </w:tc>
        <w:tc>
          <w:tcPr>
            <w:tcW w:type="dxa" w:w="2700"/>
            <w:tcMar>
              <w:top w:w="80" w:type="dxa"/>
              <w:start w:w="120" w:type="dxa"/>
              <w:bottom w:w="80" w:type="dxa"/>
              <w:end w:w="120" w:type="dxa"/>
            </w:tcMar>
            <w:vAlign w:val="center"/>
          </w:tcPr>
          <w:p>
            <w:pPr>
              <w:spacing w:before="0" w:after="0" w:line="252" w:lineRule="auto"/>
            </w:pPr>
            <w:r>
              <w:rPr>
                <w:rFonts w:ascii="Calibri" w:hAnsi="Calibri"/>
                <w:sz w:val="17"/>
              </w:rPr>
              <w:t>Commit 8f8a72f plus uncommitted terms work</w:t>
            </w:r>
          </w:p>
        </w:tc>
        <w:tc>
          <w:tcPr>
            <w:tcW w:type="dxa" w:w="4460"/>
            <w:tcMar>
              <w:top w:w="80" w:type="dxa"/>
              <w:start w:w="120" w:type="dxa"/>
              <w:bottom w:w="80" w:type="dxa"/>
              <w:end w:w="120" w:type="dxa"/>
            </w:tcMar>
            <w:vAlign w:val="center"/>
          </w:tcPr>
          <w:p>
            <w:pPr>
              <w:spacing w:before="0" w:after="0" w:line="252" w:lineRule="auto"/>
            </w:pPr>
            <w:r>
              <w:rPr>
                <w:rFonts w:ascii="Calibri" w:hAnsi="Calibri"/>
                <w:sz w:val="17"/>
              </w:rPr>
              <w:t>Managed-access acknowledgment and intake enforcement</w:t>
            </w:r>
          </w:p>
        </w:tc>
      </w:tr>
      <w:tr>
        <w:trPr>
          <w:cantSplit w:val="true"/>
        </w:trPr>
        <w:tc>
          <w:tcPr>
            <w:tcW w:type="dxa" w:w="2200"/>
            <w:tcMar>
              <w:top w:w="80" w:type="dxa"/>
              <w:start w:w="120" w:type="dxa"/>
              <w:bottom w:w="80" w:type="dxa"/>
              <w:end w:w="120" w:type="dxa"/>
            </w:tcMar>
            <w:vAlign w:val="center"/>
          </w:tcPr>
          <w:p>
            <w:pPr>
              <w:spacing w:before="0" w:after="0" w:line="252" w:lineRule="auto"/>
            </w:pPr>
            <w:r>
              <w:rPr>
                <w:rFonts w:ascii="Calibri" w:hAnsi="Calibri"/>
                <w:sz w:val="17"/>
              </w:rPr>
              <w:t>Automated verification</w:t>
            </w:r>
          </w:p>
        </w:tc>
        <w:tc>
          <w:tcPr>
            <w:tcW w:type="dxa" w:w="2700"/>
            <w:tcMar>
              <w:top w:w="80" w:type="dxa"/>
              <w:start w:w="120" w:type="dxa"/>
              <w:bottom w:w="80" w:type="dxa"/>
              <w:end w:w="120" w:type="dxa"/>
            </w:tcMar>
            <w:vAlign w:val="center"/>
          </w:tcPr>
          <w:p>
            <w:pPr>
              <w:spacing w:before="0" w:after="0" w:line="252" w:lineRule="auto"/>
            </w:pPr>
            <w:r>
              <w:rPr>
                <w:rFonts w:ascii="Calibri" w:hAnsi="Calibri"/>
                <w:sz w:val="17"/>
              </w:rPr>
              <w:t>Tracker 221 tests; website 7 rendered tests; focused Android and Apple disclaimer tests passed</w:t>
            </w:r>
          </w:p>
        </w:tc>
        <w:tc>
          <w:tcPr>
            <w:tcW w:type="dxa" w:w="4460"/>
            <w:tcMar>
              <w:top w:w="80" w:type="dxa"/>
              <w:start w:w="120" w:type="dxa"/>
              <w:bottom w:w="80" w:type="dxa"/>
              <w:end w:w="120" w:type="dxa"/>
            </w:tcMar>
            <w:vAlign w:val="center"/>
          </w:tcPr>
          <w:p>
            <w:pPr>
              <w:spacing w:before="0" w:after="0" w:line="252" w:lineRule="auto"/>
            </w:pPr>
            <w:r>
              <w:rPr>
                <w:rFonts w:ascii="Calibri" w:hAnsi="Calibri"/>
                <w:sz w:val="17"/>
              </w:rPr>
              <w:t>Current regression/security evidence; not adversarial or physical field assurance</w:t>
            </w:r>
          </w:p>
        </w:tc>
      </w:tr>
      <w:tr>
        <w:trPr>
          <w:cantSplit w:val="true"/>
        </w:trPr>
        <w:tc>
          <w:tcPr>
            <w:tcW w:type="dxa" w:w="2200"/>
            <w:tcMar>
              <w:top w:w="80" w:type="dxa"/>
              <w:start w:w="120" w:type="dxa"/>
              <w:bottom w:w="80" w:type="dxa"/>
              <w:end w:w="120" w:type="dxa"/>
            </w:tcMar>
            <w:vAlign w:val="center"/>
          </w:tcPr>
          <w:p>
            <w:pPr>
              <w:spacing w:before="0" w:after="0" w:line="252" w:lineRule="auto"/>
            </w:pPr>
            <w:r>
              <w:rPr>
                <w:rFonts w:ascii="Calibri" w:hAnsi="Calibri"/>
                <w:sz w:val="17"/>
              </w:rPr>
              <w:t>Tracked-source secret pattern scan</w:t>
            </w:r>
          </w:p>
        </w:tc>
        <w:tc>
          <w:tcPr>
            <w:tcW w:type="dxa" w:w="2700"/>
            <w:tcMar>
              <w:top w:w="80" w:type="dxa"/>
              <w:start w:w="120" w:type="dxa"/>
              <w:bottom w:w="80" w:type="dxa"/>
              <w:end w:w="120" w:type="dxa"/>
            </w:tcMar>
            <w:vAlign w:val="center"/>
          </w:tcPr>
          <w:p>
            <w:pPr>
              <w:spacing w:before="0" w:after="0" w:line="252" w:lineRule="auto"/>
            </w:pPr>
            <w:r>
              <w:rPr>
                <w:rFonts w:ascii="Calibri" w:hAnsi="Calibri"/>
                <w:sz w:val="17"/>
              </w:rPr>
              <w:t>Reviewed baseline enforcement passes; scan artifact retained</w:t>
            </w:r>
          </w:p>
        </w:tc>
        <w:tc>
          <w:tcPr>
            <w:tcW w:type="dxa" w:w="4460"/>
            <w:tcMar>
              <w:top w:w="80" w:type="dxa"/>
              <w:start w:w="120" w:type="dxa"/>
              <w:bottom w:w="80" w:type="dxa"/>
              <w:end w:w="120" w:type="dxa"/>
            </w:tcMar>
            <w:vAlign w:val="center"/>
          </w:tcPr>
          <w:p>
            <w:pPr>
              <w:spacing w:before="0" w:after="0" w:line="252" w:lineRule="auto"/>
            </w:pPr>
            <w:r>
              <w:rPr>
                <w:rFonts w:ascii="Calibri" w:hAnsi="Calibri"/>
                <w:sz w:val="17"/>
              </w:rPr>
              <w:t>Blocks new tracked-source findings; history and independent review remain open</w:t>
            </w:r>
          </w:p>
        </w:tc>
      </w:tr>
      <w:tr>
        <w:trPr>
          <w:cantSplit w:val="true"/>
        </w:trPr>
        <w:tc>
          <w:tcPr>
            <w:tcW w:type="dxa" w:w="2200"/>
            <w:tcMar>
              <w:top w:w="80" w:type="dxa"/>
              <w:start w:w="120" w:type="dxa"/>
              <w:bottom w:w="80" w:type="dxa"/>
              <w:end w:w="120" w:type="dxa"/>
            </w:tcMar>
            <w:vAlign w:val="center"/>
          </w:tcPr>
          <w:p>
            <w:pPr>
              <w:spacing w:before="0" w:after="0" w:line="252" w:lineRule="auto"/>
            </w:pPr>
            <w:r>
              <w:rPr>
                <w:rFonts w:ascii="Calibri" w:hAnsi="Calibri"/>
                <w:sz w:val="17"/>
              </w:rPr>
              <w:t>Live Google Cloud inspection</w:t>
            </w:r>
          </w:p>
        </w:tc>
        <w:tc>
          <w:tcPr>
            <w:tcW w:type="dxa" w:w="2700"/>
            <w:tcMar>
              <w:top w:w="80" w:type="dxa"/>
              <w:start w:w="120" w:type="dxa"/>
              <w:bottom w:w="80" w:type="dxa"/>
              <w:end w:w="120" w:type="dxa"/>
            </w:tcMar>
            <w:vAlign w:val="center"/>
          </w:tcPr>
          <w:p>
            <w:pPr>
              <w:spacing w:before="0" w:after="0" w:line="252" w:lineRule="auto"/>
            </w:pPr>
            <w:r>
              <w:rPr>
                <w:rFonts w:ascii="Calibri" w:hAnsi="Calibri"/>
                <w:sz w:val="17"/>
              </w:rPr>
              <w:t>Inspection plus no-outage hardening completed August 7-8, 2026</w:t>
            </w:r>
          </w:p>
        </w:tc>
        <w:tc>
          <w:tcPr>
            <w:tcW w:type="dxa" w:w="4460"/>
            <w:tcMar>
              <w:top w:w="80" w:type="dxa"/>
              <w:start w:w="120" w:type="dxa"/>
              <w:bottom w:w="80" w:type="dxa"/>
              <w:end w:w="120" w:type="dxa"/>
            </w:tcMar>
            <w:vAlign w:val="center"/>
          </w:tcPr>
          <w:p>
            <w:pPr>
              <w:spacing w:before="0" w:after="0" w:line="252" w:lineRule="auto"/>
            </w:pPr>
            <w:r>
              <w:rPr>
                <w:rFonts w:ascii="Calibri" w:hAnsi="Calibri"/>
                <w:sz w:val="17"/>
              </w:rPr>
              <w:t>Deletion protection, web-tag removal, RDP deny, IAP path, and remaining VM/access gaps</w:t>
            </w:r>
          </w:p>
        </w:tc>
      </w:tr>
    </w:tbl>
    <w:p>
      <w:pPr>
        <w:spacing w:after="20"/>
      </w:pPr>
    </w:p>
    <w:tbl>
      <w:tblPr>
        <w:jc w:val="left"/>
        <w:tblLook w:firstColumn="1" w:firstRow="1" w:lastColumn="0" w:lastRow="0" w:noHBand="0" w:noVBand="1" w:val="04A0"/>
        <w:tblW w:w="9360" w:type="dxa"/>
        <w:tblInd w:w="120" w:type="dxa"/>
        <w:tblLayout w:type="fixed"/>
      </w:tblPr>
      <w:tblGrid>
        <w:gridCol w:w="9360"/>
      </w:tblGrid>
      <w:tr>
        <w:trPr>
          <w:tblHeader w:val="true"/>
          <w:cantSplit w:val="true"/>
        </w:trPr>
        <w:tc>
          <w:tcPr>
            <w:tcW w:type="dxa" w:w="9360"/>
            <w:tcMar>
              <w:top w:w="80" w:type="dxa"/>
              <w:start w:w="120" w:type="dxa"/>
              <w:bottom w:w="80" w:type="dxa"/>
              <w:end w:w="120" w:type="dxa"/>
            </w:tcMar>
            <w:vAlign w:val="center"/>
            <w:shd w:fill="FFF4CE"/>
          </w:tcPr>
          <w:p>
            <w:pPr>
              <w:spacing w:before="60" w:after="60"/>
            </w:pPr>
            <w:r>
              <w:rPr>
                <w:rFonts w:ascii="Calibri" w:hAnsi="Calibri"/>
                <w:b/>
                <w:color w:val="7A5A00"/>
              </w:rPr>
              <w:t xml:space="preserve">ASSURANCE LIMIT  </w:t>
            </w:r>
            <w:r>
              <w:rPr>
                <w:rFonts w:ascii="Calibri" w:hAnsi="Calibri"/>
                <w:color w:val="20262E"/>
              </w:rPr>
              <w:t>This is an engineering due-diligence review with a limited, point-in-time cloud inspection. It is not a penetration test, comprehensive source-code or cloud security audit, legal opinion, privacy impact assessment, aviation certification, or field-safety qualification.</w:t>
            </w:r>
          </w:p>
        </w:tc>
      </w:tr>
    </w:tbl>
    <w:p>
      <w:pPr>
        <w:spacing w:after="20"/>
      </w:pPr>
    </w:p>
    <w:p>
      <w:pPr>
        <w:pStyle w:val="Heading2"/>
      </w:pPr>
      <w:r>
        <w:t>Evidence labels used</w:t>
      </w:r>
    </w:p>
    <w:p>
      <w:pPr>
        <w:keepLines/>
        <w:numPr>
          <w:ilvl w:val="0"/>
          <w:numId w:val="10"/>
        </w:numPr>
      </w:pPr>
      <w:r>
        <w:rPr>
          <w:rFonts w:ascii="Calibri" w:hAnsi="Calibri"/>
        </w:rPr>
        <w:t>Implemented: observed in current source.</w:t>
      </w:r>
    </w:p>
    <w:p>
      <w:pPr>
        <w:keepLines/>
        <w:numPr>
          <w:ilvl w:val="0"/>
          <w:numId w:val="10"/>
        </w:numPr>
      </w:pPr>
      <w:r>
        <w:rPr>
          <w:rFonts w:ascii="Calibri" w:hAnsi="Calibri"/>
        </w:rPr>
        <w:t>Tested: exercised by automated tests or release gates identified above.</w:t>
      </w:r>
    </w:p>
    <w:p>
      <w:pPr>
        <w:keepLines/>
        <w:numPr>
          <w:ilvl w:val="0"/>
          <w:numId w:val="10"/>
        </w:numPr>
      </w:pPr>
      <w:r>
        <w:rPr>
          <w:rFonts w:ascii="Calibri" w:hAnsi="Calibri"/>
        </w:rPr>
        <w:t>Live-observed: read-only configuration evidence obtained on the review date; not proof of historical state, effective runtime behavior, or recovery.</w:t>
      </w:r>
    </w:p>
    <w:p>
      <w:pPr>
        <w:keepLines/>
        <w:numPr>
          <w:ilvl w:val="0"/>
          <w:numId w:val="10"/>
        </w:numPr>
      </w:pPr>
      <w:r>
        <w:rPr>
          <w:rFonts w:ascii="Calibri" w:hAnsi="Calibri"/>
        </w:rPr>
        <w:t>Documented: described in project documentation but not independently revalidated.</w:t>
      </w:r>
    </w:p>
    <w:p>
      <w:pPr>
        <w:keepLines/>
        <w:numPr>
          <w:ilvl w:val="0"/>
          <w:numId w:val="10"/>
        </w:numPr>
      </w:pPr>
      <w:r>
        <w:rPr>
          <w:rFonts w:ascii="Calibri" w:hAnsi="Calibri"/>
        </w:rPr>
        <w:t>Open: missing, incomplete, or requiring technical-team confirmation.</w:t>
      </w:r>
    </w:p>
    <w:p>
      <w:pPr>
        <w:spacing w:before="60" w:after="0"/>
      </w:pPr>
    </w:p>
    <w:p>
      <w:pPr>
        <w:pStyle w:val="Heading1"/>
      </w:pPr>
      <w:r>
        <w:t>2. System architecture and trust boundaries</w:t>
      </w:r>
    </w:p>
    <w:p>
      <w:r>
        <w:drawing>
          <wp:inline xmlns:a="http://schemas.openxmlformats.org/drawingml/2006/main" xmlns:pic="http://schemas.openxmlformats.org/drawingml/2006/picture">
            <wp:extent cx="5897880" cy="3317558"/>
            <wp:docPr id="1" name="Picture 1" descr="Architecture diagram showing field devices connecting to the hosted r2c-tracker pilot, which connects to identity services, program data stores, and external operational services. Media is designed to flow peer-to-peer or through TURN rather than being recorded by the tracker." title="RID2Caltopo program trust boundaries"/>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897880" cy="3317558"/>
                    </a:xfrm>
                    <a:prstGeom prst="rect"/>
                  </pic:spPr>
                </pic:pic>
              </a:graphicData>
            </a:graphic>
          </wp:inline>
        </w:drawing>
      </w:r>
    </w:p>
    <w:p>
      <w:pPr>
        <w:spacing w:before="60" w:after="160"/>
        <w:jc w:val="center"/>
      </w:pPr>
      <w:r>
        <w:rPr>
          <w:rFonts w:ascii="Calibri" w:hAnsi="Calibri"/>
          <w:i/>
          <w:color w:val="5D6875"/>
          <w:sz w:val="18"/>
        </w:rPr>
        <w:t>Figure 1. Current logical architecture and principal trust boundaries.</w:t>
      </w:r>
    </w:p>
    <w:p>
      <w:pPr>
        <w:pStyle w:val="Heading2"/>
      </w:pPr>
      <w:r>
        <w:t>Primary trust boundaries</w:t>
      </w:r>
    </w:p>
    <w:tbl>
      <w:tblPr>
        <w:tblStyle w:val="TableGrid"/>
        <w:jc w:val="left"/>
        <w:tblLook w:firstColumn="1" w:firstRow="1" w:lastColumn="0" w:lastRow="0" w:noHBand="0" w:noVBand="1" w:val="04A0"/>
        <w:tblW w:w="9360" w:type="dxa"/>
        <w:tblInd w:w="120" w:type="dxa"/>
        <w:tblLayout w:type="fixed"/>
      </w:tblPr>
      <w:tblGrid>
        <w:gridCol w:w="1900"/>
        <w:gridCol w:w="3300"/>
        <w:gridCol w:w="4160"/>
      </w:tblGrid>
      <w:tr>
        <w:trPr>
          <w:tblHeader w:val="true"/>
          <w:cantSplit w:val="true"/>
        </w:trPr>
        <w:tc>
          <w:tcPr>
            <w:tcW w:type="dxa" w:w="1900"/>
            <w:shd w:fill="F2F4F7"/>
            <w:tcMar>
              <w:top w:w="80" w:type="dxa"/>
              <w:start w:w="120" w:type="dxa"/>
              <w:bottom w:w="80" w:type="dxa"/>
              <w:end w:w="120" w:type="dxa"/>
            </w:tcMar>
            <w:vAlign w:val="center"/>
          </w:tcPr>
          <w:p>
            <w:pPr>
              <w:spacing w:before="20" w:after="20"/>
            </w:pPr>
            <w:r>
              <w:rPr>
                <w:rFonts w:ascii="Calibri" w:hAnsi="Calibri"/>
                <w:b/>
                <w:color w:val="17365D"/>
                <w:sz w:val="18"/>
              </w:rPr>
              <w:t>Boundary</w:t>
            </w:r>
          </w:p>
        </w:tc>
        <w:tc>
          <w:tcPr>
            <w:tcW w:type="dxa" w:w="3300"/>
            <w:shd w:fill="F2F4F7"/>
            <w:tcMar>
              <w:top w:w="80" w:type="dxa"/>
              <w:start w:w="120" w:type="dxa"/>
              <w:bottom w:w="80" w:type="dxa"/>
              <w:end w:w="120" w:type="dxa"/>
            </w:tcMar>
            <w:vAlign w:val="center"/>
          </w:tcPr>
          <w:p>
            <w:pPr>
              <w:spacing w:before="20" w:after="20"/>
            </w:pPr>
            <w:r>
              <w:rPr>
                <w:rFonts w:ascii="Calibri" w:hAnsi="Calibri"/>
                <w:b/>
                <w:color w:val="17365D"/>
                <w:sz w:val="18"/>
              </w:rPr>
              <w:t>Data crossing</w:t>
            </w:r>
          </w:p>
        </w:tc>
        <w:tc>
          <w:tcPr>
            <w:tcW w:type="dxa" w:w="4160"/>
            <w:shd w:fill="F2F4F7"/>
            <w:tcMar>
              <w:top w:w="80" w:type="dxa"/>
              <w:start w:w="120" w:type="dxa"/>
              <w:bottom w:w="80" w:type="dxa"/>
              <w:end w:w="120" w:type="dxa"/>
            </w:tcMar>
            <w:vAlign w:val="center"/>
          </w:tcPr>
          <w:p>
            <w:pPr>
              <w:spacing w:before="20" w:after="20"/>
            </w:pPr>
            <w:r>
              <w:rPr>
                <w:rFonts w:ascii="Calibri" w:hAnsi="Calibri"/>
                <w:b/>
                <w:color w:val="17365D"/>
                <w:sz w:val="18"/>
              </w:rPr>
              <w:t>Current control direction</w:t>
            </w:r>
          </w:p>
        </w:tc>
      </w:tr>
      <w:tr>
        <w:trPr>
          <w:cantSplit w:val="true"/>
        </w:trPr>
        <w:tc>
          <w:tcPr>
            <w:tcW w:type="dxa" w:w="1900"/>
            <w:tcMar>
              <w:top w:w="80" w:type="dxa"/>
              <w:start w:w="120" w:type="dxa"/>
              <w:bottom w:w="80" w:type="dxa"/>
              <w:end w:w="120" w:type="dxa"/>
            </w:tcMar>
            <w:vAlign w:val="center"/>
          </w:tcPr>
          <w:p>
            <w:pPr>
              <w:spacing w:before="0" w:after="0" w:line="252" w:lineRule="auto"/>
            </w:pPr>
            <w:r>
              <w:rPr>
                <w:rFonts w:ascii="Calibri" w:hAnsi="Calibri"/>
                <w:sz w:val="17"/>
              </w:rPr>
              <w:t>Field device ↔ tracker</w:t>
            </w:r>
          </w:p>
        </w:tc>
        <w:tc>
          <w:tcPr>
            <w:tcW w:type="dxa" w:w="3300"/>
            <w:tcMar>
              <w:top w:w="80" w:type="dxa"/>
              <w:start w:w="120" w:type="dxa"/>
              <w:bottom w:w="80" w:type="dxa"/>
              <w:end w:w="120" w:type="dxa"/>
            </w:tcMar>
            <w:vAlign w:val="center"/>
          </w:tcPr>
          <w:p>
            <w:pPr>
              <w:spacing w:before="0" w:after="0" w:line="252" w:lineRule="auto"/>
            </w:pPr>
            <w:r>
              <w:rPr>
                <w:rFonts w:ascii="Calibri" w:hAnsi="Calibri"/>
                <w:sz w:val="17"/>
              </w:rPr>
              <w:t>Device identity, operator/drone positions, coordination, flight uploads, FAA queries, signaling</w:t>
            </w:r>
          </w:p>
        </w:tc>
        <w:tc>
          <w:tcPr>
            <w:tcW w:type="dxa" w:w="4160"/>
            <w:tcMar>
              <w:top w:w="80" w:type="dxa"/>
              <w:start w:w="120" w:type="dxa"/>
              <w:bottom w:w="80" w:type="dxa"/>
              <w:end w:w="120" w:type="dxa"/>
            </w:tcMar>
            <w:vAlign w:val="center"/>
          </w:tcPr>
          <w:p>
            <w:pPr>
              <w:spacing w:before="0" w:after="0" w:line="252" w:lineRule="auto"/>
            </w:pPr>
            <w:r>
              <w:rPr>
                <w:rFonts w:ascii="Calibri" w:hAnsi="Calibri"/>
                <w:sz w:val="17"/>
              </w:rPr>
              <w:t>HTTPS/WebSocket plus application credential; per-device credentials are hash-stored and revocable.</w:t>
            </w:r>
          </w:p>
        </w:tc>
      </w:tr>
      <w:tr>
        <w:trPr>
          <w:cantSplit w:val="true"/>
        </w:trPr>
        <w:tc>
          <w:tcPr>
            <w:tcW w:type="dxa" w:w="1900"/>
            <w:tcMar>
              <w:top w:w="80" w:type="dxa"/>
              <w:start w:w="120" w:type="dxa"/>
              <w:bottom w:w="80" w:type="dxa"/>
              <w:end w:w="120" w:type="dxa"/>
            </w:tcMar>
            <w:vAlign w:val="center"/>
          </w:tcPr>
          <w:p>
            <w:pPr>
              <w:spacing w:before="0" w:after="0" w:line="252" w:lineRule="auto"/>
            </w:pPr>
            <w:r>
              <w:rPr>
                <w:rFonts w:ascii="Calibri" w:hAnsi="Calibri"/>
                <w:sz w:val="17"/>
              </w:rPr>
              <w:t>Browser ↔ organization administration</w:t>
            </w:r>
          </w:p>
        </w:tc>
        <w:tc>
          <w:tcPr>
            <w:tcW w:type="dxa" w:w="3300"/>
            <w:tcMar>
              <w:top w:w="80" w:type="dxa"/>
              <w:start w:w="120" w:type="dxa"/>
              <w:bottom w:w="80" w:type="dxa"/>
              <w:end w:w="120" w:type="dxa"/>
            </w:tcMar>
            <w:vAlign w:val="center"/>
          </w:tcPr>
          <w:p>
            <w:pPr>
              <w:spacing w:before="0" w:after="0" w:line="252" w:lineRule="auto"/>
            </w:pPr>
            <w:r>
              <w:rPr>
                <w:rFonts w:ascii="Calibri" w:hAnsi="Calibri"/>
                <w:sz w:val="17"/>
              </w:rPr>
              <w:t>Member identity, roles, records, exports, video requests</w:t>
            </w:r>
          </w:p>
        </w:tc>
        <w:tc>
          <w:tcPr>
            <w:tcW w:type="dxa" w:w="4160"/>
            <w:tcMar>
              <w:top w:w="80" w:type="dxa"/>
              <w:start w:w="120" w:type="dxa"/>
              <w:bottom w:w="80" w:type="dxa"/>
              <w:end w:w="120" w:type="dxa"/>
            </w:tcMar>
            <w:vAlign w:val="center"/>
          </w:tcPr>
          <w:p>
            <w:pPr>
              <w:spacing w:before="0" w:after="0" w:line="252" w:lineRule="auto"/>
            </w:pPr>
            <w:r>
              <w:rPr>
                <w:rFonts w:ascii="Calibri" w:hAnsi="Calibri"/>
                <w:sz w:val="17"/>
              </w:rPr>
              <w:t>Session cookie, CSRF, role checks, no-store administrative responses, restrictive page CSP.</w:t>
            </w:r>
          </w:p>
        </w:tc>
      </w:tr>
      <w:tr>
        <w:trPr>
          <w:cantSplit w:val="true"/>
        </w:trPr>
        <w:tc>
          <w:tcPr>
            <w:tcW w:type="dxa" w:w="1900"/>
            <w:tcMar>
              <w:top w:w="80" w:type="dxa"/>
              <w:start w:w="120" w:type="dxa"/>
              <w:bottom w:w="80" w:type="dxa"/>
              <w:end w:w="120" w:type="dxa"/>
            </w:tcMar>
            <w:vAlign w:val="center"/>
          </w:tcPr>
          <w:p>
            <w:pPr>
              <w:spacing w:before="0" w:after="0" w:line="252" w:lineRule="auto"/>
            </w:pPr>
            <w:r>
              <w:rPr>
                <w:rFonts w:ascii="Calibri" w:hAnsi="Calibri"/>
                <w:sz w:val="17"/>
              </w:rPr>
              <w:t>Platform admin ↔ control plane</w:t>
            </w:r>
          </w:p>
        </w:tc>
        <w:tc>
          <w:tcPr>
            <w:tcW w:type="dxa" w:w="3300"/>
            <w:tcMar>
              <w:top w:w="80" w:type="dxa"/>
              <w:start w:w="120" w:type="dxa"/>
              <w:bottom w:w="80" w:type="dxa"/>
              <w:end w:w="120" w:type="dxa"/>
            </w:tcMar>
            <w:vAlign w:val="center"/>
          </w:tcPr>
          <w:p>
            <w:pPr>
              <w:spacing w:before="0" w:after="0" w:line="252" w:lineRule="auto"/>
            </w:pPr>
            <w:r>
              <w:rPr>
                <w:rFonts w:ascii="Calibri" w:hAnsi="Calibri"/>
                <w:sz w:val="17"/>
              </w:rPr>
              <w:t>Organization lifecycle, contacts, billing metadata, provisioning, audit</w:t>
            </w:r>
          </w:p>
        </w:tc>
        <w:tc>
          <w:tcPr>
            <w:tcW w:type="dxa" w:w="4160"/>
            <w:tcMar>
              <w:top w:w="80" w:type="dxa"/>
              <w:start w:w="120" w:type="dxa"/>
              <w:bottom w:w="80" w:type="dxa"/>
              <w:end w:w="120" w:type="dxa"/>
            </w:tcMar>
            <w:vAlign w:val="center"/>
          </w:tcPr>
          <w:p>
            <w:pPr>
              <w:spacing w:before="0" w:after="0" w:line="252" w:lineRule="auto"/>
            </w:pPr>
            <w:r>
              <w:rPr>
                <w:rFonts w:ascii="Calibri" w:hAnsi="Calibri"/>
                <w:sz w:val="17"/>
              </w:rPr>
              <w:t>Separate super-admin identity; design excludes tenant flight content from platform-admin routes.</w:t>
            </w:r>
          </w:p>
        </w:tc>
      </w:tr>
      <w:tr>
        <w:trPr>
          <w:cantSplit w:val="true"/>
        </w:trPr>
        <w:tc>
          <w:tcPr>
            <w:tcW w:type="dxa" w:w="1900"/>
            <w:tcMar>
              <w:top w:w="80" w:type="dxa"/>
              <w:start w:w="120" w:type="dxa"/>
              <w:bottom w:w="80" w:type="dxa"/>
              <w:end w:w="120" w:type="dxa"/>
            </w:tcMar>
            <w:vAlign w:val="center"/>
          </w:tcPr>
          <w:p>
            <w:pPr>
              <w:spacing w:before="0" w:after="0" w:line="252" w:lineRule="auto"/>
            </w:pPr>
            <w:r>
              <w:rPr>
                <w:rFonts w:ascii="Calibri" w:hAnsi="Calibri"/>
                <w:sz w:val="17"/>
              </w:rPr>
              <w:t>Application ↔ data stores</w:t>
            </w:r>
          </w:p>
        </w:tc>
        <w:tc>
          <w:tcPr>
            <w:tcW w:type="dxa" w:w="3300"/>
            <w:tcMar>
              <w:top w:w="80" w:type="dxa"/>
              <w:start w:w="120" w:type="dxa"/>
              <w:bottom w:w="80" w:type="dxa"/>
              <w:end w:w="120" w:type="dxa"/>
            </w:tcMar>
            <w:vAlign w:val="center"/>
          </w:tcPr>
          <w:p>
            <w:pPr>
              <w:spacing w:before="0" w:after="0" w:line="252" w:lineRule="auto"/>
            </w:pPr>
            <w:r>
              <w:rPr>
                <w:rFonts w:ascii="Calibri" w:hAnsi="Calibri"/>
                <w:sz w:val="17"/>
              </w:rPr>
              <w:t>Tracker records, organization metadata, logs, audit state</w:t>
            </w:r>
          </w:p>
        </w:tc>
        <w:tc>
          <w:tcPr>
            <w:tcW w:type="dxa" w:w="4160"/>
            <w:tcMar>
              <w:top w:w="80" w:type="dxa"/>
              <w:start w:w="120" w:type="dxa"/>
              <w:bottom w:w="80" w:type="dxa"/>
              <w:end w:w="120" w:type="dxa"/>
            </w:tcMar>
            <w:vAlign w:val="center"/>
          </w:tcPr>
          <w:p>
            <w:pPr>
              <w:spacing w:before="0" w:after="0" w:line="252" w:lineRule="auto"/>
            </w:pPr>
            <w:r>
              <w:rPr>
                <w:rFonts w:ascii="Calibri" w:hAnsi="Calibri"/>
                <w:sz w:val="17"/>
              </w:rPr>
              <w:t>Separate tracker/control-plane databases; private VM network path; organization namespacing in shared storage.</w:t>
            </w:r>
          </w:p>
        </w:tc>
      </w:tr>
      <w:tr>
        <w:trPr>
          <w:cantSplit w:val="true"/>
        </w:trPr>
        <w:tc>
          <w:tcPr>
            <w:tcW w:type="dxa" w:w="1900"/>
            <w:tcMar>
              <w:top w:w="80" w:type="dxa"/>
              <w:start w:w="120" w:type="dxa"/>
              <w:bottom w:w="80" w:type="dxa"/>
              <w:end w:w="120" w:type="dxa"/>
            </w:tcMar>
            <w:vAlign w:val="center"/>
          </w:tcPr>
          <w:p>
            <w:pPr>
              <w:spacing w:before="0" w:after="0" w:line="252" w:lineRule="auto"/>
            </w:pPr>
            <w:r>
              <w:rPr>
                <w:rFonts w:ascii="Calibri" w:hAnsi="Calibri"/>
                <w:sz w:val="17"/>
              </w:rPr>
              <w:t>Program ↔ third parties</w:t>
            </w:r>
          </w:p>
        </w:tc>
        <w:tc>
          <w:tcPr>
            <w:tcW w:type="dxa" w:w="3300"/>
            <w:tcMar>
              <w:top w:w="80" w:type="dxa"/>
              <w:start w:w="120" w:type="dxa"/>
              <w:bottom w:w="80" w:type="dxa"/>
              <w:end w:w="120" w:type="dxa"/>
            </w:tcMar>
            <w:vAlign w:val="center"/>
          </w:tcPr>
          <w:p>
            <w:pPr>
              <w:spacing w:before="0" w:after="0" w:line="252" w:lineRule="auto"/>
            </w:pPr>
            <w:r>
              <w:rPr>
                <w:rFonts w:ascii="Calibri" w:hAnsi="Calibri"/>
                <w:sz w:val="17"/>
              </w:rPr>
              <w:t>OAuth identity, email, FAA query, maps, CalTopo data, STUN/TURN</w:t>
            </w:r>
          </w:p>
        </w:tc>
        <w:tc>
          <w:tcPr>
            <w:tcW w:type="dxa" w:w="4160"/>
            <w:tcMar>
              <w:top w:w="80" w:type="dxa"/>
              <w:start w:w="120" w:type="dxa"/>
              <w:bottom w:w="80" w:type="dxa"/>
              <w:end w:w="120" w:type="dxa"/>
            </w:tcMar>
            <w:vAlign w:val="center"/>
          </w:tcPr>
          <w:p>
            <w:pPr>
              <w:spacing w:before="0" w:after="0" w:line="252" w:lineRule="auto"/>
            </w:pPr>
            <w:r>
              <w:rPr>
                <w:rFonts w:ascii="Calibri" w:hAnsi="Calibri"/>
                <w:sz w:val="17"/>
              </w:rPr>
              <w:t>Scoped integration and server-side secrets, but availability and external terms remain outside program control.</w:t>
            </w:r>
          </w:p>
        </w:tc>
      </w:tr>
    </w:tbl>
    <w:p>
      <w:pPr>
        <w:spacing w:after="20"/>
      </w:pPr>
    </w:p>
    <w:p>
      <w:pPr>
        <w:pStyle w:val="Heading2"/>
      </w:pPr>
      <w:r>
        <w:t>Deployment model observed in source and live configuration</w:t>
      </w:r>
    </w:p>
    <w:p>
      <w:pPr>
        <w:keepLines/>
        <w:numPr>
          <w:ilvl w:val="0"/>
          <w:numId w:val="10"/>
        </w:numPr>
      </w:pPr>
      <w:r>
        <w:rPr>
          <w:rFonts w:ascii="Calibri" w:hAnsi="Calibri"/>
        </w:rPr>
        <w:t>Cloud Run revision r2c-tracker-pilot-00088-26q served 100% of traffic from an image digest, using a dedicated runtime service account, one-instance application limit, 1 GiB memory, and Direct VPC egress.</w:t>
      </w:r>
    </w:p>
    <w:p>
      <w:pPr>
        <w:keepLines/>
        <w:numPr>
          <w:ilvl w:val="0"/>
          <w:numId w:val="10"/>
        </w:numPr>
      </w:pPr>
      <w:r>
        <w:rPr>
          <w:rFonts w:ascii="Calibri" w:hAnsi="Calibri"/>
        </w:rPr>
        <w:t>Cloud Run accepts public HTTPS transport and all ingress so mobile clients can connect; security therefore depends on application authentication and authorization, not network perimeter alone.</w:t>
      </w:r>
    </w:p>
    <w:p>
      <w:pPr>
        <w:keepLines/>
        <w:numPr>
          <w:ilvl w:val="0"/>
          <w:numId w:val="10"/>
        </w:numPr>
      </w:pPr>
      <w:r>
        <w:rPr>
          <w:rFonts w:ascii="Calibri" w:hAnsi="Calibri"/>
        </w:rPr>
        <w:t>Separate tracker and control-plane PostgreSQL URLs are injected from Secret Manager and currently point through VPC peering to a Compute Engine database VM; no Cloud SQL instance was present in the application project.</w:t>
      </w:r>
    </w:p>
    <w:p>
      <w:pPr>
        <w:keepLines/>
        <w:numPr>
          <w:ilvl w:val="0"/>
          <w:numId w:val="10"/>
        </w:numPr>
      </w:pPr>
      <w:r>
        <w:rPr>
          <w:rFonts w:ascii="Calibri" w:hAnsi="Calibri"/>
        </w:rPr>
        <w:t>The flight-log bucket enforced public-access prevention and uniform bucket-level access, granted the runtime objectUser, and retained deleted objects for seven days; object versioning was not shown in the live description.</w:t>
      </w:r>
    </w:p>
    <w:p>
      <w:pPr>
        <w:keepLines/>
        <w:numPr>
          <w:ilvl w:val="0"/>
          <w:numId w:val="10"/>
        </w:numPr>
      </w:pPr>
      <w:r>
        <w:rPr>
          <w:rFonts w:ascii="Calibri" w:hAnsi="Calibri"/>
        </w:rPr>
        <w:t>Application keys and third-party credentials are Secret Manager references; the runtime held per-secret accessor bindings and project-level Cloud SQL client, although Cloud SQL was not currently attached.</w:t>
      </w:r>
    </w:p>
    <w:p>
      <w:pPr>
        <w:keepLines/>
        <w:numPr>
          <w:ilvl w:val="0"/>
          <w:numId w:val="10"/>
        </w:numPr>
      </w:pPr>
      <w:r>
        <w:rPr>
          <w:rFonts w:ascii="Calibri" w:hAnsi="Calibri"/>
        </w:rPr>
        <w:t>The database VM's PostgreSQL rule continues to allow TCP 5433 only from the Cloud Run subnet, and public probes to PostgreSQL did not connect. Live remediation enabled deletion protection, removed the unused HTTP/HTTPS tags, created a logged public-RDP deny, and added an IAP SSH firewall/IAM path. The VM still has a public IP and public SSH while guest key/OS Login handling awaits a brief controlled restart; Secure Boot, snapshot/restore evidence, and tested monitoring also remain open.</w:t>
      </w:r>
    </w:p>
    <w:p>
      <w:pPr>
        <w:spacing w:before="60" w:after="0"/>
      </w:pPr>
    </w:p>
    <w:p>
      <w:pPr>
        <w:pStyle w:val="Heading1"/>
      </w:pPr>
      <w:r>
        <w:t>3. Data inventory and privacy significance</w:t>
      </w:r>
    </w:p>
    <w:p>
      <w:pPr>
        <w:keepLines w:val="0"/>
      </w:pPr>
      <w:r>
        <w:rPr>
          <w:rFonts w:ascii="Calibri" w:hAnsi="Calibri"/>
          <w:i w:val="0"/>
          <w:color w:val="20262E"/>
        </w:rPr>
        <w:t>The program processes data that may reveal an incident location, agency activity, aircraft identity, personnel identity, or operational tactics. Even when it is not legally regulated personal information, it should be treated as sensitive public-safety operational data.</w:t>
      </w:r>
    </w:p>
    <w:tbl>
      <w:tblPr>
        <w:tblStyle w:val="TableGrid"/>
        <w:jc w:val="left"/>
        <w:tblLook w:firstColumn="1" w:firstRow="1" w:lastColumn="0" w:lastRow="0" w:noHBand="0" w:noVBand="1" w:val="04A0"/>
        <w:tblW w:w="9360" w:type="dxa"/>
        <w:tblInd w:w="120" w:type="dxa"/>
        <w:tblLayout w:type="fixed"/>
      </w:tblPr>
      <w:tblGrid>
        <w:gridCol w:w="1600"/>
        <w:gridCol w:w="2650"/>
        <w:gridCol w:w="2500"/>
        <w:gridCol w:w="2610"/>
      </w:tblGrid>
      <w:tr>
        <w:trPr>
          <w:tblHeader w:val="true"/>
          <w:cantSplit w:val="true"/>
        </w:trPr>
        <w:tc>
          <w:tcPr>
            <w:tcW w:type="dxa" w:w="1600"/>
            <w:shd w:fill="F2F4F7"/>
            <w:tcMar>
              <w:top w:w="80" w:type="dxa"/>
              <w:start w:w="120" w:type="dxa"/>
              <w:bottom w:w="80" w:type="dxa"/>
              <w:end w:w="120" w:type="dxa"/>
            </w:tcMar>
            <w:vAlign w:val="center"/>
          </w:tcPr>
          <w:p>
            <w:pPr>
              <w:spacing w:before="20" w:after="20"/>
            </w:pPr>
            <w:r>
              <w:rPr>
                <w:rFonts w:ascii="Calibri" w:hAnsi="Calibri"/>
                <w:b/>
                <w:color w:val="17365D"/>
                <w:sz w:val="18"/>
              </w:rPr>
              <w:t>Data class</w:t>
            </w:r>
          </w:p>
        </w:tc>
        <w:tc>
          <w:tcPr>
            <w:tcW w:type="dxa" w:w="2650"/>
            <w:shd w:fill="F2F4F7"/>
            <w:tcMar>
              <w:top w:w="80" w:type="dxa"/>
              <w:start w:w="120" w:type="dxa"/>
              <w:bottom w:w="80" w:type="dxa"/>
              <w:end w:w="120" w:type="dxa"/>
            </w:tcMar>
            <w:vAlign w:val="center"/>
          </w:tcPr>
          <w:p>
            <w:pPr>
              <w:spacing w:before="20" w:after="20"/>
            </w:pPr>
            <w:r>
              <w:rPr>
                <w:rFonts w:ascii="Calibri" w:hAnsi="Calibri"/>
                <w:b/>
                <w:color w:val="17365D"/>
                <w:sz w:val="18"/>
              </w:rPr>
              <w:t>Examples</w:t>
            </w:r>
          </w:p>
        </w:tc>
        <w:tc>
          <w:tcPr>
            <w:tcW w:type="dxa" w:w="2500"/>
            <w:shd w:fill="F2F4F7"/>
            <w:tcMar>
              <w:top w:w="80" w:type="dxa"/>
              <w:start w:w="120" w:type="dxa"/>
              <w:bottom w:w="80" w:type="dxa"/>
              <w:end w:w="120" w:type="dxa"/>
            </w:tcMar>
            <w:vAlign w:val="center"/>
          </w:tcPr>
          <w:p>
            <w:pPr>
              <w:spacing w:before="20" w:after="20"/>
            </w:pPr>
            <w:r>
              <w:rPr>
                <w:rFonts w:ascii="Calibri" w:hAnsi="Calibri"/>
                <w:b/>
                <w:color w:val="17365D"/>
                <w:sz w:val="18"/>
              </w:rPr>
              <w:t>Where handled</w:t>
            </w:r>
          </w:p>
        </w:tc>
        <w:tc>
          <w:tcPr>
            <w:tcW w:type="dxa" w:w="2610"/>
            <w:shd w:fill="F2F4F7"/>
            <w:tcMar>
              <w:top w:w="80" w:type="dxa"/>
              <w:start w:w="120" w:type="dxa"/>
              <w:bottom w:w="80" w:type="dxa"/>
              <w:end w:w="120" w:type="dxa"/>
            </w:tcMar>
            <w:vAlign w:val="center"/>
          </w:tcPr>
          <w:p>
            <w:pPr>
              <w:spacing w:before="20" w:after="20"/>
            </w:pPr>
            <w:r>
              <w:rPr>
                <w:rFonts w:ascii="Calibri" w:hAnsi="Calibri"/>
                <w:b/>
                <w:color w:val="17365D"/>
                <w:sz w:val="18"/>
              </w:rPr>
              <w:t>Recommended classification</w:t>
            </w:r>
          </w:p>
        </w:tc>
      </w:tr>
      <w:tr>
        <w:trPr>
          <w:cantSplit w:val="true"/>
        </w:trPr>
        <w:tc>
          <w:tcPr>
            <w:tcW w:type="dxa" w:w="1600"/>
            <w:tcMar>
              <w:top w:w="80" w:type="dxa"/>
              <w:start w:w="120" w:type="dxa"/>
              <w:bottom w:w="80" w:type="dxa"/>
              <w:end w:w="120" w:type="dxa"/>
            </w:tcMar>
            <w:vAlign w:val="center"/>
          </w:tcPr>
          <w:p>
            <w:pPr>
              <w:spacing w:before="0" w:after="0" w:line="252" w:lineRule="auto"/>
            </w:pPr>
            <w:r>
              <w:rPr>
                <w:rFonts w:ascii="Calibri" w:hAnsi="Calibri"/>
                <w:sz w:val="17"/>
              </w:rPr>
              <w:t>Operational location</w:t>
            </w:r>
          </w:p>
        </w:tc>
        <w:tc>
          <w:tcPr>
            <w:tcW w:type="dxa" w:w="2650"/>
            <w:tcMar>
              <w:top w:w="80" w:type="dxa"/>
              <w:start w:w="120" w:type="dxa"/>
              <w:bottom w:w="80" w:type="dxa"/>
              <w:end w:w="120" w:type="dxa"/>
            </w:tcMar>
            <w:vAlign w:val="center"/>
          </w:tcPr>
          <w:p>
            <w:pPr>
              <w:spacing w:before="0" w:after="0" w:line="252" w:lineRule="auto"/>
            </w:pPr>
            <w:r>
              <w:rPr>
                <w:rFonts w:ascii="Calibri" w:hAnsi="Calibri"/>
                <w:sz w:val="17"/>
              </w:rPr>
              <w:t>Operator coordinates, aircraft tracks, incident/map identifiers</w:t>
            </w:r>
          </w:p>
        </w:tc>
        <w:tc>
          <w:tcPr>
            <w:tcW w:type="dxa" w:w="2500"/>
            <w:tcMar>
              <w:top w:w="80" w:type="dxa"/>
              <w:start w:w="120" w:type="dxa"/>
              <w:bottom w:w="80" w:type="dxa"/>
              <w:end w:w="120" w:type="dxa"/>
            </w:tcMar>
            <w:vAlign w:val="center"/>
          </w:tcPr>
          <w:p>
            <w:pPr>
              <w:spacing w:before="0" w:after="0" w:line="252" w:lineRule="auto"/>
            </w:pPr>
            <w:r>
              <w:rPr>
                <w:rFonts w:ascii="Calibri" w:hAnsi="Calibri"/>
                <w:sz w:val="17"/>
              </w:rPr>
              <w:t>Mobile apps, tracker, archives, CalTopo/FAA queries</w:t>
            </w:r>
          </w:p>
        </w:tc>
        <w:tc>
          <w:tcPr>
            <w:tcW w:type="dxa" w:w="2610"/>
            <w:tcMar>
              <w:top w:w="80" w:type="dxa"/>
              <w:start w:w="120" w:type="dxa"/>
              <w:bottom w:w="80" w:type="dxa"/>
              <w:end w:w="120" w:type="dxa"/>
            </w:tcMar>
            <w:vAlign w:val="center"/>
          </w:tcPr>
          <w:p>
            <w:pPr>
              <w:spacing w:before="0" w:after="0" w:line="252" w:lineRule="auto"/>
            </w:pPr>
            <w:r>
              <w:rPr>
                <w:rFonts w:ascii="Calibri" w:hAnsi="Calibri"/>
                <w:sz w:val="17"/>
              </w:rPr>
              <w:t>Restricted operational</w:t>
            </w:r>
          </w:p>
        </w:tc>
      </w:tr>
      <w:tr>
        <w:trPr>
          <w:cantSplit w:val="true"/>
        </w:trPr>
        <w:tc>
          <w:tcPr>
            <w:tcW w:type="dxa" w:w="1600"/>
            <w:tcMar>
              <w:top w:w="80" w:type="dxa"/>
              <w:start w:w="120" w:type="dxa"/>
              <w:bottom w:w="80" w:type="dxa"/>
              <w:end w:w="120" w:type="dxa"/>
            </w:tcMar>
            <w:vAlign w:val="center"/>
          </w:tcPr>
          <w:p>
            <w:pPr>
              <w:spacing w:before="0" w:after="0" w:line="252" w:lineRule="auto"/>
            </w:pPr>
            <w:r>
              <w:rPr>
                <w:rFonts w:ascii="Calibri" w:hAnsi="Calibri"/>
                <w:sz w:val="17"/>
              </w:rPr>
              <w:t>Organization identity</w:t>
            </w:r>
          </w:p>
        </w:tc>
        <w:tc>
          <w:tcPr>
            <w:tcW w:type="dxa" w:w="2650"/>
            <w:tcMar>
              <w:top w:w="80" w:type="dxa"/>
              <w:start w:w="120" w:type="dxa"/>
              <w:bottom w:w="80" w:type="dxa"/>
              <w:end w:w="120" w:type="dxa"/>
            </w:tcMar>
            <w:vAlign w:val="center"/>
          </w:tcPr>
          <w:p>
            <w:pPr>
              <w:spacing w:before="0" w:after="0" w:line="252" w:lineRule="auto"/>
            </w:pPr>
            <w:r>
              <w:rPr>
                <w:rFonts w:ascii="Calibri" w:hAnsi="Calibri"/>
                <w:sz w:val="17"/>
              </w:rPr>
              <w:t>Agency, designator, administrators, member emails and roles</w:t>
            </w:r>
          </w:p>
        </w:tc>
        <w:tc>
          <w:tcPr>
            <w:tcW w:type="dxa" w:w="2500"/>
            <w:tcMar>
              <w:top w:w="80" w:type="dxa"/>
              <w:start w:w="120" w:type="dxa"/>
              <w:bottom w:w="80" w:type="dxa"/>
              <w:end w:w="120" w:type="dxa"/>
            </w:tcMar>
            <w:vAlign w:val="center"/>
          </w:tcPr>
          <w:p>
            <w:pPr>
              <w:spacing w:before="0" w:after="0" w:line="252" w:lineRule="auto"/>
            </w:pPr>
            <w:r>
              <w:rPr>
                <w:rFonts w:ascii="Calibri" w:hAnsi="Calibri"/>
                <w:sz w:val="17"/>
              </w:rPr>
              <w:t>Control plane, browser sessions, email</w:t>
            </w:r>
          </w:p>
        </w:tc>
        <w:tc>
          <w:tcPr>
            <w:tcW w:type="dxa" w:w="2610"/>
            <w:tcMar>
              <w:top w:w="80" w:type="dxa"/>
              <w:start w:w="120" w:type="dxa"/>
              <w:bottom w:w="80" w:type="dxa"/>
              <w:end w:w="120" w:type="dxa"/>
            </w:tcMar>
            <w:vAlign w:val="center"/>
          </w:tcPr>
          <w:p>
            <w:pPr>
              <w:spacing w:before="0" w:after="0" w:line="252" w:lineRule="auto"/>
            </w:pPr>
            <w:r>
              <w:rPr>
                <w:rFonts w:ascii="Calibri" w:hAnsi="Calibri"/>
                <w:sz w:val="17"/>
              </w:rPr>
              <w:t>Confidential</w:t>
            </w:r>
          </w:p>
        </w:tc>
      </w:tr>
      <w:tr>
        <w:trPr>
          <w:cantSplit w:val="true"/>
        </w:trPr>
        <w:tc>
          <w:tcPr>
            <w:tcW w:type="dxa" w:w="1600"/>
            <w:tcMar>
              <w:top w:w="80" w:type="dxa"/>
              <w:start w:w="120" w:type="dxa"/>
              <w:bottom w:w="80" w:type="dxa"/>
              <w:end w:w="120" w:type="dxa"/>
            </w:tcMar>
            <w:vAlign w:val="center"/>
          </w:tcPr>
          <w:p>
            <w:pPr>
              <w:spacing w:before="0" w:after="0" w:line="252" w:lineRule="auto"/>
            </w:pPr>
            <w:r>
              <w:rPr>
                <w:rFonts w:ascii="Calibri" w:hAnsi="Calibri"/>
                <w:sz w:val="17"/>
              </w:rPr>
              <w:t>Credentials and capabilities</w:t>
            </w:r>
          </w:p>
        </w:tc>
        <w:tc>
          <w:tcPr>
            <w:tcW w:type="dxa" w:w="2650"/>
            <w:tcMar>
              <w:top w:w="80" w:type="dxa"/>
              <w:start w:w="120" w:type="dxa"/>
              <w:bottom w:w="80" w:type="dxa"/>
              <w:end w:w="120" w:type="dxa"/>
            </w:tcMar>
            <w:vAlign w:val="center"/>
          </w:tcPr>
          <w:p>
            <w:pPr>
              <w:spacing w:before="0" w:after="0" w:line="252" w:lineRule="auto"/>
            </w:pPr>
            <w:r>
              <w:rPr>
                <w:rFonts w:ascii="Calibri" w:hAnsi="Calibri"/>
                <w:sz w:val="17"/>
              </w:rPr>
              <w:t>Device token, CalTopo secret, session/signing keys, OAuth and FAA secrets</w:t>
            </w:r>
          </w:p>
        </w:tc>
        <w:tc>
          <w:tcPr>
            <w:tcW w:type="dxa" w:w="2500"/>
            <w:tcMar>
              <w:top w:w="80" w:type="dxa"/>
              <w:start w:w="120" w:type="dxa"/>
              <w:bottom w:w="80" w:type="dxa"/>
              <w:end w:w="120" w:type="dxa"/>
            </w:tcMar>
            <w:vAlign w:val="center"/>
          </w:tcPr>
          <w:p>
            <w:pPr>
              <w:spacing w:before="0" w:after="0" w:line="252" w:lineRule="auto"/>
            </w:pPr>
            <w:r>
              <w:rPr>
                <w:rFonts w:ascii="Calibri" w:hAnsi="Calibri"/>
                <w:sz w:val="17"/>
              </w:rPr>
              <w:t>Keychain/app storage, Secret Manager, server memory</w:t>
            </w:r>
          </w:p>
        </w:tc>
        <w:tc>
          <w:tcPr>
            <w:tcW w:type="dxa" w:w="2610"/>
            <w:tcMar>
              <w:top w:w="80" w:type="dxa"/>
              <w:start w:w="120" w:type="dxa"/>
              <w:bottom w:w="80" w:type="dxa"/>
              <w:end w:w="120" w:type="dxa"/>
            </w:tcMar>
            <w:vAlign w:val="center"/>
          </w:tcPr>
          <w:p>
            <w:pPr>
              <w:spacing w:before="0" w:after="0" w:line="252" w:lineRule="auto"/>
            </w:pPr>
            <w:r>
              <w:rPr>
                <w:rFonts w:ascii="Calibri" w:hAnsi="Calibri"/>
                <w:sz w:val="17"/>
              </w:rPr>
              <w:t>Secret</w:t>
            </w:r>
          </w:p>
        </w:tc>
      </w:tr>
      <w:tr>
        <w:trPr>
          <w:cantSplit w:val="true"/>
        </w:trPr>
        <w:tc>
          <w:tcPr>
            <w:tcW w:type="dxa" w:w="1600"/>
            <w:tcMar>
              <w:top w:w="80" w:type="dxa"/>
              <w:start w:w="120" w:type="dxa"/>
              <w:bottom w:w="80" w:type="dxa"/>
              <w:end w:w="120" w:type="dxa"/>
            </w:tcMar>
            <w:vAlign w:val="center"/>
          </w:tcPr>
          <w:p>
            <w:pPr>
              <w:spacing w:before="0" w:after="0" w:line="252" w:lineRule="auto"/>
            </w:pPr>
            <w:r>
              <w:rPr>
                <w:rFonts w:ascii="Calibri" w:hAnsi="Calibri"/>
                <w:sz w:val="17"/>
              </w:rPr>
              <w:t>Flight records</w:t>
            </w:r>
          </w:p>
        </w:tc>
        <w:tc>
          <w:tcPr>
            <w:tcW w:type="dxa" w:w="2650"/>
            <w:tcMar>
              <w:top w:w="80" w:type="dxa"/>
              <w:start w:w="120" w:type="dxa"/>
              <w:bottom w:w="80" w:type="dxa"/>
              <w:end w:w="120" w:type="dxa"/>
            </w:tcMar>
            <w:vAlign w:val="center"/>
          </w:tcPr>
          <w:p>
            <w:pPr>
              <w:spacing w:before="0" w:after="0" w:line="252" w:lineRule="auto"/>
            </w:pPr>
            <w:r>
              <w:rPr>
                <w:rFonts w:ascii="Calibri" w:hAnsi="Calibri"/>
                <w:sz w:val="17"/>
              </w:rPr>
              <w:t>GeoJSON logs, timestamps, weather, map/incident metadata</w:t>
            </w:r>
          </w:p>
        </w:tc>
        <w:tc>
          <w:tcPr>
            <w:tcW w:type="dxa" w:w="2500"/>
            <w:tcMar>
              <w:top w:w="80" w:type="dxa"/>
              <w:start w:w="120" w:type="dxa"/>
              <w:bottom w:w="80" w:type="dxa"/>
              <w:end w:w="120" w:type="dxa"/>
            </w:tcMar>
            <w:vAlign w:val="center"/>
          </w:tcPr>
          <w:p>
            <w:pPr>
              <w:spacing w:before="0" w:after="0" w:line="252" w:lineRule="auto"/>
            </w:pPr>
            <w:r>
              <w:rPr>
                <w:rFonts w:ascii="Calibri" w:hAnsi="Calibri"/>
                <w:sz w:val="17"/>
              </w:rPr>
              <w:t>Mobile local storage, PostgreSQL, Cloud Storage</w:t>
            </w:r>
          </w:p>
        </w:tc>
        <w:tc>
          <w:tcPr>
            <w:tcW w:type="dxa" w:w="2610"/>
            <w:tcMar>
              <w:top w:w="80" w:type="dxa"/>
              <w:start w:w="120" w:type="dxa"/>
              <w:bottom w:w="80" w:type="dxa"/>
              <w:end w:w="120" w:type="dxa"/>
            </w:tcMar>
            <w:vAlign w:val="center"/>
          </w:tcPr>
          <w:p>
            <w:pPr>
              <w:spacing w:before="0" w:after="0" w:line="252" w:lineRule="auto"/>
            </w:pPr>
            <w:r>
              <w:rPr>
                <w:rFonts w:ascii="Calibri" w:hAnsi="Calibri"/>
                <w:sz w:val="17"/>
              </w:rPr>
              <w:t>Restricted operational</w:t>
            </w:r>
          </w:p>
        </w:tc>
      </w:tr>
      <w:tr>
        <w:trPr>
          <w:cantSplit w:val="true"/>
        </w:trPr>
        <w:tc>
          <w:tcPr>
            <w:tcW w:type="dxa" w:w="1600"/>
            <w:tcMar>
              <w:top w:w="80" w:type="dxa"/>
              <w:start w:w="120" w:type="dxa"/>
              <w:bottom w:w="80" w:type="dxa"/>
              <w:end w:w="120" w:type="dxa"/>
            </w:tcMar>
            <w:vAlign w:val="center"/>
          </w:tcPr>
          <w:p>
            <w:pPr>
              <w:spacing w:before="0" w:after="0" w:line="252" w:lineRule="auto"/>
            </w:pPr>
            <w:r>
              <w:rPr>
                <w:rFonts w:ascii="Calibri" w:hAnsi="Calibri"/>
                <w:sz w:val="17"/>
              </w:rPr>
              <w:t>Diagnostics</w:t>
            </w:r>
          </w:p>
        </w:tc>
        <w:tc>
          <w:tcPr>
            <w:tcW w:type="dxa" w:w="2650"/>
            <w:tcMar>
              <w:top w:w="80" w:type="dxa"/>
              <w:start w:w="120" w:type="dxa"/>
              <w:bottom w:w="80" w:type="dxa"/>
              <w:end w:w="120" w:type="dxa"/>
            </w:tcMar>
            <w:vAlign w:val="center"/>
          </w:tcPr>
          <w:p>
            <w:pPr>
              <w:spacing w:before="0" w:after="0" w:line="252" w:lineRule="auto"/>
            </w:pPr>
            <w:r>
              <w:rPr>
                <w:rFonts w:ascii="Calibri" w:hAnsi="Calibri"/>
                <w:sz w:val="17"/>
              </w:rPr>
              <w:t>Remote IDs, positions, network addresses, device/OS status</w:t>
            </w:r>
          </w:p>
        </w:tc>
        <w:tc>
          <w:tcPr>
            <w:tcW w:type="dxa" w:w="2500"/>
            <w:tcMar>
              <w:top w:w="80" w:type="dxa"/>
              <w:start w:w="120" w:type="dxa"/>
              <w:bottom w:w="80" w:type="dxa"/>
              <w:end w:w="120" w:type="dxa"/>
            </w:tcMar>
            <w:vAlign w:val="center"/>
          </w:tcPr>
          <w:p>
            <w:pPr>
              <w:spacing w:before="0" w:after="0" w:line="252" w:lineRule="auto"/>
            </w:pPr>
            <w:r>
              <w:rPr>
                <w:rFonts w:ascii="Calibri" w:hAnsi="Calibri"/>
                <w:sz w:val="17"/>
              </w:rPr>
              <w:t>Local device, exported bundles, logs</w:t>
            </w:r>
          </w:p>
        </w:tc>
        <w:tc>
          <w:tcPr>
            <w:tcW w:type="dxa" w:w="2610"/>
            <w:tcMar>
              <w:top w:w="80" w:type="dxa"/>
              <w:start w:w="120" w:type="dxa"/>
              <w:bottom w:w="80" w:type="dxa"/>
              <w:end w:w="120" w:type="dxa"/>
            </w:tcMar>
            <w:vAlign w:val="center"/>
          </w:tcPr>
          <w:p>
            <w:pPr>
              <w:spacing w:before="0" w:after="0" w:line="252" w:lineRule="auto"/>
            </w:pPr>
            <w:r>
              <w:rPr>
                <w:rFonts w:ascii="Calibri" w:hAnsi="Calibri"/>
                <w:sz w:val="17"/>
              </w:rPr>
              <w:t>Restricted operational</w:t>
            </w:r>
          </w:p>
        </w:tc>
      </w:tr>
      <w:tr>
        <w:trPr>
          <w:cantSplit w:val="true"/>
        </w:trPr>
        <w:tc>
          <w:tcPr>
            <w:tcW w:type="dxa" w:w="1600"/>
            <w:tcMar>
              <w:top w:w="80" w:type="dxa"/>
              <w:start w:w="120" w:type="dxa"/>
              <w:bottom w:w="80" w:type="dxa"/>
              <w:end w:w="120" w:type="dxa"/>
            </w:tcMar>
            <w:vAlign w:val="center"/>
          </w:tcPr>
          <w:p>
            <w:pPr>
              <w:spacing w:before="0" w:after="0" w:line="252" w:lineRule="auto"/>
            </w:pPr>
            <w:r>
              <w:rPr>
                <w:rFonts w:ascii="Calibri" w:hAnsi="Calibri"/>
                <w:sz w:val="17"/>
              </w:rPr>
              <w:t>Video signaling/metrics</w:t>
            </w:r>
          </w:p>
        </w:tc>
        <w:tc>
          <w:tcPr>
            <w:tcW w:type="dxa" w:w="2650"/>
            <w:tcMar>
              <w:top w:w="80" w:type="dxa"/>
              <w:start w:w="120" w:type="dxa"/>
              <w:bottom w:w="80" w:type="dxa"/>
              <w:end w:w="120" w:type="dxa"/>
            </w:tcMar>
            <w:vAlign w:val="center"/>
          </w:tcPr>
          <w:p>
            <w:pPr>
              <w:spacing w:before="0" w:after="0" w:line="252" w:lineRule="auto"/>
            </w:pPr>
            <w:r>
              <w:rPr>
                <w:rFonts w:ascii="Calibri" w:hAnsi="Calibri"/>
                <w:sz w:val="17"/>
              </w:rPr>
              <w:t>Requester identity, stream metadata, route, consent, byte counts</w:t>
            </w:r>
          </w:p>
        </w:tc>
        <w:tc>
          <w:tcPr>
            <w:tcW w:type="dxa" w:w="2500"/>
            <w:tcMar>
              <w:top w:w="80" w:type="dxa"/>
              <w:start w:w="120" w:type="dxa"/>
              <w:bottom w:w="80" w:type="dxa"/>
              <w:end w:w="120" w:type="dxa"/>
            </w:tcMar>
            <w:vAlign w:val="center"/>
          </w:tcPr>
          <w:p>
            <w:pPr>
              <w:spacing w:before="0" w:after="0" w:line="252" w:lineRule="auto"/>
            </w:pPr>
            <w:r>
              <w:rPr>
                <w:rFonts w:ascii="Calibri" w:hAnsi="Calibri"/>
                <w:sz w:val="17"/>
              </w:rPr>
              <w:t>Control plane and clients</w:t>
            </w:r>
          </w:p>
        </w:tc>
        <w:tc>
          <w:tcPr>
            <w:tcW w:type="dxa" w:w="2610"/>
            <w:tcMar>
              <w:top w:w="80" w:type="dxa"/>
              <w:start w:w="120" w:type="dxa"/>
              <w:bottom w:w="80" w:type="dxa"/>
              <w:end w:w="120" w:type="dxa"/>
            </w:tcMar>
            <w:vAlign w:val="center"/>
          </w:tcPr>
          <w:p>
            <w:pPr>
              <w:spacing w:before="0" w:after="0" w:line="252" w:lineRule="auto"/>
            </w:pPr>
            <w:r>
              <w:rPr>
                <w:rFonts w:ascii="Calibri" w:hAnsi="Calibri"/>
                <w:sz w:val="17"/>
              </w:rPr>
              <w:t>Confidential operational</w:t>
            </w:r>
          </w:p>
        </w:tc>
      </w:tr>
      <w:tr>
        <w:trPr>
          <w:cantSplit w:val="true"/>
        </w:trPr>
        <w:tc>
          <w:tcPr>
            <w:tcW w:type="dxa" w:w="1600"/>
            <w:tcMar>
              <w:top w:w="80" w:type="dxa"/>
              <w:start w:w="120" w:type="dxa"/>
              <w:bottom w:w="80" w:type="dxa"/>
              <w:end w:w="120" w:type="dxa"/>
            </w:tcMar>
            <w:vAlign w:val="center"/>
          </w:tcPr>
          <w:p>
            <w:pPr>
              <w:spacing w:before="0" w:after="0" w:line="252" w:lineRule="auto"/>
            </w:pPr>
            <w:r>
              <w:rPr>
                <w:rFonts w:ascii="Calibri" w:hAnsi="Calibri"/>
                <w:sz w:val="17"/>
              </w:rPr>
              <w:t>Video media</w:t>
            </w:r>
          </w:p>
        </w:tc>
        <w:tc>
          <w:tcPr>
            <w:tcW w:type="dxa" w:w="2650"/>
            <w:tcMar>
              <w:top w:w="80" w:type="dxa"/>
              <w:start w:w="120" w:type="dxa"/>
              <w:bottom w:w="80" w:type="dxa"/>
              <w:end w:w="120" w:type="dxa"/>
            </w:tcMar>
            <w:vAlign w:val="center"/>
          </w:tcPr>
          <w:p>
            <w:pPr>
              <w:spacing w:before="0" w:after="0" w:line="252" w:lineRule="auto"/>
            </w:pPr>
            <w:r>
              <w:rPr>
                <w:rFonts w:ascii="Calibri" w:hAnsi="Calibri"/>
                <w:sz w:val="17"/>
              </w:rPr>
              <w:t>Live controller imagery/audio when enabled</w:t>
            </w:r>
          </w:p>
        </w:tc>
        <w:tc>
          <w:tcPr>
            <w:tcW w:type="dxa" w:w="2500"/>
            <w:tcMar>
              <w:top w:w="80" w:type="dxa"/>
              <w:start w:w="120" w:type="dxa"/>
              <w:bottom w:w="80" w:type="dxa"/>
              <w:end w:w="120" w:type="dxa"/>
            </w:tcMar>
            <w:vAlign w:val="center"/>
          </w:tcPr>
          <w:p>
            <w:pPr>
              <w:spacing w:before="0" w:after="0" w:line="252" w:lineRule="auto"/>
            </w:pPr>
            <w:r>
              <w:rPr>
                <w:rFonts w:ascii="Calibri" w:hAnsi="Calibri"/>
                <w:sz w:val="17"/>
              </w:rPr>
              <w:t>Designed for direct or TURN path—not platform recording</w:t>
            </w:r>
          </w:p>
        </w:tc>
        <w:tc>
          <w:tcPr>
            <w:tcW w:type="dxa" w:w="2610"/>
            <w:tcMar>
              <w:top w:w="80" w:type="dxa"/>
              <w:start w:w="120" w:type="dxa"/>
              <w:bottom w:w="80" w:type="dxa"/>
              <w:end w:w="120" w:type="dxa"/>
            </w:tcMar>
            <w:vAlign w:val="center"/>
          </w:tcPr>
          <w:p>
            <w:pPr>
              <w:spacing w:before="0" w:after="0" w:line="252" w:lineRule="auto"/>
            </w:pPr>
            <w:r>
              <w:rPr>
                <w:rFonts w:ascii="Calibri" w:hAnsi="Calibri"/>
                <w:sz w:val="17"/>
              </w:rPr>
              <w:t>Highly restricted; no recording by default</w:t>
            </w:r>
          </w:p>
        </w:tc>
      </w:tr>
      <w:tr>
        <w:trPr>
          <w:cantSplit w:val="true"/>
        </w:trPr>
        <w:tc>
          <w:tcPr>
            <w:tcW w:type="dxa" w:w="1600"/>
            <w:tcMar>
              <w:top w:w="80" w:type="dxa"/>
              <w:start w:w="120" w:type="dxa"/>
              <w:bottom w:w="80" w:type="dxa"/>
              <w:end w:w="120" w:type="dxa"/>
            </w:tcMar>
            <w:vAlign w:val="center"/>
          </w:tcPr>
          <w:p>
            <w:pPr>
              <w:spacing w:before="0" w:after="0" w:line="252" w:lineRule="auto"/>
            </w:pPr>
            <w:r>
              <w:rPr>
                <w:rFonts w:ascii="Calibri" w:hAnsi="Calibri"/>
                <w:sz w:val="17"/>
              </w:rPr>
              <w:t>Financial metadata</w:t>
            </w:r>
          </w:p>
        </w:tc>
        <w:tc>
          <w:tcPr>
            <w:tcW w:type="dxa" w:w="2650"/>
            <w:tcMar>
              <w:top w:w="80" w:type="dxa"/>
              <w:start w:w="120" w:type="dxa"/>
              <w:bottom w:w="80" w:type="dxa"/>
              <w:end w:w="120" w:type="dxa"/>
            </w:tcMar>
            <w:vAlign w:val="center"/>
          </w:tcPr>
          <w:p>
            <w:pPr>
              <w:spacing w:before="0" w:after="0" w:line="252" w:lineRule="auto"/>
            </w:pPr>
            <w:r>
              <w:rPr>
                <w:rFonts w:ascii="Calibri" w:hAnsi="Calibri"/>
                <w:sz w:val="17"/>
              </w:rPr>
              <w:t>Usage aggregates, grants/fees if later enabled</w:t>
            </w:r>
          </w:p>
        </w:tc>
        <w:tc>
          <w:tcPr>
            <w:tcW w:type="dxa" w:w="2500"/>
            <w:tcMar>
              <w:top w:w="80" w:type="dxa"/>
              <w:start w:w="120" w:type="dxa"/>
              <w:bottom w:w="80" w:type="dxa"/>
              <w:end w:w="120" w:type="dxa"/>
            </w:tcMar>
            <w:vAlign w:val="center"/>
          </w:tcPr>
          <w:p>
            <w:pPr>
              <w:spacing w:before="0" w:after="0" w:line="252" w:lineRule="auto"/>
            </w:pPr>
            <w:r>
              <w:rPr>
                <w:rFonts w:ascii="Calibri" w:hAnsi="Calibri"/>
                <w:sz w:val="17"/>
              </w:rPr>
              <w:t>Control plane/billing export</w:t>
            </w:r>
          </w:p>
        </w:tc>
        <w:tc>
          <w:tcPr>
            <w:tcW w:type="dxa" w:w="2610"/>
            <w:tcMar>
              <w:top w:w="80" w:type="dxa"/>
              <w:start w:w="120" w:type="dxa"/>
              <w:bottom w:w="80" w:type="dxa"/>
              <w:end w:w="120" w:type="dxa"/>
            </w:tcMar>
            <w:vAlign w:val="center"/>
          </w:tcPr>
          <w:p>
            <w:pPr>
              <w:spacing w:before="0" w:after="0" w:line="252" w:lineRule="auto"/>
            </w:pPr>
            <w:r>
              <w:rPr>
                <w:rFonts w:ascii="Calibri" w:hAnsi="Calibri"/>
                <w:sz w:val="17"/>
              </w:rPr>
              <w:t>Confidential financial</w:t>
            </w:r>
          </w:p>
        </w:tc>
      </w:tr>
    </w:tbl>
    <w:p>
      <w:pPr>
        <w:spacing w:after="20"/>
      </w:pPr>
    </w:p>
    <w:p>
      <w:pPr>
        <w:pStyle w:val="Heading2"/>
      </w:pPr>
      <w:r>
        <w:t>Current privacy-positive controls</w:t>
      </w:r>
    </w:p>
    <w:p>
      <w:pPr>
        <w:keepLines/>
        <w:numPr>
          <w:ilvl w:val="0"/>
          <w:numId w:val="10"/>
        </w:numPr>
      </w:pPr>
      <w:r>
        <w:rPr>
          <w:rFonts w:ascii="Calibri" w:hAnsi="Calibri"/>
        </w:rPr>
        <w:t>No advertising or cross-app tracking is declared in the mobile privacy materials.</w:t>
      </w:r>
    </w:p>
    <w:p>
      <w:pPr>
        <w:keepLines/>
        <w:numPr>
          <w:ilvl w:val="0"/>
          <w:numId w:val="10"/>
        </w:numPr>
      </w:pPr>
      <w:r>
        <w:rPr>
          <w:rFonts w:ascii="Calibri" w:hAnsi="Calibri"/>
        </w:rPr>
        <w:t>Apple CalTopo and tracker secrets are stored in Keychain; encrypted iCloud configuration backup separates the passphrase from the backup file.</w:t>
      </w:r>
    </w:p>
    <w:p>
      <w:pPr>
        <w:keepLines/>
        <w:numPr>
          <w:ilvl w:val="0"/>
          <w:numId w:val="10"/>
        </w:numPr>
      </w:pPr>
      <w:r>
        <w:rPr>
          <w:rFonts w:ascii="Calibri" w:hAnsi="Calibri"/>
        </w:rPr>
        <w:t>Diagnostic bundle sharing requires an operator-selected destination and excludes credential secrets and configuration tokens by design.</w:t>
      </w:r>
    </w:p>
    <w:p>
      <w:pPr>
        <w:keepLines/>
        <w:numPr>
          <w:ilvl w:val="0"/>
          <w:numId w:val="10"/>
        </w:numPr>
      </w:pPr>
      <w:r>
        <w:rPr>
          <w:rFonts w:ascii="Calibri" w:hAnsi="Calibri"/>
        </w:rPr>
        <w:t>FAA OAuth credentials remain server-side; mobile devices send only the geographic query and tracker credential.</w:t>
      </w:r>
    </w:p>
    <w:p>
      <w:pPr>
        <w:keepLines/>
        <w:numPr>
          <w:ilvl w:val="0"/>
          <w:numId w:val="10"/>
        </w:numPr>
      </w:pPr>
      <w:r>
        <w:rPr>
          <w:rFonts w:ascii="Calibri" w:hAnsi="Calibri"/>
        </w:rPr>
        <w:t>Managed-video probe payload excludes image, audio, location, flight records, and controller packets; platform design avoids ingesting or recording media.</w:t>
      </w:r>
    </w:p>
    <w:p>
      <w:pPr>
        <w:keepLines/>
        <w:numPr>
          <w:ilvl w:val="0"/>
          <w:numId w:val="10"/>
        </w:numPr>
      </w:pPr>
      <w:r>
        <w:rPr>
          <w:rFonts w:ascii="Calibri" w:hAnsi="Calibri"/>
        </w:rPr>
        <w:t>Organization archive downloads are intended to require organization-scoped authorization and storage-path confinement.</w:t>
      </w:r>
    </w:p>
    <w:p>
      <w:pPr>
        <w:pStyle w:val="Heading2"/>
      </w:pPr>
      <w:r>
        <w:t>Privacy actions required</w:t>
      </w:r>
    </w:p>
    <w:p>
      <w:pPr>
        <w:keepLines/>
        <w:numPr>
          <w:ilvl w:val="0"/>
          <w:numId w:val="10"/>
        </w:numPr>
      </w:pPr>
      <w:r>
        <w:rPr>
          <w:rFonts w:ascii="Calibri" w:hAnsi="Calibri"/>
        </w:rPr>
        <w:t>Approve one authoritative data inventory, classification standard, retention schedule, and deletion/legal-hold process across both mobile platforms, tracker databases, bucket, logs, email, and backups.</w:t>
      </w:r>
    </w:p>
    <w:p>
      <w:pPr>
        <w:keepLines/>
        <w:numPr>
          <w:ilvl w:val="0"/>
          <w:numId w:val="10"/>
        </w:numPr>
      </w:pPr>
      <w:r>
        <w:rPr>
          <w:rFonts w:ascii="Calibri" w:hAnsi="Calibri"/>
        </w:rPr>
        <w:t>Confirm Android credential-at-rest and backup behavior on supported OS versions; document the difference from Apple Keychain explicitly.</w:t>
      </w:r>
    </w:p>
    <w:p>
      <w:pPr>
        <w:keepLines/>
        <w:numPr>
          <w:ilvl w:val="0"/>
          <w:numId w:val="10"/>
        </w:numPr>
      </w:pPr>
      <w:r>
        <w:rPr>
          <w:rFonts w:ascii="Calibri" w:hAnsi="Calibri"/>
        </w:rPr>
        <w:t>Define participating agencies as data owners or controllers and NCSSAR as service operator/custodian, subject to counsel review.</w:t>
      </w:r>
    </w:p>
    <w:p>
      <w:pPr>
        <w:keepLines/>
        <w:numPr>
          <w:ilvl w:val="0"/>
          <w:numId w:val="10"/>
        </w:numPr>
      </w:pPr>
      <w:r>
        <w:rPr>
          <w:rFonts w:ascii="Calibri" w:hAnsi="Calibri"/>
        </w:rPr>
        <w:t>Set access-log and diagnostic retention, review who can read them, and prevent secrets or full operational payloads from entering routine logs.</w:t>
      </w:r>
    </w:p>
    <w:p>
      <w:pPr>
        <w:keepLines/>
        <w:numPr>
          <w:ilvl w:val="0"/>
          <w:numId w:val="10"/>
        </w:numPr>
      </w:pPr>
      <w:r>
        <w:rPr>
          <w:rFonts w:ascii="Calibri" w:hAnsi="Calibri"/>
        </w:rPr>
        <w:t>Establish lost-device, member-departure, credential-revocation, agency-offboarding, and records-export procedures.</w:t>
      </w:r>
    </w:p>
    <w:p>
      <w:pPr>
        <w:spacing w:before="60" w:after="0"/>
      </w:pPr>
    </w:p>
    <w:p>
      <w:pPr>
        <w:pStyle w:val="Heading1"/>
      </w:pPr>
      <w:r>
        <w:t>4. Implemented security controls</w:t>
      </w:r>
    </w:p>
    <w:tbl>
      <w:tblPr>
        <w:tblStyle w:val="TableGrid"/>
        <w:jc w:val="left"/>
        <w:tblLook w:firstColumn="1" w:firstRow="1" w:lastColumn="0" w:lastRow="0" w:noHBand="0" w:noVBand="1" w:val="04A0"/>
        <w:tblW w:w="9360" w:type="dxa"/>
        <w:tblInd w:w="120" w:type="dxa"/>
        <w:tblLayout w:type="fixed"/>
      </w:tblPr>
      <w:tblGrid>
        <w:gridCol w:w="1900"/>
        <w:gridCol w:w="4850"/>
        <w:gridCol w:w="2610"/>
      </w:tblGrid>
      <w:tr>
        <w:trPr>
          <w:tblHeader w:val="true"/>
          <w:cantSplit w:val="true"/>
        </w:trPr>
        <w:tc>
          <w:tcPr>
            <w:tcW w:type="dxa" w:w="1900"/>
            <w:shd w:fill="F2F4F7"/>
            <w:tcMar>
              <w:top w:w="80" w:type="dxa"/>
              <w:start w:w="120" w:type="dxa"/>
              <w:bottom w:w="80" w:type="dxa"/>
              <w:end w:w="120" w:type="dxa"/>
            </w:tcMar>
            <w:vAlign w:val="center"/>
          </w:tcPr>
          <w:p>
            <w:pPr>
              <w:spacing w:before="20" w:after="20"/>
            </w:pPr>
            <w:r>
              <w:rPr>
                <w:rFonts w:ascii="Calibri" w:hAnsi="Calibri"/>
                <w:b/>
                <w:color w:val="17365D"/>
                <w:sz w:val="18"/>
              </w:rPr>
              <w:t>Control area</w:t>
            </w:r>
          </w:p>
        </w:tc>
        <w:tc>
          <w:tcPr>
            <w:tcW w:type="dxa" w:w="4850"/>
            <w:shd w:fill="F2F4F7"/>
            <w:tcMar>
              <w:top w:w="80" w:type="dxa"/>
              <w:start w:w="120" w:type="dxa"/>
              <w:bottom w:w="80" w:type="dxa"/>
              <w:end w:w="120" w:type="dxa"/>
            </w:tcMar>
            <w:vAlign w:val="center"/>
          </w:tcPr>
          <w:p>
            <w:pPr>
              <w:spacing w:before="20" w:after="20"/>
            </w:pPr>
            <w:r>
              <w:rPr>
                <w:rFonts w:ascii="Calibri" w:hAnsi="Calibri"/>
                <w:b/>
                <w:color w:val="17365D"/>
                <w:sz w:val="18"/>
              </w:rPr>
              <w:t>Current evidence</w:t>
            </w:r>
          </w:p>
        </w:tc>
        <w:tc>
          <w:tcPr>
            <w:tcW w:type="dxa" w:w="2610"/>
            <w:shd w:fill="F2F4F7"/>
            <w:tcMar>
              <w:top w:w="80" w:type="dxa"/>
              <w:start w:w="120" w:type="dxa"/>
              <w:bottom w:w="80" w:type="dxa"/>
              <w:end w:w="120" w:type="dxa"/>
            </w:tcMar>
            <w:vAlign w:val="center"/>
          </w:tcPr>
          <w:p>
            <w:pPr>
              <w:spacing w:before="20" w:after="20"/>
            </w:pPr>
            <w:r>
              <w:rPr>
                <w:rFonts w:ascii="Calibri" w:hAnsi="Calibri"/>
                <w:b/>
                <w:color w:val="17365D"/>
                <w:sz w:val="18"/>
              </w:rPr>
              <w:t>Assessment</w:t>
            </w:r>
          </w:p>
        </w:tc>
      </w:tr>
      <w:tr>
        <w:trPr>
          <w:cantSplit w:val="true"/>
        </w:trPr>
        <w:tc>
          <w:tcPr>
            <w:tcW w:type="dxa" w:w="1900"/>
            <w:tcMar>
              <w:top w:w="80" w:type="dxa"/>
              <w:start w:w="120" w:type="dxa"/>
              <w:bottom w:w="80" w:type="dxa"/>
              <w:end w:w="120" w:type="dxa"/>
            </w:tcMar>
            <w:vAlign w:val="center"/>
          </w:tcPr>
          <w:p>
            <w:pPr>
              <w:spacing w:before="0" w:after="0" w:line="252" w:lineRule="auto"/>
            </w:pPr>
            <w:r>
              <w:rPr>
                <w:rFonts w:ascii="Calibri" w:hAnsi="Calibri"/>
                <w:sz w:val="17"/>
              </w:rPr>
              <w:t>Administrative authentication</w:t>
            </w:r>
          </w:p>
        </w:tc>
        <w:tc>
          <w:tcPr>
            <w:tcW w:type="dxa" w:w="4850"/>
            <w:tcMar>
              <w:top w:w="80" w:type="dxa"/>
              <w:start w:w="120" w:type="dxa"/>
              <w:bottom w:w="80" w:type="dxa"/>
              <w:end w:w="120" w:type="dxa"/>
            </w:tcMar>
            <w:vAlign w:val="center"/>
          </w:tcPr>
          <w:p>
            <w:pPr>
              <w:spacing w:before="0" w:after="0" w:line="252" w:lineRule="auto"/>
            </w:pPr>
            <w:r>
              <w:rPr>
                <w:rFonts w:ascii="Calibri" w:hAnsi="Calibri"/>
                <w:sz w:val="17"/>
              </w:rPr>
              <w:t>Google authorization-code flow uses state, nonce, PKCE, signed ID-token/audience/issuer checks, verified email, and infrastructure identity matching; fallback passwords use salted scrypt.</w:t>
            </w:r>
          </w:p>
        </w:tc>
        <w:tc>
          <w:tcPr>
            <w:tcW w:type="dxa" w:w="2610"/>
            <w:tcMar>
              <w:top w:w="80" w:type="dxa"/>
              <w:start w:w="120" w:type="dxa"/>
              <w:bottom w:w="80" w:type="dxa"/>
              <w:end w:w="120" w:type="dxa"/>
            </w:tcMar>
            <w:vAlign w:val="center"/>
          </w:tcPr>
          <w:p>
            <w:pPr>
              <w:spacing w:before="0" w:after="0" w:line="252" w:lineRule="auto"/>
            </w:pPr>
            <w:r>
              <w:rPr>
                <w:rFonts w:ascii="Calibri" w:hAnsi="Calibri"/>
                <w:sz w:val="17"/>
              </w:rPr>
              <w:t>Strong pilot direction; require MFA/organizational account policy and live verification.</w:t>
            </w:r>
          </w:p>
        </w:tc>
      </w:tr>
      <w:tr>
        <w:trPr>
          <w:cantSplit w:val="true"/>
        </w:trPr>
        <w:tc>
          <w:tcPr>
            <w:tcW w:type="dxa" w:w="1900"/>
            <w:tcMar>
              <w:top w:w="80" w:type="dxa"/>
              <w:start w:w="120" w:type="dxa"/>
              <w:bottom w:w="80" w:type="dxa"/>
              <w:end w:w="120" w:type="dxa"/>
            </w:tcMar>
            <w:vAlign w:val="center"/>
          </w:tcPr>
          <w:p>
            <w:pPr>
              <w:spacing w:before="0" w:after="0" w:line="252" w:lineRule="auto"/>
            </w:pPr>
            <w:r>
              <w:rPr>
                <w:rFonts w:ascii="Calibri" w:hAnsi="Calibri"/>
                <w:sz w:val="17"/>
              </w:rPr>
              <w:t>Session and request protection</w:t>
            </w:r>
          </w:p>
        </w:tc>
        <w:tc>
          <w:tcPr>
            <w:tcW w:type="dxa" w:w="4850"/>
            <w:tcMar>
              <w:top w:w="80" w:type="dxa"/>
              <w:start w:w="120" w:type="dxa"/>
              <w:bottom w:w="80" w:type="dxa"/>
              <w:end w:w="120" w:type="dxa"/>
            </w:tcMar>
            <w:vAlign w:val="center"/>
          </w:tcPr>
          <w:p>
            <w:pPr>
              <w:spacing w:before="0" w:after="0" w:line="252" w:lineRule="auto"/>
            </w:pPr>
            <w:r>
              <w:rPr>
                <w:rFonts w:ascii="Calibri" w:hAnsi="Calibri"/>
                <w:sz w:val="17"/>
              </w:rPr>
              <w:t>HTTPS-only cookie is required in pilot configuration; SameSite=Lax; administrative forms use namespace-scoped CSRF tokens and constant-time comparison.</w:t>
            </w:r>
          </w:p>
        </w:tc>
        <w:tc>
          <w:tcPr>
            <w:tcW w:type="dxa" w:w="2610"/>
            <w:tcMar>
              <w:top w:w="80" w:type="dxa"/>
              <w:start w:w="120" w:type="dxa"/>
              <w:bottom w:w="80" w:type="dxa"/>
              <w:end w:w="120" w:type="dxa"/>
            </w:tcMar>
            <w:vAlign w:val="center"/>
          </w:tcPr>
          <w:p>
            <w:pPr>
              <w:spacing w:before="0" w:after="0" w:line="252" w:lineRule="auto"/>
            </w:pPr>
            <w:r>
              <w:rPr>
                <w:rFonts w:ascii="Calibri" w:hAnsi="Calibri"/>
                <w:sz w:val="17"/>
              </w:rPr>
              <w:t>Implemented; add expiration/session policy review and test every state-changing route.</w:t>
            </w:r>
          </w:p>
        </w:tc>
      </w:tr>
      <w:tr>
        <w:trPr>
          <w:cantSplit w:val="true"/>
        </w:trPr>
        <w:tc>
          <w:tcPr>
            <w:tcW w:type="dxa" w:w="1900"/>
            <w:tcMar>
              <w:top w:w="80" w:type="dxa"/>
              <w:start w:w="120" w:type="dxa"/>
              <w:bottom w:w="80" w:type="dxa"/>
              <w:end w:w="120" w:type="dxa"/>
            </w:tcMar>
            <w:vAlign w:val="center"/>
          </w:tcPr>
          <w:p>
            <w:pPr>
              <w:spacing w:before="0" w:after="0" w:line="252" w:lineRule="auto"/>
            </w:pPr>
            <w:r>
              <w:rPr>
                <w:rFonts w:ascii="Calibri" w:hAnsi="Calibri"/>
                <w:sz w:val="17"/>
              </w:rPr>
              <w:t>Browser hardening</w:t>
            </w:r>
          </w:p>
        </w:tc>
        <w:tc>
          <w:tcPr>
            <w:tcW w:type="dxa" w:w="4850"/>
            <w:tcMar>
              <w:top w:w="80" w:type="dxa"/>
              <w:start w:w="120" w:type="dxa"/>
              <w:bottom w:w="80" w:type="dxa"/>
              <w:end w:w="120" w:type="dxa"/>
            </w:tcMar>
            <w:vAlign w:val="center"/>
          </w:tcPr>
          <w:p>
            <w:r>
              <w:t>Administrative responses use no-store, no-referrer, nosniff, DENY framing, and a restrictive CSP. Browser CORS is restricted to configured origins, methods, and headers; production responses add HSTS.</w:t>
            </w:r>
          </w:p>
        </w:tc>
        <w:tc>
          <w:tcPr>
            <w:tcW w:type="dxa" w:w="2610"/>
            <w:tcMar>
              <w:top w:w="80" w:type="dxa"/>
              <w:start w:w="120" w:type="dxa"/>
              <w:bottom w:w="80" w:type="dxa"/>
              <w:end w:w="120" w:type="dxa"/>
            </w:tcMar>
            <w:vAlign w:val="center"/>
          </w:tcPr>
          <w:p>
            <w:r>
              <w:t>Implemented in source and tested; independently verify effective edge TLS/HSTS and route coverage after deployment.</w:t>
            </w:r>
          </w:p>
        </w:tc>
      </w:tr>
      <w:tr>
        <w:trPr>
          <w:cantSplit w:val="true"/>
        </w:trPr>
        <w:tc>
          <w:tcPr>
            <w:tcW w:type="dxa" w:w="1900"/>
            <w:tcMar>
              <w:top w:w="80" w:type="dxa"/>
              <w:start w:w="120" w:type="dxa"/>
              <w:bottom w:w="80" w:type="dxa"/>
              <w:end w:w="120" w:type="dxa"/>
            </w:tcMar>
            <w:vAlign w:val="center"/>
          </w:tcPr>
          <w:p>
            <w:pPr>
              <w:spacing w:before="0" w:after="0" w:line="252" w:lineRule="auto"/>
            </w:pPr>
            <w:r>
              <w:rPr>
                <w:rFonts w:ascii="Calibri" w:hAnsi="Calibri"/>
                <w:sz w:val="17"/>
              </w:rPr>
              <w:t>Tenant authorization</w:t>
            </w:r>
          </w:p>
        </w:tc>
        <w:tc>
          <w:tcPr>
            <w:tcW w:type="dxa" w:w="4850"/>
            <w:tcMar>
              <w:top w:w="80" w:type="dxa"/>
              <w:start w:w="120" w:type="dxa"/>
              <w:bottom w:w="80" w:type="dxa"/>
              <w:end w:w="120" w:type="dxa"/>
            </w:tcMar>
            <w:vAlign w:val="center"/>
          </w:tcPr>
          <w:p>
            <w:r>
              <w:t>Organization-role checks, organization filters, scoped storage paths, an authorization matrix, and an executable route/mutation inventory are present; current tests include cross-tenant negative cases and bounded archive restore.</w:t>
            </w:r>
          </w:p>
        </w:tc>
        <w:tc>
          <w:tcPr>
            <w:tcW w:type="dxa" w:w="2610"/>
            <w:tcMar>
              <w:top w:w="80" w:type="dxa"/>
              <w:start w:w="120" w:type="dxa"/>
              <w:bottom w:w="80" w:type="dxa"/>
              <w:end w:w="120" w:type="dxa"/>
            </w:tcMar>
            <w:vAlign w:val="center"/>
          </w:tcPr>
          <w:p>
            <w:pPr>
              <w:spacing w:before="0" w:after="0" w:line="252" w:lineRule="auto"/>
            </w:pPr>
            <w:r>
              <w:rPr>
                <w:rFonts w:ascii="Calibri" w:hAnsi="Calibri"/>
                <w:sz w:val="17"/>
              </w:rPr>
              <w:t>Meaningful logical isolation with regression enforcement; focused independent adversarial review remains required.</w:t>
            </w:r>
          </w:p>
        </w:tc>
      </w:tr>
      <w:tr>
        <w:trPr>
          <w:cantSplit w:val="true"/>
        </w:trPr>
        <w:tc>
          <w:tcPr>
            <w:tcW w:type="dxa" w:w="1900"/>
            <w:tcMar>
              <w:top w:w="80" w:type="dxa"/>
              <w:start w:w="120" w:type="dxa"/>
              <w:bottom w:w="80" w:type="dxa"/>
              <w:end w:w="120" w:type="dxa"/>
            </w:tcMar>
            <w:vAlign w:val="center"/>
          </w:tcPr>
          <w:p>
            <w:pPr>
              <w:spacing w:before="0" w:after="0" w:line="252" w:lineRule="auto"/>
            </w:pPr>
            <w:r>
              <w:rPr>
                <w:rFonts w:ascii="Calibri" w:hAnsi="Calibri"/>
                <w:sz w:val="17"/>
              </w:rPr>
              <w:t>Device enrollment</w:t>
            </w:r>
          </w:p>
        </w:tc>
        <w:tc>
          <w:tcPr>
            <w:tcW w:type="dxa" w:w="4850"/>
            <w:tcMar>
              <w:top w:w="80" w:type="dxa"/>
              <w:start w:w="120" w:type="dxa"/>
              <w:bottom w:w="80" w:type="dxa"/>
              <w:end w:w="120" w:type="dxa"/>
            </w:tcMar>
            <w:vAlign w:val="center"/>
          </w:tcPr>
          <w:p>
            <w:pPr>
              <w:spacing w:before="0" w:after="0" w:line="252" w:lineRule="auto"/>
            </w:pPr>
            <w:r>
              <w:rPr>
                <w:rFonts w:ascii="Calibri" w:hAnsi="Calibri"/>
                <w:sz w:val="17"/>
              </w:rPr>
              <w:t>R2C2 QR carries a signed organization/campaign locator; redemption is bounded and returns a revocable per-device credential; only SHA-256 hash is stored.</w:t>
            </w:r>
          </w:p>
        </w:tc>
        <w:tc>
          <w:tcPr>
            <w:tcW w:type="dxa" w:w="2610"/>
            <w:tcMar>
              <w:top w:w="80" w:type="dxa"/>
              <w:start w:w="120" w:type="dxa"/>
              <w:bottom w:w="80" w:type="dxa"/>
              <w:end w:w="120" w:type="dxa"/>
            </w:tcMar>
            <w:vAlign w:val="center"/>
          </w:tcPr>
          <w:p>
            <w:pPr>
              <w:spacing w:before="0" w:after="0" w:line="252" w:lineRule="auto"/>
            </w:pPr>
            <w:r>
              <w:rPr>
                <w:rFonts w:ascii="Calibri" w:hAnsi="Calibri"/>
                <w:sz w:val="17"/>
              </w:rPr>
              <w:t>Improved over shared credentials; one-year lifetime requires policy tightening.</w:t>
            </w:r>
          </w:p>
        </w:tc>
      </w:tr>
      <w:tr>
        <w:trPr>
          <w:cantSplit w:val="true"/>
        </w:trPr>
        <w:tc>
          <w:tcPr>
            <w:tcW w:type="dxa" w:w="1900"/>
            <w:tcMar>
              <w:top w:w="80" w:type="dxa"/>
              <w:start w:w="120" w:type="dxa"/>
              <w:bottom w:w="80" w:type="dxa"/>
              <w:end w:w="120" w:type="dxa"/>
            </w:tcMar>
            <w:vAlign w:val="center"/>
          </w:tcPr>
          <w:p>
            <w:pPr>
              <w:spacing w:before="0" w:after="0" w:line="252" w:lineRule="auto"/>
            </w:pPr>
            <w:r>
              <w:rPr>
                <w:rFonts w:ascii="Calibri" w:hAnsi="Calibri"/>
                <w:sz w:val="17"/>
              </w:rPr>
              <w:t>Secret management</w:t>
            </w:r>
          </w:p>
        </w:tc>
        <w:tc>
          <w:tcPr>
            <w:tcW w:type="dxa" w:w="4850"/>
            <w:tcMar>
              <w:top w:w="80" w:type="dxa"/>
              <w:start w:w="120" w:type="dxa"/>
              <w:bottom w:w="80" w:type="dxa"/>
              <w:end w:w="120" w:type="dxa"/>
            </w:tcMar>
            <w:vAlign w:val="center"/>
          </w:tcPr>
          <w:p>
            <w:pPr>
              <w:spacing w:before="0" w:after="0" w:line="252" w:lineRule="auto"/>
            </w:pPr>
            <w:r>
              <w:rPr>
                <w:rFonts w:ascii="Calibri" w:hAnsi="Calibri"/>
                <w:sz w:val="17"/>
              </w:rPr>
              <w:t>Deployment maps secret references; setup scripts avoid command-line disclosure; FAA/OAuth/DB secrets are intended for Secret Manager.</w:t>
            </w:r>
          </w:p>
        </w:tc>
        <w:tc>
          <w:tcPr>
            <w:tcW w:type="dxa" w:w="2610"/>
            <w:tcMar>
              <w:top w:w="80" w:type="dxa"/>
              <w:start w:w="120" w:type="dxa"/>
              <w:bottom w:w="80" w:type="dxa"/>
              <w:end w:w="120" w:type="dxa"/>
            </w:tcMar>
            <w:vAlign w:val="center"/>
          </w:tcPr>
          <w:p>
            <w:pPr>
              <w:spacing w:before="0" w:after="0" w:line="252" w:lineRule="auto"/>
            </w:pPr>
            <w:r>
              <w:rPr>
                <w:rFonts w:ascii="Calibri" w:hAnsi="Calibri"/>
                <w:sz w:val="17"/>
              </w:rPr>
              <w:t>Documented and partially source-enforced; inventory IAM and rotate during transfer.</w:t>
            </w:r>
          </w:p>
        </w:tc>
      </w:tr>
      <w:tr>
        <w:trPr>
          <w:cantSplit w:val="true"/>
        </w:trPr>
        <w:tc>
          <w:tcPr>
            <w:tcW w:type="dxa" w:w="1900"/>
            <w:tcMar>
              <w:top w:w="80" w:type="dxa"/>
              <w:start w:w="120" w:type="dxa"/>
              <w:bottom w:w="80" w:type="dxa"/>
              <w:end w:w="120" w:type="dxa"/>
            </w:tcMar>
            <w:vAlign w:val="center"/>
          </w:tcPr>
          <w:p>
            <w:pPr>
              <w:spacing w:before="0" w:after="0" w:line="252" w:lineRule="auto"/>
            </w:pPr>
            <w:r>
              <w:rPr>
                <w:rFonts w:ascii="Calibri" w:hAnsi="Calibri"/>
                <w:sz w:val="17"/>
              </w:rPr>
              <w:t>Network and storage</w:t>
            </w:r>
          </w:p>
        </w:tc>
        <w:tc>
          <w:tcPr>
            <w:tcW w:type="dxa" w:w="4850"/>
            <w:tcMar>
              <w:top w:w="80" w:type="dxa"/>
              <w:start w:w="120" w:type="dxa"/>
              <w:bottom w:w="80" w:type="dxa"/>
              <w:end w:w="120" w:type="dxa"/>
            </w:tcMar>
            <w:vAlign w:val="center"/>
          </w:tcPr>
          <w:p>
            <w:pPr>
              <w:spacing w:before="0" w:after="0" w:line="252" w:lineRule="auto"/>
            </w:pPr>
            <w:r>
              <w:rPr>
                <w:rFonts w:ascii="Calibri" w:hAnsi="Calibri"/>
                <w:sz w:val="17"/>
              </w:rPr>
              <w:t>VPC database routing, subnet-limited PostgreSQL 5433, bucket public-access prevention/uniform access, deletion protection, unused web-tag removal, logged RDP deny, and additive IAP path are confirmed.</w:t>
            </w:r>
          </w:p>
        </w:tc>
        <w:tc>
          <w:tcPr>
            <w:tcW w:type="dxa" w:w="2610"/>
            <w:tcMar>
              <w:top w:w="80" w:type="dxa"/>
              <w:start w:w="120" w:type="dxa"/>
              <w:bottom w:w="80" w:type="dxa"/>
              <w:end w:w="120" w:type="dxa"/>
            </w:tcMar>
            <w:vAlign w:val="center"/>
          </w:tcPr>
          <w:p>
            <w:pPr>
              <w:spacing w:before="0" w:after="0" w:line="252" w:lineRule="auto"/>
            </w:pPr>
            <w:r>
              <w:rPr>
                <w:rFonts w:ascii="Calibri" w:hAnsi="Calibri"/>
                <w:sz w:val="17"/>
              </w:rPr>
              <w:t>Improved live posture; public SSH/IP, guest-access repair, Secure Boot decision, backups, restore, and alerting remain open.</w:t>
            </w:r>
          </w:p>
        </w:tc>
      </w:tr>
      <w:tr>
        <w:trPr>
          <w:cantSplit w:val="true"/>
        </w:trPr>
        <w:tc>
          <w:tcPr>
            <w:tcW w:type="dxa" w:w="1900"/>
            <w:tcMar>
              <w:top w:w="80" w:type="dxa"/>
              <w:start w:w="120" w:type="dxa"/>
              <w:bottom w:w="80" w:type="dxa"/>
              <w:end w:w="120" w:type="dxa"/>
            </w:tcMar>
            <w:vAlign w:val="center"/>
          </w:tcPr>
          <w:p>
            <w:pPr>
              <w:spacing w:before="0" w:after="0" w:line="252" w:lineRule="auto"/>
            </w:pPr>
            <w:r>
              <w:rPr>
                <w:rFonts w:ascii="Calibri" w:hAnsi="Calibri"/>
                <w:sz w:val="17"/>
              </w:rPr>
              <w:t>Auditability</w:t>
            </w:r>
          </w:p>
        </w:tc>
        <w:tc>
          <w:tcPr>
            <w:tcW w:type="dxa" w:w="4850"/>
            <w:tcMar>
              <w:top w:w="80" w:type="dxa"/>
              <w:start w:w="120" w:type="dxa"/>
              <w:bottom w:w="80" w:type="dxa"/>
              <w:end w:w="120" w:type="dxa"/>
            </w:tcMar>
            <w:vAlign w:val="center"/>
          </w:tcPr>
          <w:p>
            <w:pPr>
              <w:spacing w:before="0" w:after="0" w:line="252" w:lineRule="auto"/>
            </w:pPr>
            <w:r>
              <w:rPr>
                <w:rFonts w:ascii="Calibri" w:hAnsi="Calibri"/>
                <w:sz w:val="17"/>
              </w:rPr>
              <w:t>Control-plane audit events record lifecycle, credential, and consent-related changes without intended token values.</w:t>
            </w:r>
          </w:p>
        </w:tc>
        <w:tc>
          <w:tcPr>
            <w:tcW w:type="dxa" w:w="2610"/>
            <w:tcMar>
              <w:top w:w="80" w:type="dxa"/>
              <w:start w:w="120" w:type="dxa"/>
              <w:bottom w:w="80" w:type="dxa"/>
              <w:end w:w="120" w:type="dxa"/>
            </w:tcMar>
            <w:vAlign w:val="center"/>
          </w:tcPr>
          <w:p>
            <w:pPr>
              <w:spacing w:before="0" w:after="0" w:line="252" w:lineRule="auto"/>
            </w:pPr>
            <w:r>
              <w:rPr>
                <w:rFonts w:ascii="Calibri" w:hAnsi="Calibri"/>
                <w:sz w:val="17"/>
              </w:rPr>
              <w:t>Good foundation; define immutability, retention, access, alerting, and review cadence.</w:t>
            </w:r>
          </w:p>
        </w:tc>
      </w:tr>
      <w:tr>
        <w:trPr>
          <w:cantSplit w:val="true"/>
        </w:trPr>
        <w:tc>
          <w:tcPr>
            <w:tcW w:type="dxa" w:w="1900"/>
            <w:tcMar>
              <w:top w:w="80" w:type="dxa"/>
              <w:start w:w="120" w:type="dxa"/>
              <w:bottom w:w="80" w:type="dxa"/>
              <w:end w:w="120" w:type="dxa"/>
            </w:tcMar>
            <w:vAlign w:val="center"/>
          </w:tcPr>
          <w:p>
            <w:pPr>
              <w:spacing w:before="0" w:after="0" w:line="252" w:lineRule="auto"/>
            </w:pPr>
            <w:r>
              <w:rPr>
                <w:rFonts w:ascii="Calibri" w:hAnsi="Calibri"/>
                <w:sz w:val="17"/>
              </w:rPr>
              <w:t>Managed video consent</w:t>
            </w:r>
          </w:p>
        </w:tc>
        <w:tc>
          <w:tcPr>
            <w:tcW w:type="dxa" w:w="4850"/>
            <w:tcMar>
              <w:top w:w="80" w:type="dxa"/>
              <w:start w:w="120" w:type="dxa"/>
              <w:bottom w:w="80" w:type="dxa"/>
              <w:end w:w="120" w:type="dxa"/>
            </w:tcMar>
            <w:vAlign w:val="center"/>
          </w:tcPr>
          <w:p>
            <w:pPr>
              <w:spacing w:before="0" w:after="0" w:line="252" w:lineRule="auto"/>
            </w:pPr>
            <w:r>
              <w:rPr>
                <w:rFonts w:ascii="Calibri" w:hAnsi="Calibri"/>
                <w:sz w:val="17"/>
              </w:rPr>
              <w:t>Requester role does not start video; operator approval, route/data estimate, and one-viewer session are designed and auditable.</w:t>
            </w:r>
          </w:p>
        </w:tc>
        <w:tc>
          <w:tcPr>
            <w:tcW w:type="dxa" w:w="2610"/>
            <w:tcMar>
              <w:top w:w="80" w:type="dxa"/>
              <w:start w:w="120" w:type="dxa"/>
              <w:bottom w:w="80" w:type="dxa"/>
              <w:end w:w="120" w:type="dxa"/>
            </w:tcMar>
            <w:vAlign w:val="center"/>
          </w:tcPr>
          <w:p>
            <w:pPr>
              <w:spacing w:before="0" w:after="0" w:line="252" w:lineRule="auto"/>
            </w:pPr>
            <w:r>
              <w:rPr>
                <w:rFonts w:ascii="Calibri" w:hAnsi="Calibri"/>
                <w:sz w:val="17"/>
              </w:rPr>
              <w:t>Good safety/privacy design; production media path remains field-qualification gated.</w:t>
            </w:r>
          </w:p>
        </w:tc>
      </w:tr>
      <w:tr>
        <w:trPr>
          <w:cantSplit w:val="true"/>
        </w:trPr>
        <w:tc>
          <w:tcPr>
            <w:tcW w:type="dxa" w:w="1900"/>
            <w:tcMar>
              <w:top w:w="80" w:type="dxa"/>
              <w:start w:w="120" w:type="dxa"/>
              <w:bottom w:w="80" w:type="dxa"/>
              <w:end w:w="120" w:type="dxa"/>
            </w:tcMar>
            <w:vAlign w:val="center"/>
          </w:tcPr>
          <w:p>
            <w:pPr>
              <w:spacing w:before="0" w:after="0" w:line="252" w:lineRule="auto"/>
            </w:pPr>
            <w:r>
              <w:rPr>
                <w:rFonts w:ascii="Calibri" w:hAnsi="Calibri"/>
                <w:sz w:val="17"/>
              </w:rPr>
              <w:t>Release verification</w:t>
            </w:r>
          </w:p>
        </w:tc>
        <w:tc>
          <w:tcPr>
            <w:tcW w:type="dxa" w:w="4850"/>
            <w:tcMar>
              <w:top w:w="80" w:type="dxa"/>
              <w:start w:w="120" w:type="dxa"/>
              <w:bottom w:w="80" w:type="dxa"/>
              <w:end w:w="120" w:type="dxa"/>
            </w:tcMar>
            <w:vAlign w:val="center"/>
          </w:tcPr>
          <w:p>
            <w:r>
              <w:t>Production-Python gate passes 227 tests, dependency audit with no known vulnerabilities, medium/high static analysis, secret-baseline enforcement, and CycloneDX SBOM generation; website rendered tests, Android releaseCheck, Apple package tests, and mobile disclaimer tests pass.</w:t>
            </w:r>
          </w:p>
        </w:tc>
        <w:tc>
          <w:tcPr>
            <w:tcW w:type="dxa" w:w="2610"/>
            <w:tcMar>
              <w:top w:w="80" w:type="dxa"/>
              <w:start w:w="120" w:type="dxa"/>
              <w:bottom w:w="80" w:type="dxa"/>
              <w:end w:w="120" w:type="dxa"/>
            </w:tcMar>
            <w:vAlign w:val="center"/>
          </w:tcPr>
          <w:p>
            <w:r>
              <w:t>Strong release-candidate baseline; commit/deployment evidence, independent review, physical-device checks, and full cross-platform provenance remain open.</w:t>
            </w:r>
          </w:p>
        </w:tc>
      </w:tr>
    </w:tbl>
    <w:p>
      <w:pPr>
        <w:spacing w:after="20"/>
      </w:pPr>
    </w:p>
    <w:p>
      <w:pPr>
        <w:pStyle w:val="Heading2"/>
      </w:pPr>
      <w:r>
        <w:t>Security-positive design principles to preserve</w:t>
      </w:r>
    </w:p>
    <w:p>
      <w:pPr>
        <w:keepLines/>
        <w:numPr>
          <w:ilvl w:val="0"/>
          <w:numId w:val="10"/>
        </w:numPr>
      </w:pPr>
      <w:r>
        <w:rPr>
          <w:rFonts w:ascii="Calibri" w:hAnsi="Calibri"/>
        </w:rPr>
        <w:t>Platform administrators manage organizations and service metadata, not tenant flight content.</w:t>
      </w:r>
    </w:p>
    <w:p>
      <w:pPr>
        <w:keepLines/>
        <w:numPr>
          <w:ilvl w:val="0"/>
          <w:numId w:val="10"/>
        </w:numPr>
      </w:pPr>
      <w:r>
        <w:rPr>
          <w:rFonts w:ascii="Calibri" w:hAnsi="Calibri"/>
        </w:rPr>
        <w:t>Agency administrators control their own member roles and enrollment campaigns.</w:t>
      </w:r>
    </w:p>
    <w:p>
      <w:pPr>
        <w:keepLines/>
        <w:numPr>
          <w:ilvl w:val="0"/>
          <w:numId w:val="10"/>
        </w:numPr>
      </w:pPr>
      <w:r>
        <w:rPr>
          <w:rFonts w:ascii="Calibri" w:hAnsi="Calibri"/>
        </w:rPr>
        <w:t>A mobile operator—not a remote administrator—must authorize video streaming.</w:t>
      </w:r>
    </w:p>
    <w:p>
      <w:pPr>
        <w:keepLines/>
        <w:numPr>
          <w:ilvl w:val="0"/>
          <w:numId w:val="10"/>
        </w:numPr>
      </w:pPr>
      <w:r>
        <w:rPr>
          <w:rFonts w:ascii="Calibri" w:hAnsi="Calibri"/>
        </w:rPr>
        <w:t>The hosted service fails unavailable for FAA proxy errors rather than presenting stale data as current success.</w:t>
      </w:r>
    </w:p>
    <w:p>
      <w:pPr>
        <w:keepLines/>
        <w:numPr>
          <w:ilvl w:val="0"/>
          <w:numId w:val="10"/>
        </w:numPr>
      </w:pPr>
      <w:r>
        <w:rPr>
          <w:rFonts w:ascii="Calibri" w:hAnsi="Calibri"/>
        </w:rPr>
        <w:t>Trials and grace periods do not trigger automatic data destruction; a human contact and export opportunity precede archival or shutdown.</w:t>
      </w:r>
    </w:p>
    <w:p>
      <w:pPr>
        <w:keepLines/>
        <w:numPr>
          <w:ilvl w:val="0"/>
          <w:numId w:val="10"/>
        </w:numPr>
      </w:pPr>
      <w:r>
        <w:rPr>
          <w:rFonts w:ascii="Calibri" w:hAnsi="Calibri"/>
        </w:rPr>
        <w:t>The applications and service are explicitly supplemental, best-effort tools with no committed life-safety functionality or availability.</w:t>
      </w:r>
    </w:p>
    <w:p>
      <w:pPr>
        <w:spacing w:before="60" w:after="0"/>
      </w:pPr>
    </w:p>
    <w:p>
      <w:pPr>
        <w:pStyle w:val="Heading1"/>
      </w:pPr>
      <w:r>
        <w:t>5. Priority risk register</w:t>
      </w:r>
    </w:p>
    <w:p>
      <w:pPr>
        <w:keepLines w:val="0"/>
      </w:pPr>
      <w:r>
        <w:rPr>
          <w:rFonts w:ascii="Calibri" w:hAnsi="Calibri"/>
          <w:i w:val="0"/>
          <w:color w:val="20262E"/>
        </w:rPr>
        <w:t>Ratings combine likelihood, impact, and the public-safety context. “High” does not mean exploitation is known; it means the Board should require closure or explicit documented acceptance before the indicated expansion step.</w:t>
      </w:r>
    </w:p>
    <w:tbl>
      <w:tblPr>
        <w:tblStyle w:val="TableGrid"/>
        <w:jc w:val="left"/>
        <w:tblLook w:firstColumn="1" w:firstRow="1" w:lastColumn="0" w:lastRow="0" w:noHBand="0" w:noVBand="1" w:val="04A0"/>
        <w:tblW w:w="9360" w:type="dxa"/>
        <w:tblInd w:w="120" w:type="dxa"/>
        <w:tblLayout w:type="fixed"/>
      </w:tblPr>
      <w:tblGrid>
        <w:gridCol w:w="680"/>
        <w:gridCol w:w="980"/>
        <w:gridCol w:w="4100"/>
        <w:gridCol w:w="3600"/>
      </w:tblGrid>
      <w:tr>
        <w:trPr>
          <w:tblHeader w:val="true"/>
          <w:cantSplit w:val="true"/>
        </w:trPr>
        <w:tc>
          <w:tcPr>
            <w:tcW w:type="dxa" w:w="680"/>
            <w:shd w:fill="F2F4F7"/>
            <w:tcMar>
              <w:top w:w="80" w:type="dxa"/>
              <w:start w:w="120" w:type="dxa"/>
              <w:bottom w:w="80" w:type="dxa"/>
              <w:end w:w="120" w:type="dxa"/>
            </w:tcMar>
            <w:vAlign w:val="center"/>
          </w:tcPr>
          <w:p>
            <w:pPr>
              <w:spacing w:before="20" w:after="20"/>
            </w:pPr>
            <w:r>
              <w:rPr>
                <w:rFonts w:ascii="Calibri" w:hAnsi="Calibri"/>
                <w:b/>
                <w:color w:val="17365D"/>
                <w:sz w:val="18"/>
              </w:rPr>
              <w:t>ID</w:t>
            </w:r>
          </w:p>
        </w:tc>
        <w:tc>
          <w:tcPr>
            <w:tcW w:type="dxa" w:w="980"/>
            <w:shd w:fill="F2F4F7"/>
            <w:tcMar>
              <w:top w:w="80" w:type="dxa"/>
              <w:start w:w="120" w:type="dxa"/>
              <w:bottom w:w="80" w:type="dxa"/>
              <w:end w:w="120" w:type="dxa"/>
            </w:tcMar>
            <w:vAlign w:val="center"/>
          </w:tcPr>
          <w:p>
            <w:pPr>
              <w:spacing w:before="20" w:after="20"/>
            </w:pPr>
            <w:r>
              <w:rPr>
                <w:rFonts w:ascii="Calibri" w:hAnsi="Calibri"/>
                <w:b/>
                <w:color w:val="17365D"/>
                <w:sz w:val="18"/>
              </w:rPr>
              <w:t>Rating</w:t>
            </w:r>
          </w:p>
        </w:tc>
        <w:tc>
          <w:tcPr>
            <w:tcW w:type="dxa" w:w="4100"/>
            <w:shd w:fill="F2F4F7"/>
            <w:tcMar>
              <w:top w:w="80" w:type="dxa"/>
              <w:start w:w="120" w:type="dxa"/>
              <w:bottom w:w="80" w:type="dxa"/>
              <w:end w:w="120" w:type="dxa"/>
            </w:tcMar>
            <w:vAlign w:val="center"/>
          </w:tcPr>
          <w:p>
            <w:pPr>
              <w:spacing w:before="20" w:after="20"/>
            </w:pPr>
            <w:r>
              <w:rPr>
                <w:rFonts w:ascii="Calibri" w:hAnsi="Calibri"/>
                <w:b/>
                <w:color w:val="17365D"/>
                <w:sz w:val="18"/>
              </w:rPr>
              <w:t>Risk</w:t>
            </w:r>
          </w:p>
        </w:tc>
        <w:tc>
          <w:tcPr>
            <w:tcW w:type="dxa" w:w="3600"/>
            <w:shd w:fill="F2F4F7"/>
            <w:tcMar>
              <w:top w:w="80" w:type="dxa"/>
              <w:start w:w="120" w:type="dxa"/>
              <w:bottom w:w="80" w:type="dxa"/>
              <w:end w:w="120" w:type="dxa"/>
            </w:tcMar>
            <w:vAlign w:val="center"/>
          </w:tcPr>
          <w:p>
            <w:pPr>
              <w:spacing w:before="20" w:after="20"/>
            </w:pPr>
            <w:r>
              <w:rPr>
                <w:rFonts w:ascii="Calibri" w:hAnsi="Calibri"/>
                <w:b/>
                <w:color w:val="17365D"/>
                <w:sz w:val="18"/>
              </w:rPr>
              <w:t>Required disposition</w:t>
            </w:r>
          </w:p>
        </w:tc>
      </w:tr>
      <w:tr>
        <w:trPr>
          <w:cantSplit w:val="true"/>
        </w:trPr>
        <w:tc>
          <w:tcPr>
            <w:tcW w:type="dxa" w:w="680"/>
            <w:tcMar>
              <w:top w:w="80" w:type="dxa"/>
              <w:start w:w="120" w:type="dxa"/>
              <w:bottom w:w="80" w:type="dxa"/>
              <w:end w:w="120" w:type="dxa"/>
            </w:tcMar>
            <w:vAlign w:val="center"/>
          </w:tcPr>
          <w:p>
            <w:pPr>
              <w:spacing w:before="0" w:after="0" w:line="252" w:lineRule="auto"/>
            </w:pPr>
            <w:r>
              <w:rPr>
                <w:rFonts w:ascii="Calibri" w:hAnsi="Calibri"/>
                <w:sz w:val="17"/>
              </w:rPr>
              <w:t>R-01</w:t>
            </w:r>
          </w:p>
        </w:tc>
        <w:tc>
          <w:tcPr>
            <w:tcW w:type="dxa" w:w="980"/>
            <w:tcMar>
              <w:top w:w="80" w:type="dxa"/>
              <w:start w:w="120" w:type="dxa"/>
              <w:bottom w:w="80" w:type="dxa"/>
              <w:end w:w="120" w:type="dxa"/>
            </w:tcMar>
            <w:vAlign w:val="center"/>
          </w:tcPr>
          <w:p>
            <w:pPr>
              <w:spacing w:before="0" w:after="0" w:line="252" w:lineRule="auto"/>
            </w:pPr>
            <w:r>
              <w:rPr>
                <w:rFonts w:ascii="Calibri" w:hAnsi="Calibri"/>
                <w:sz w:val="17"/>
              </w:rPr>
              <w:t>HIGH</w:t>
            </w:r>
          </w:p>
        </w:tc>
        <w:tc>
          <w:tcPr>
            <w:tcW w:type="dxa" w:w="4100"/>
            <w:tcMar>
              <w:top w:w="80" w:type="dxa"/>
              <w:start w:w="120" w:type="dxa"/>
              <w:bottom w:w="80" w:type="dxa"/>
              <w:end w:w="120" w:type="dxa"/>
            </w:tcMar>
            <w:vAlign w:val="center"/>
          </w:tcPr>
          <w:p>
            <w:pPr>
              <w:spacing w:before="0" w:after="0" w:line="252" w:lineRule="auto"/>
            </w:pPr>
            <w:r>
              <w:rPr>
                <w:rFonts w:ascii="Calibri" w:hAnsi="Calibri"/>
                <w:sz w:val="17"/>
              </w:rPr>
              <w:t>Critical accounts, billing, recovery, and knowledge remain concentrated in one developer.</w:t>
            </w:r>
          </w:p>
        </w:tc>
        <w:tc>
          <w:tcPr>
            <w:tcW w:type="dxa" w:w="3600"/>
            <w:tcMar>
              <w:top w:w="80" w:type="dxa"/>
              <w:start w:w="120" w:type="dxa"/>
              <w:bottom w:w="80" w:type="dxa"/>
              <w:end w:w="120" w:type="dxa"/>
            </w:tcMar>
            <w:vAlign w:val="center"/>
          </w:tcPr>
          <w:p>
            <w:pPr>
              <w:spacing w:before="0" w:after="0" w:line="252" w:lineRule="auto"/>
            </w:pPr>
            <w:r>
              <w:rPr>
                <w:rFonts w:ascii="Calibri" w:hAnsi="Calibri"/>
                <w:sz w:val="17"/>
              </w:rPr>
              <w:t>Transfer to organizational ownership; designate and exercise backup access.</w:t>
            </w:r>
          </w:p>
        </w:tc>
      </w:tr>
      <w:tr>
        <w:trPr>
          <w:cantSplit w:val="true"/>
        </w:trPr>
        <w:tc>
          <w:tcPr>
            <w:tcW w:type="dxa" w:w="680"/>
            <w:tcMar>
              <w:top w:w="80" w:type="dxa"/>
              <w:start w:w="120" w:type="dxa"/>
              <w:bottom w:w="80" w:type="dxa"/>
              <w:end w:w="120" w:type="dxa"/>
            </w:tcMar>
            <w:vAlign w:val="center"/>
          </w:tcPr>
          <w:p>
            <w:pPr>
              <w:spacing w:before="0" w:after="0" w:line="252" w:lineRule="auto"/>
            </w:pPr>
            <w:r>
              <w:rPr>
                <w:rFonts w:ascii="Calibri" w:hAnsi="Calibri"/>
                <w:sz w:val="17"/>
              </w:rPr>
              <w:t>R-02</w:t>
            </w:r>
          </w:p>
        </w:tc>
        <w:tc>
          <w:tcPr>
            <w:tcW w:type="dxa" w:w="980"/>
            <w:tcMar>
              <w:top w:w="80" w:type="dxa"/>
              <w:start w:w="120" w:type="dxa"/>
              <w:bottom w:w="80" w:type="dxa"/>
              <w:end w:w="120" w:type="dxa"/>
            </w:tcMar>
            <w:vAlign w:val="center"/>
          </w:tcPr>
          <w:p>
            <w:pPr>
              <w:spacing w:before="0" w:after="0" w:line="252" w:lineRule="auto"/>
            </w:pPr>
            <w:r>
              <w:rPr>
                <w:rFonts w:ascii="Calibri" w:hAnsi="Calibri"/>
                <w:sz w:val="17"/>
              </w:rPr>
              <w:t>HIGH</w:t>
            </w:r>
          </w:p>
        </w:tc>
        <w:tc>
          <w:tcPr>
            <w:tcW w:type="dxa" w:w="4100"/>
            <w:tcMar>
              <w:top w:w="80" w:type="dxa"/>
              <w:start w:w="120" w:type="dxa"/>
              <w:bottom w:w="80" w:type="dxa"/>
              <w:end w:w="120" w:type="dxa"/>
            </w:tcMar>
            <w:vAlign w:val="center"/>
          </w:tcPr>
          <w:p>
            <w:r>
              <w:t>Pilot tenants share application, databases, and bucket; isolation is logical. A route authorization matrix and executable inventory enforce coverage, and archive restore is resource-bounded, but no independent adversarial review is complete.</w:t>
            </w:r>
          </w:p>
        </w:tc>
        <w:tc>
          <w:tcPr>
            <w:tcW w:type="dxa" w:w="3600"/>
            <w:tcMar>
              <w:top w:w="80" w:type="dxa"/>
              <w:start w:w="120" w:type="dxa"/>
              <w:bottom w:w="80" w:type="dxa"/>
              <w:end w:w="120" w:type="dxa"/>
            </w:tcMar>
            <w:vAlign w:val="center"/>
          </w:tcPr>
          <w:p>
            <w:r>
              <w:t>Retain the passing gate; complete focused tenant-boundary review and remaining replay/race/fuzz/resource tests before a second external agency.</w:t>
            </w:r>
          </w:p>
        </w:tc>
      </w:tr>
      <w:tr>
        <w:trPr>
          <w:cantSplit w:val="true"/>
        </w:trPr>
        <w:tc>
          <w:tcPr>
            <w:tcW w:type="dxa" w:w="680"/>
            <w:tcMar>
              <w:top w:w="80" w:type="dxa"/>
              <w:start w:w="120" w:type="dxa"/>
              <w:bottom w:w="80" w:type="dxa"/>
              <w:end w:w="120" w:type="dxa"/>
            </w:tcMar>
            <w:vAlign w:val="center"/>
          </w:tcPr>
          <w:p>
            <w:pPr>
              <w:spacing w:before="0" w:after="0" w:line="252" w:lineRule="auto"/>
            </w:pPr>
            <w:r>
              <w:rPr>
                <w:rFonts w:ascii="Calibri" w:hAnsi="Calibri"/>
                <w:sz w:val="17"/>
              </w:rPr>
              <w:t>R-03</w:t>
            </w:r>
          </w:p>
        </w:tc>
        <w:tc>
          <w:tcPr>
            <w:tcW w:type="dxa" w:w="980"/>
            <w:tcMar>
              <w:top w:w="80" w:type="dxa"/>
              <w:start w:w="120" w:type="dxa"/>
              <w:bottom w:w="80" w:type="dxa"/>
              <w:end w:w="120" w:type="dxa"/>
            </w:tcMar>
            <w:vAlign w:val="center"/>
          </w:tcPr>
          <w:p>
            <w:pPr>
              <w:spacing w:before="0" w:after="0" w:line="252" w:lineRule="auto"/>
            </w:pPr>
            <w:r>
              <w:rPr>
                <w:rFonts w:ascii="Calibri" w:hAnsi="Calibri"/>
                <w:sz w:val="17"/>
              </w:rPr>
              <w:t>MEDIUM</w:t>
            </w:r>
          </w:p>
        </w:tc>
        <w:tc>
          <w:tcPr>
            <w:tcW w:type="dxa" w:w="4100"/>
            <w:tcMar>
              <w:top w:w="80" w:type="dxa"/>
              <w:start w:w="120" w:type="dxa"/>
              <w:bottom w:w="80" w:type="dxa"/>
              <w:end w:w="120" w:type="dxa"/>
            </w:tcMar>
            <w:vAlign w:val="center"/>
          </w:tcPr>
          <w:p>
            <w:pPr>
              <w:spacing w:before="0" w:after="0" w:line="252" w:lineRule="auto"/>
            </w:pPr>
            <w:r>
              <w:rPr>
                <w:rFonts w:ascii="Calibri" w:hAnsi="Calibri"/>
                <w:sz w:val="17"/>
              </w:rPr>
              <w:t>Organization self-service recovery is scoped and tested, and a platform-continuity runbook now exists, but platform backup separation and reconstruction have not been exercised.</w:t>
            </w:r>
          </w:p>
        </w:tc>
        <w:tc>
          <w:tcPr>
            <w:tcW w:type="dxa" w:w="3600"/>
            <w:tcMar>
              <w:top w:w="80" w:type="dxa"/>
              <w:start w:w="120" w:type="dxa"/>
              <w:bottom w:w="80" w:type="dxa"/>
              <w:end w:w="120" w:type="dxa"/>
            </w:tcMar>
            <w:vAlign w:val="center"/>
          </w:tcPr>
          <w:p>
            <w:pPr>
              <w:spacing w:before="0" w:after="0" w:line="252" w:lineRule="auto"/>
            </w:pPr>
            <w:r>
              <w:rPr>
                <w:rFonts w:ascii="Calibri" w:hAnsi="Calibri"/>
                <w:sz w:val="17"/>
              </w:rPr>
              <w:t>Approve objectives, protect recovery material, and complete a witnessed isolated reconstruction.</w:t>
            </w:r>
          </w:p>
        </w:tc>
      </w:tr>
      <w:tr>
        <w:trPr>
          <w:cantSplit w:val="true"/>
        </w:trPr>
        <w:tc>
          <w:tcPr>
            <w:tcW w:type="dxa" w:w="680"/>
            <w:tcMar>
              <w:top w:w="80" w:type="dxa"/>
              <w:start w:w="120" w:type="dxa"/>
              <w:bottom w:w="80" w:type="dxa"/>
              <w:end w:w="120" w:type="dxa"/>
            </w:tcMar>
            <w:vAlign w:val="center"/>
          </w:tcPr>
          <w:p>
            <w:pPr>
              <w:spacing w:before="0" w:after="0" w:line="252" w:lineRule="auto"/>
            </w:pPr>
            <w:r>
              <w:rPr>
                <w:rFonts w:ascii="Calibri" w:hAnsi="Calibri"/>
                <w:sz w:val="17"/>
              </w:rPr>
              <w:t>R-04</w:t>
            </w:r>
          </w:p>
        </w:tc>
        <w:tc>
          <w:tcPr>
            <w:tcW w:type="dxa" w:w="980"/>
            <w:tcMar>
              <w:top w:w="80" w:type="dxa"/>
              <w:start w:w="120" w:type="dxa"/>
              <w:bottom w:w="80" w:type="dxa"/>
              <w:end w:w="120" w:type="dxa"/>
            </w:tcMar>
            <w:vAlign w:val="center"/>
          </w:tcPr>
          <w:p>
            <w:pPr>
              <w:spacing w:before="0" w:after="0" w:line="252" w:lineRule="auto"/>
            </w:pPr>
            <w:r>
              <w:rPr>
                <w:rFonts w:ascii="Calibri" w:hAnsi="Calibri"/>
                <w:sz w:val="17"/>
              </w:rPr>
              <w:t>MEDIUM</w:t>
            </w:r>
          </w:p>
        </w:tc>
        <w:tc>
          <w:tcPr>
            <w:tcW w:type="dxa" w:w="4100"/>
            <w:tcMar>
              <w:top w:w="80" w:type="dxa"/>
              <w:start w:w="120" w:type="dxa"/>
              <w:bottom w:w="80" w:type="dxa"/>
              <w:end w:w="120" w:type="dxa"/>
            </w:tcMar>
            <w:vAlign w:val="center"/>
          </w:tcPr>
          <w:p>
            <w:r>
              <w:t>The server uses an exact dependency lock, automated audit/static/secret gates, Dependabot, CycloneDX SBOM, and an Apache 2.0 license; hashes, container/history/license-policy scans, full platform SBOMs, and protected provenance remain open.</w:t>
            </w:r>
          </w:p>
        </w:tc>
        <w:tc>
          <w:tcPr>
            <w:tcW w:type="dxa" w:w="3600"/>
            <w:tcMar>
              <w:top w:w="80" w:type="dxa"/>
              <w:start w:w="120" w:type="dxa"/>
              <w:bottom w:w="80" w:type="dxa"/>
              <w:end w:w="120" w:type="dxa"/>
            </w:tcMar>
            <w:vAlign w:val="center"/>
          </w:tcPr>
          <w:p>
            <w:pPr>
              <w:spacing w:before="0" w:after="0" w:line="252" w:lineRule="auto"/>
            </w:pPr>
            <w:r>
              <w:rPr>
                <w:rFonts w:ascii="Calibri" w:hAnsi="Calibri"/>
                <w:sz w:val="17"/>
              </w:rPr>
              <w:t>Retain the passing server gate and close the remaining cross-platform and release-governance gaps.</w:t>
            </w:r>
          </w:p>
        </w:tc>
      </w:tr>
      <w:tr>
        <w:trPr>
          <w:cantSplit w:val="true"/>
        </w:trPr>
        <w:tc>
          <w:tcPr>
            <w:tcW w:type="dxa" w:w="680"/>
            <w:tcMar>
              <w:top w:w="80" w:type="dxa"/>
              <w:start w:w="120" w:type="dxa"/>
              <w:bottom w:w="80" w:type="dxa"/>
              <w:end w:w="120" w:type="dxa"/>
            </w:tcMar>
            <w:vAlign w:val="center"/>
          </w:tcPr>
          <w:p>
            <w:pPr>
              <w:spacing w:before="0" w:after="0" w:line="252" w:lineRule="auto"/>
            </w:pPr>
            <w:r>
              <w:rPr>
                <w:rFonts w:ascii="Calibri" w:hAnsi="Calibri"/>
                <w:sz w:val="17"/>
              </w:rPr>
              <w:t>R-05</w:t>
            </w:r>
          </w:p>
        </w:tc>
        <w:tc>
          <w:tcPr>
            <w:tcW w:type="dxa" w:w="980"/>
            <w:tcMar>
              <w:top w:w="80" w:type="dxa"/>
              <w:start w:w="120" w:type="dxa"/>
              <w:bottom w:w="80" w:type="dxa"/>
              <w:end w:w="120" w:type="dxa"/>
            </w:tcMar>
            <w:vAlign w:val="center"/>
          </w:tcPr>
          <w:p>
            <w:pPr>
              <w:spacing w:before="0" w:after="0" w:line="252" w:lineRule="auto"/>
            </w:pPr>
            <w:r>
              <w:rPr>
                <w:rFonts w:ascii="Calibri" w:hAnsi="Calibri"/>
                <w:sz w:val="17"/>
              </w:rPr>
              <w:t>MED-HIGH</w:t>
            </w:r>
          </w:p>
        </w:tc>
        <w:tc>
          <w:tcPr>
            <w:tcW w:type="dxa" w:w="4100"/>
            <w:tcMar>
              <w:top w:w="80" w:type="dxa"/>
              <w:start w:w="120" w:type="dxa"/>
              <w:bottom w:w="80" w:type="dxa"/>
              <w:end w:w="120" w:type="dxa"/>
            </w:tcMar>
            <w:vAlign w:val="center"/>
          </w:tcPr>
          <w:p>
            <w:pPr>
              <w:spacing w:before="0" w:after="0" w:line="252" w:lineRule="auto"/>
            </w:pPr>
            <w:r>
              <w:rPr>
                <w:rFonts w:ascii="Calibri" w:hAnsi="Calibri"/>
                <w:sz w:val="17"/>
              </w:rPr>
              <w:t>Per-device credentials are revocable but issued for up to one year.</w:t>
            </w:r>
          </w:p>
        </w:tc>
        <w:tc>
          <w:tcPr>
            <w:tcW w:type="dxa" w:w="3600"/>
            <w:tcMar>
              <w:top w:w="80" w:type="dxa"/>
              <w:start w:w="120" w:type="dxa"/>
              <w:bottom w:w="80" w:type="dxa"/>
              <w:end w:w="120" w:type="dxa"/>
            </w:tcMar>
            <w:vAlign w:val="center"/>
          </w:tcPr>
          <w:p>
            <w:pPr>
              <w:spacing w:before="0" w:after="0" w:line="252" w:lineRule="auto"/>
            </w:pPr>
            <w:r>
              <w:rPr>
                <w:rFonts w:ascii="Calibri" w:hAnsi="Calibri"/>
                <w:sz w:val="17"/>
              </w:rPr>
              <w:t>Adopt shorter expiry/rotation, revocation SLAs, last-used review, and lost-device procedure.</w:t>
            </w:r>
          </w:p>
        </w:tc>
      </w:tr>
      <w:tr>
        <w:trPr>
          <w:cantSplit w:val="true"/>
        </w:trPr>
        <w:tc>
          <w:tcPr>
            <w:tcW w:type="dxa" w:w="680"/>
            <w:tcMar>
              <w:top w:w="80" w:type="dxa"/>
              <w:start w:w="120" w:type="dxa"/>
              <w:bottom w:w="80" w:type="dxa"/>
              <w:end w:w="120" w:type="dxa"/>
            </w:tcMar>
            <w:vAlign w:val="center"/>
          </w:tcPr>
          <w:p>
            <w:pPr>
              <w:spacing w:before="0" w:after="0" w:line="252" w:lineRule="auto"/>
            </w:pPr>
            <w:r>
              <w:rPr>
                <w:rFonts w:ascii="Calibri" w:hAnsi="Calibri"/>
                <w:sz w:val="17"/>
              </w:rPr>
              <w:t>R-06</w:t>
            </w:r>
          </w:p>
        </w:tc>
        <w:tc>
          <w:tcPr>
            <w:tcW w:type="dxa" w:w="980"/>
            <w:tcMar>
              <w:top w:w="80" w:type="dxa"/>
              <w:start w:w="120" w:type="dxa"/>
              <w:bottom w:w="80" w:type="dxa"/>
              <w:end w:w="120" w:type="dxa"/>
            </w:tcMar>
            <w:vAlign w:val="center"/>
          </w:tcPr>
          <w:p>
            <w:pPr>
              <w:spacing w:before="0" w:after="0" w:line="252" w:lineRule="auto"/>
            </w:pPr>
            <w:r>
              <w:rPr>
                <w:rFonts w:ascii="Calibri" w:hAnsi="Calibri"/>
                <w:sz w:val="17"/>
              </w:rPr>
              <w:t>MED-HIGH</w:t>
            </w:r>
          </w:p>
        </w:tc>
        <w:tc>
          <w:tcPr>
            <w:tcW w:type="dxa" w:w="4100"/>
            <w:tcMar>
              <w:top w:w="80" w:type="dxa"/>
              <w:start w:w="120" w:type="dxa"/>
              <w:bottom w:w="80" w:type="dxa"/>
              <w:end w:w="120" w:type="dxa"/>
            </w:tcMar>
            <w:vAlign w:val="center"/>
          </w:tcPr>
          <w:p>
            <w:pPr>
              <w:spacing w:before="0" w:after="0" w:line="252" w:lineRule="auto"/>
            </w:pPr>
            <w:r>
              <w:rPr>
                <w:rFonts w:ascii="Calibri" w:hAnsi="Calibri"/>
                <w:sz w:val="17"/>
              </w:rPr>
              <w:t>Sensitive mobile archives and operational configuration live on field devices with platform-specific storage behavior.</w:t>
            </w:r>
          </w:p>
        </w:tc>
        <w:tc>
          <w:tcPr>
            <w:tcW w:type="dxa" w:w="3600"/>
            <w:tcMar>
              <w:top w:w="80" w:type="dxa"/>
              <w:start w:w="120" w:type="dxa"/>
              <w:bottom w:w="80" w:type="dxa"/>
              <w:end w:w="120" w:type="dxa"/>
            </w:tcMar>
            <w:vAlign w:val="center"/>
          </w:tcPr>
          <w:p>
            <w:pPr>
              <w:spacing w:before="0" w:after="0" w:line="252" w:lineRule="auto"/>
            </w:pPr>
            <w:r>
              <w:rPr>
                <w:rFonts w:ascii="Calibri" w:hAnsi="Calibri"/>
                <w:sz w:val="17"/>
              </w:rPr>
              <w:t>Document at-rest controls, backups, MDM/passcode expectations, and remote/lost-device response.</w:t>
            </w:r>
          </w:p>
        </w:tc>
      </w:tr>
      <w:tr>
        <w:trPr>
          <w:cantSplit w:val="true"/>
        </w:trPr>
        <w:tc>
          <w:tcPr>
            <w:tcW w:type="dxa" w:w="680"/>
            <w:tcMar>
              <w:top w:w="80" w:type="dxa"/>
              <w:start w:w="120" w:type="dxa"/>
              <w:bottom w:w="80" w:type="dxa"/>
              <w:end w:w="120" w:type="dxa"/>
            </w:tcMar>
            <w:vAlign w:val="center"/>
          </w:tcPr>
          <w:p>
            <w:pPr>
              <w:spacing w:before="0" w:after="0" w:line="252" w:lineRule="auto"/>
            </w:pPr>
            <w:r>
              <w:rPr>
                <w:rFonts w:ascii="Calibri" w:hAnsi="Calibri"/>
                <w:sz w:val="17"/>
              </w:rPr>
              <w:t>R-07</w:t>
            </w:r>
          </w:p>
        </w:tc>
        <w:tc>
          <w:tcPr>
            <w:tcW w:type="dxa" w:w="980"/>
            <w:tcMar>
              <w:top w:w="80" w:type="dxa"/>
              <w:start w:w="120" w:type="dxa"/>
              <w:bottom w:w="80" w:type="dxa"/>
              <w:end w:w="120" w:type="dxa"/>
            </w:tcMar>
            <w:vAlign w:val="center"/>
          </w:tcPr>
          <w:p>
            <w:pPr>
              <w:spacing w:before="0" w:after="0" w:line="252" w:lineRule="auto"/>
            </w:pPr>
            <w:r>
              <w:rPr>
                <w:rFonts w:ascii="Calibri" w:hAnsi="Calibri"/>
                <w:sz w:val="17"/>
              </w:rPr>
              <w:t>MEDIUM</w:t>
            </w:r>
          </w:p>
        </w:tc>
        <w:tc>
          <w:tcPr>
            <w:tcW w:type="dxa" w:w="4100"/>
            <w:tcMar>
              <w:top w:w="80" w:type="dxa"/>
              <w:start w:w="120" w:type="dxa"/>
              <w:bottom w:w="80" w:type="dxa"/>
              <w:end w:w="120" w:type="dxa"/>
            </w:tcMar>
            <w:vAlign w:val="center"/>
          </w:tcPr>
          <w:p>
            <w:r>
              <w:t>Browser CORS is now restricted and production HSTS is source-enforced; effective edge TLS/header coverage has not been independently verified after deployment.</w:t>
            </w:r>
          </w:p>
        </w:tc>
        <w:tc>
          <w:tcPr>
            <w:tcW w:type="dxa" w:w="3600"/>
            <w:tcMar>
              <w:top w:w="80" w:type="dxa"/>
              <w:start w:w="120" w:type="dxa"/>
              <w:bottom w:w="80" w:type="dxa"/>
              <w:end w:w="120" w:type="dxa"/>
            </w:tcMar>
            <w:vAlign w:val="center"/>
          </w:tcPr>
          <w:p>
            <w:r>
              <w:t>Retain the origin/method/header restriction and HSTS test; independently verify production edge behavior and sensitive-route coverage.</w:t>
            </w:r>
          </w:p>
        </w:tc>
      </w:tr>
      <w:tr>
        <w:trPr>
          <w:cantSplit w:val="true"/>
        </w:trPr>
        <w:tc>
          <w:tcPr>
            <w:tcW w:type="dxa" w:w="680"/>
            <w:tcMar>
              <w:top w:w="80" w:type="dxa"/>
              <w:start w:w="120" w:type="dxa"/>
              <w:bottom w:w="80" w:type="dxa"/>
              <w:end w:w="120" w:type="dxa"/>
            </w:tcMar>
            <w:vAlign w:val="center"/>
          </w:tcPr>
          <w:p>
            <w:pPr>
              <w:spacing w:before="0" w:after="0" w:line="252" w:lineRule="auto"/>
            </w:pPr>
            <w:r>
              <w:rPr>
                <w:rFonts w:ascii="Calibri" w:hAnsi="Calibri"/>
                <w:sz w:val="17"/>
              </w:rPr>
              <w:t>R-08</w:t>
            </w:r>
          </w:p>
        </w:tc>
        <w:tc>
          <w:tcPr>
            <w:tcW w:type="dxa" w:w="980"/>
            <w:tcMar>
              <w:top w:w="80" w:type="dxa"/>
              <w:start w:w="120" w:type="dxa"/>
              <w:bottom w:w="80" w:type="dxa"/>
              <w:end w:w="120" w:type="dxa"/>
            </w:tcMar>
            <w:vAlign w:val="center"/>
          </w:tcPr>
          <w:p>
            <w:pPr>
              <w:spacing w:before="0" w:after="0" w:line="252" w:lineRule="auto"/>
            </w:pPr>
            <w:r>
              <w:rPr>
                <w:rFonts w:ascii="Calibri" w:hAnsi="Calibri"/>
                <w:sz w:val="17"/>
              </w:rPr>
              <w:t>HIGH</w:t>
            </w:r>
          </w:p>
        </w:tc>
        <w:tc>
          <w:tcPr>
            <w:tcW w:type="dxa" w:w="4100"/>
            <w:tcMar>
              <w:top w:w="80" w:type="dxa"/>
              <w:start w:w="120" w:type="dxa"/>
              <w:bottom w:w="80" w:type="dxa"/>
              <w:end w:w="120" w:type="dxa"/>
            </w:tcMar>
            <w:vAlign w:val="center"/>
          </w:tcPr>
          <w:p>
            <w:pPr>
              <w:spacing w:before="0" w:after="0" w:line="252" w:lineRule="auto"/>
            </w:pPr>
            <w:r>
              <w:rPr>
                <w:rFonts w:ascii="Calibri" w:hAnsi="Calibri"/>
                <w:sz w:val="17"/>
              </w:rPr>
              <w:t>No independent penetration test or focused secure-code review has been completed.</w:t>
            </w:r>
          </w:p>
        </w:tc>
        <w:tc>
          <w:tcPr>
            <w:tcW w:type="dxa" w:w="3600"/>
            <w:tcMar>
              <w:top w:w="80" w:type="dxa"/>
              <w:start w:w="120" w:type="dxa"/>
              <w:bottom w:w="80" w:type="dxa"/>
              <w:end w:w="120" w:type="dxa"/>
            </w:tcMar>
            <w:vAlign w:val="center"/>
          </w:tcPr>
          <w:p>
            <w:pPr>
              <w:spacing w:before="0" w:after="0" w:line="252" w:lineRule="auto"/>
            </w:pPr>
            <w:r>
              <w:rPr>
                <w:rFonts w:ascii="Calibri" w:hAnsi="Calibri"/>
                <w:sz w:val="17"/>
              </w:rPr>
              <w:t>Perform scoped review before broad onboarding or accepting payment.</w:t>
            </w:r>
          </w:p>
        </w:tc>
      </w:tr>
      <w:tr>
        <w:trPr>
          <w:cantSplit w:val="true"/>
        </w:trPr>
        <w:tc>
          <w:tcPr>
            <w:tcW w:type="dxa" w:w="680"/>
            <w:tcMar>
              <w:top w:w="80" w:type="dxa"/>
              <w:start w:w="120" w:type="dxa"/>
              <w:bottom w:w="80" w:type="dxa"/>
              <w:end w:w="120" w:type="dxa"/>
            </w:tcMar>
            <w:vAlign w:val="center"/>
          </w:tcPr>
          <w:p>
            <w:pPr>
              <w:spacing w:before="0" w:after="0" w:line="252" w:lineRule="auto"/>
            </w:pPr>
            <w:r>
              <w:rPr>
                <w:rFonts w:ascii="Calibri" w:hAnsi="Calibri"/>
                <w:sz w:val="17"/>
              </w:rPr>
              <w:t>R-09</w:t>
            </w:r>
          </w:p>
        </w:tc>
        <w:tc>
          <w:tcPr>
            <w:tcW w:type="dxa" w:w="980"/>
            <w:tcMar>
              <w:top w:w="80" w:type="dxa"/>
              <w:start w:w="120" w:type="dxa"/>
              <w:bottom w:w="80" w:type="dxa"/>
              <w:end w:w="120" w:type="dxa"/>
            </w:tcMar>
            <w:vAlign w:val="center"/>
          </w:tcPr>
          <w:p>
            <w:pPr>
              <w:spacing w:before="0" w:after="0" w:line="252" w:lineRule="auto"/>
            </w:pPr>
            <w:r>
              <w:rPr>
                <w:rFonts w:ascii="Calibri" w:hAnsi="Calibri"/>
                <w:sz w:val="17"/>
              </w:rPr>
              <w:t>HIGH IMPACT</w:t>
            </w:r>
          </w:p>
        </w:tc>
        <w:tc>
          <w:tcPr>
            <w:tcW w:type="dxa" w:w="4100"/>
            <w:tcMar>
              <w:top w:w="80" w:type="dxa"/>
              <w:start w:w="120" w:type="dxa"/>
              <w:bottom w:w="80" w:type="dxa"/>
              <w:end w:w="120" w:type="dxa"/>
            </w:tcMar>
            <w:vAlign w:val="center"/>
          </w:tcPr>
          <w:p>
            <w:pPr>
              <w:spacing w:before="0" w:after="0" w:line="252" w:lineRule="auto"/>
            </w:pPr>
            <w:r>
              <w:rPr>
                <w:rFonts w:ascii="Calibri" w:hAnsi="Calibri"/>
                <w:sz w:val="17"/>
              </w:rPr>
              <w:t>Operators could over-rely on incomplete, delayed, unavailable, or incorrect information.</w:t>
            </w:r>
          </w:p>
        </w:tc>
        <w:tc>
          <w:tcPr>
            <w:tcW w:type="dxa" w:w="3600"/>
            <w:tcMar>
              <w:top w:w="80" w:type="dxa"/>
              <w:start w:w="120" w:type="dxa"/>
              <w:bottom w:w="80" w:type="dxa"/>
              <w:end w:w="120" w:type="dxa"/>
            </w:tcMar>
            <w:vAlign w:val="center"/>
          </w:tcPr>
          <w:p>
            <w:pPr>
              <w:spacing w:before="0" w:after="0" w:line="252" w:lineRule="auto"/>
            </w:pPr>
            <w:r>
              <w:rPr>
                <w:rFonts w:ascii="Calibri" w:hAnsi="Calibri"/>
                <w:sz w:val="17"/>
              </w:rPr>
              <w:t>Retain explicit acknowledgments, training, UI status, independent verification, and field qualification.</w:t>
            </w:r>
          </w:p>
        </w:tc>
      </w:tr>
      <w:tr>
        <w:trPr>
          <w:cantSplit w:val="true"/>
        </w:trPr>
        <w:tc>
          <w:tcPr>
            <w:tcW w:type="dxa" w:w="680"/>
            <w:tcMar>
              <w:top w:w="80" w:type="dxa"/>
              <w:start w:w="120" w:type="dxa"/>
              <w:bottom w:w="80" w:type="dxa"/>
              <w:end w:w="120" w:type="dxa"/>
            </w:tcMar>
            <w:vAlign w:val="center"/>
          </w:tcPr>
          <w:p>
            <w:pPr>
              <w:spacing w:before="0" w:after="0" w:line="252" w:lineRule="auto"/>
            </w:pPr>
            <w:r>
              <w:rPr>
                <w:rFonts w:ascii="Calibri" w:hAnsi="Calibri"/>
                <w:sz w:val="17"/>
              </w:rPr>
              <w:t>R-10</w:t>
            </w:r>
          </w:p>
        </w:tc>
        <w:tc>
          <w:tcPr>
            <w:tcW w:type="dxa" w:w="980"/>
            <w:tcMar>
              <w:top w:w="80" w:type="dxa"/>
              <w:start w:w="120" w:type="dxa"/>
              <w:bottom w:w="80" w:type="dxa"/>
              <w:end w:w="120" w:type="dxa"/>
            </w:tcMar>
            <w:vAlign w:val="center"/>
          </w:tcPr>
          <w:p>
            <w:pPr>
              <w:spacing w:before="0" w:after="0" w:line="252" w:lineRule="auto"/>
            </w:pPr>
            <w:r>
              <w:rPr>
                <w:rFonts w:ascii="Calibri" w:hAnsi="Calibri"/>
                <w:sz w:val="17"/>
              </w:rPr>
              <w:t>MEDIUM</w:t>
            </w:r>
          </w:p>
        </w:tc>
        <w:tc>
          <w:tcPr>
            <w:tcW w:type="dxa" w:w="4100"/>
            <w:tcMar>
              <w:top w:w="80" w:type="dxa"/>
              <w:start w:w="120" w:type="dxa"/>
              <w:bottom w:w="80" w:type="dxa"/>
              <w:end w:w="120" w:type="dxa"/>
            </w:tcMar>
            <w:vAlign w:val="center"/>
          </w:tcPr>
          <w:p>
            <w:pPr>
              <w:spacing w:before="0" w:after="0" w:line="252" w:lineRule="auto"/>
            </w:pPr>
            <w:r>
              <w:rPr>
                <w:rFonts w:ascii="Calibri" w:hAnsi="Calibri"/>
                <w:sz w:val="17"/>
              </w:rPr>
              <w:t>CalTopo, FAA, Google, map providers, Cloud Run, database VM, and TURN are external dependencies.</w:t>
            </w:r>
          </w:p>
        </w:tc>
        <w:tc>
          <w:tcPr>
            <w:tcW w:type="dxa" w:w="3600"/>
            <w:tcMar>
              <w:top w:w="80" w:type="dxa"/>
              <w:start w:w="120" w:type="dxa"/>
              <w:bottom w:w="80" w:type="dxa"/>
              <w:end w:w="120" w:type="dxa"/>
            </w:tcMar>
            <w:vAlign w:val="center"/>
          </w:tcPr>
          <w:p>
            <w:pPr>
              <w:spacing w:before="0" w:after="0" w:line="252" w:lineRule="auto"/>
            </w:pPr>
            <w:r>
              <w:rPr>
                <w:rFonts w:ascii="Calibri" w:hAnsi="Calibri"/>
                <w:sz w:val="17"/>
              </w:rPr>
              <w:t>Document failure modes, status indicators, fallback, vendor terms, and discontinuation plan.</w:t>
            </w:r>
          </w:p>
        </w:tc>
      </w:tr>
      <w:tr>
        <w:trPr>
          <w:cantSplit w:val="true"/>
        </w:trPr>
        <w:tc>
          <w:tcPr>
            <w:tcW w:type="dxa" w:w="680"/>
            <w:tcMar>
              <w:top w:w="80" w:type="dxa"/>
              <w:start w:w="120" w:type="dxa"/>
              <w:bottom w:w="80" w:type="dxa"/>
              <w:end w:w="120" w:type="dxa"/>
            </w:tcMar>
            <w:vAlign w:val="center"/>
          </w:tcPr>
          <w:p>
            <w:pPr>
              <w:spacing w:before="0" w:after="0" w:line="252" w:lineRule="auto"/>
            </w:pPr>
            <w:r>
              <w:rPr>
                <w:rFonts w:ascii="Calibri" w:hAnsi="Calibri"/>
                <w:sz w:val="17"/>
              </w:rPr>
              <w:t>R-11</w:t>
            </w:r>
          </w:p>
        </w:tc>
        <w:tc>
          <w:tcPr>
            <w:tcW w:type="dxa" w:w="980"/>
            <w:tcMar>
              <w:top w:w="80" w:type="dxa"/>
              <w:start w:w="120" w:type="dxa"/>
              <w:bottom w:w="80" w:type="dxa"/>
              <w:end w:w="120" w:type="dxa"/>
            </w:tcMar>
            <w:vAlign w:val="center"/>
          </w:tcPr>
          <w:p>
            <w:pPr>
              <w:spacing w:before="0" w:after="0" w:line="252" w:lineRule="auto"/>
            </w:pPr>
            <w:r>
              <w:rPr>
                <w:rFonts w:ascii="Calibri" w:hAnsi="Calibri"/>
                <w:sz w:val="17"/>
              </w:rPr>
              <w:t>MED-HIGH</w:t>
            </w:r>
          </w:p>
        </w:tc>
        <w:tc>
          <w:tcPr>
            <w:tcW w:type="dxa" w:w="4100"/>
            <w:tcMar>
              <w:top w:w="80" w:type="dxa"/>
              <w:start w:w="120" w:type="dxa"/>
              <w:bottom w:w="80" w:type="dxa"/>
              <w:end w:w="120" w:type="dxa"/>
            </w:tcMar>
            <w:vAlign w:val="center"/>
          </w:tcPr>
          <w:p>
            <w:pPr>
              <w:spacing w:before="0" w:after="0" w:line="252" w:lineRule="auto"/>
            </w:pPr>
            <w:r>
              <w:rPr>
                <w:rFonts w:ascii="Calibri" w:hAnsi="Calibri"/>
                <w:sz w:val="17"/>
              </w:rPr>
              <w:t>An interim security policy and incident/monitoring runbooks now exist, but they are not Board-approved; alert channels, retention decisions, contact tree, and tabletop evidence are absent.</w:t>
            </w:r>
          </w:p>
        </w:tc>
        <w:tc>
          <w:tcPr>
            <w:tcW w:type="dxa" w:w="3600"/>
            <w:tcMar>
              <w:top w:w="80" w:type="dxa"/>
              <w:start w:w="120" w:type="dxa"/>
              <w:bottom w:w="80" w:type="dxa"/>
              <w:end w:w="120" w:type="dxa"/>
            </w:tcMar>
            <w:vAlign w:val="center"/>
          </w:tcPr>
          <w:p>
            <w:pPr>
              <w:spacing w:before="0" w:after="0" w:line="252" w:lineRule="auto"/>
            </w:pPr>
            <w:r>
              <w:rPr>
                <w:rFonts w:ascii="Calibri" w:hAnsi="Calibri"/>
                <w:sz w:val="17"/>
              </w:rPr>
              <w:t>Approve ownership and policy; configure two responder destinations; test alerts and complete a tabletop.</w:t>
            </w:r>
          </w:p>
        </w:tc>
      </w:tr>
      <w:tr>
        <w:trPr>
          <w:cantSplit w:val="true"/>
        </w:trPr>
        <w:tc>
          <w:tcPr>
            <w:tcW w:type="dxa" w:w="680"/>
            <w:tcMar>
              <w:top w:w="80" w:type="dxa"/>
              <w:start w:w="120" w:type="dxa"/>
              <w:bottom w:w="80" w:type="dxa"/>
              <w:end w:w="120" w:type="dxa"/>
            </w:tcMar>
            <w:vAlign w:val="center"/>
          </w:tcPr>
          <w:p>
            <w:pPr>
              <w:spacing w:before="0" w:after="0" w:line="252" w:lineRule="auto"/>
            </w:pPr>
            <w:r>
              <w:rPr>
                <w:rFonts w:ascii="Calibri" w:hAnsi="Calibri"/>
                <w:sz w:val="17"/>
              </w:rPr>
              <w:t>R-12</w:t>
            </w:r>
          </w:p>
        </w:tc>
        <w:tc>
          <w:tcPr>
            <w:tcW w:type="dxa" w:w="980"/>
            <w:tcMar>
              <w:top w:w="80" w:type="dxa"/>
              <w:start w:w="120" w:type="dxa"/>
              <w:bottom w:w="80" w:type="dxa"/>
              <w:end w:w="120" w:type="dxa"/>
            </w:tcMar>
            <w:vAlign w:val="center"/>
          </w:tcPr>
          <w:p>
            <w:pPr>
              <w:spacing w:before="0" w:after="0" w:line="252" w:lineRule="auto"/>
            </w:pPr>
            <w:r>
              <w:rPr>
                <w:rFonts w:ascii="Calibri" w:hAnsi="Calibri"/>
                <w:sz w:val="17"/>
              </w:rPr>
              <w:t>MED-HIGH</w:t>
            </w:r>
          </w:p>
        </w:tc>
        <w:tc>
          <w:tcPr>
            <w:tcW w:type="dxa" w:w="4100"/>
            <w:tcMar>
              <w:top w:w="80" w:type="dxa"/>
              <w:start w:w="120" w:type="dxa"/>
              <w:bottom w:w="80" w:type="dxa"/>
              <w:end w:w="120" w:type="dxa"/>
            </w:tcMar>
            <w:vAlign w:val="center"/>
          </w:tcPr>
          <w:p>
            <w:pPr>
              <w:spacing w:before="0" w:after="0" w:line="252" w:lineRule="auto"/>
            </w:pPr>
            <w:r>
              <w:rPr>
                <w:rFonts w:ascii="Calibri" w:hAnsi="Calibri"/>
                <w:sz w:val="17"/>
              </w:rPr>
              <w:t>Managed-video media delivery remains incompletely qualified, especially Apple and routed paths.</w:t>
            </w:r>
          </w:p>
        </w:tc>
        <w:tc>
          <w:tcPr>
            <w:tcW w:type="dxa" w:w="3600"/>
            <w:tcMar>
              <w:top w:w="80" w:type="dxa"/>
              <w:start w:w="120" w:type="dxa"/>
              <w:bottom w:w="80" w:type="dxa"/>
              <w:end w:w="120" w:type="dxa"/>
            </w:tcMar>
            <w:vAlign w:val="center"/>
          </w:tcPr>
          <w:p>
            <w:pPr>
              <w:spacing w:before="0" w:after="0" w:line="252" w:lineRule="auto"/>
            </w:pPr>
            <w:r>
              <w:rPr>
                <w:rFonts w:ascii="Calibri" w:hAnsi="Calibri"/>
                <w:sz w:val="17"/>
              </w:rPr>
              <w:t>Keep disabled or pilot-labeled until direct/TURN, reconnect, thermal, privacy, and data-use tests pass.</w:t>
            </w:r>
          </w:p>
        </w:tc>
      </w:tr>
      <w:tr>
        <w:trPr>
          <w:cantSplit w:val="true"/>
        </w:trPr>
        <w:tc>
          <w:tcPr>
            <w:tcW w:type="dxa" w:w="680"/>
            <w:tcMar>
              <w:top w:w="80" w:type="dxa"/>
              <w:start w:w="120" w:type="dxa"/>
              <w:bottom w:w="80" w:type="dxa"/>
              <w:end w:w="120" w:type="dxa"/>
            </w:tcMar>
            <w:vAlign w:val="center"/>
          </w:tcPr>
          <w:p>
            <w:pPr>
              <w:spacing w:before="0" w:after="0" w:line="252" w:lineRule="auto"/>
            </w:pPr>
            <w:r>
              <w:rPr>
                <w:rFonts w:ascii="Calibri" w:hAnsi="Calibri"/>
                <w:sz w:val="17"/>
              </w:rPr>
              <w:t>R-13</w:t>
            </w:r>
          </w:p>
        </w:tc>
        <w:tc>
          <w:tcPr>
            <w:tcW w:type="dxa" w:w="980"/>
            <w:tcMar>
              <w:top w:w="80" w:type="dxa"/>
              <w:start w:w="120" w:type="dxa"/>
              <w:bottom w:w="80" w:type="dxa"/>
              <w:end w:w="120" w:type="dxa"/>
            </w:tcMar>
            <w:vAlign w:val="center"/>
          </w:tcPr>
          <w:p>
            <w:pPr>
              <w:spacing w:before="0" w:after="0" w:line="252" w:lineRule="auto"/>
            </w:pPr>
            <w:r>
              <w:rPr>
                <w:rFonts w:ascii="Calibri" w:hAnsi="Calibri"/>
                <w:sz w:val="17"/>
              </w:rPr>
              <w:t>MEDIUM</w:t>
            </w:r>
          </w:p>
        </w:tc>
        <w:tc>
          <w:tcPr>
            <w:tcW w:type="dxa" w:w="4100"/>
            <w:tcMar>
              <w:top w:w="80" w:type="dxa"/>
              <w:start w:w="120" w:type="dxa"/>
              <w:bottom w:w="80" w:type="dxa"/>
              <w:end w:w="120" w:type="dxa"/>
            </w:tcMar>
            <w:vAlign w:val="center"/>
          </w:tcPr>
          <w:p>
            <w:r>
              <w:t>An interim repository SECURITY.md defines reporting and response targets, and r2c-tracker now carries the program's Apache 2.0 license; ownership confirmation and an NCSSAR-controlled security address remain open.</w:t>
            </w:r>
          </w:p>
        </w:tc>
        <w:tc>
          <w:tcPr>
            <w:tcW w:type="dxa" w:w="3600"/>
            <w:tcMar>
              <w:top w:w="80" w:type="dxa"/>
              <w:start w:w="120" w:type="dxa"/>
              <w:bottom w:w="80" w:type="dxa"/>
              <w:end w:w="120" w:type="dxa"/>
            </w:tcMar>
            <w:vAlign w:val="center"/>
          </w:tcPr>
          <w:p>
            <w:r>
              <w:t>Confirm organizational stewardship/ownership responsibilities and replace the personal interim contact during adoption.</w:t>
            </w:r>
          </w:p>
        </w:tc>
      </w:tr>
      <w:tr>
        <w:trPr>
          <w:cantSplit w:val="true"/>
        </w:trPr>
        <w:tc>
          <w:tcPr>
            <w:tcW w:type="dxa" w:w="680"/>
            <w:tcMar>
              <w:top w:w="80" w:type="dxa"/>
              <w:start w:w="120" w:type="dxa"/>
              <w:bottom w:w="80" w:type="dxa"/>
              <w:end w:w="120" w:type="dxa"/>
            </w:tcMar>
            <w:vAlign w:val="center"/>
          </w:tcPr>
          <w:p>
            <w:pPr>
              <w:spacing w:before="0" w:after="0" w:line="252" w:lineRule="auto"/>
            </w:pPr>
            <w:r>
              <w:rPr>
                <w:rFonts w:ascii="Calibri" w:hAnsi="Calibri"/>
                <w:sz w:val="17"/>
              </w:rPr>
              <w:t>R-14</w:t>
            </w:r>
          </w:p>
        </w:tc>
        <w:tc>
          <w:tcPr>
            <w:tcW w:type="dxa" w:w="980"/>
            <w:tcMar>
              <w:top w:w="80" w:type="dxa"/>
              <w:start w:w="120" w:type="dxa"/>
              <w:bottom w:w="80" w:type="dxa"/>
              <w:end w:w="120" w:type="dxa"/>
            </w:tcMar>
            <w:vAlign w:val="center"/>
          </w:tcPr>
          <w:p>
            <w:pPr>
              <w:spacing w:before="0" w:after="0" w:line="252" w:lineRule="auto"/>
            </w:pPr>
            <w:r>
              <w:rPr>
                <w:rFonts w:ascii="Calibri" w:hAnsi="Calibri"/>
                <w:sz w:val="17"/>
              </w:rPr>
              <w:t>MED-HIGH</w:t>
            </w:r>
          </w:p>
        </w:tc>
        <w:tc>
          <w:tcPr>
            <w:tcW w:type="dxa" w:w="4100"/>
            <w:tcMar>
              <w:top w:w="80" w:type="dxa"/>
              <w:start w:w="120" w:type="dxa"/>
              <w:bottom w:w="80" w:type="dxa"/>
              <w:end w:w="120" w:type="dxa"/>
            </w:tcMar>
            <w:vAlign w:val="center"/>
          </w:tcPr>
          <w:p>
            <w:pPr>
              <w:spacing w:before="0" w:after="0" w:line="252" w:lineRule="auto"/>
            </w:pPr>
            <w:r>
              <w:rPr>
                <w:rFonts w:ascii="Calibri" w:hAnsi="Calibri"/>
                <w:sz w:val="17"/>
              </w:rPr>
              <w:t>Deletion protection, web-tag removal, logged public-RDP denial, and an additive IAP path are live. The VM still has public SSH/IP; guest key/OS Login repair, IAP proof, Secure Boot decision, backups, and alerts remain open.</w:t>
            </w:r>
          </w:p>
        </w:tc>
        <w:tc>
          <w:tcPr>
            <w:tcW w:type="dxa" w:w="3600"/>
            <w:tcMar>
              <w:top w:w="80" w:type="dxa"/>
              <w:start w:w="120" w:type="dxa"/>
              <w:bottom w:w="80" w:type="dxa"/>
              <w:end w:w="120" w:type="dxa"/>
            </w:tcMar>
            <w:vAlign w:val="center"/>
          </w:tcPr>
          <w:p>
            <w:pPr>
              <w:spacing w:before="0" w:after="0" w:line="252" w:lineRule="auto"/>
            </w:pPr>
            <w:r>
              <w:rPr>
                <w:rFonts w:ascii="Calibri" w:hAnsi="Calibri"/>
                <w:sz w:val="17"/>
              </w:rPr>
              <w:t>Use a controlled restart to repair/prove IAP, then block public SSH; plan controlled egress/public-IP removal and complete host/backup review.</w:t>
            </w:r>
          </w:p>
        </w:tc>
      </w:tr>
    </w:tbl>
    <w:p>
      <w:pPr>
        <w:spacing w:after="20"/>
      </w:pPr>
    </w:p>
    <w:p>
      <w:pPr>
        <w:pStyle w:val="Heading2"/>
      </w:pPr>
      <w:r>
        <w:t>Risk treatment standard</w:t>
      </w:r>
    </w:p>
    <w:p>
      <w:pPr>
        <w:keepLines/>
        <w:numPr>
          <w:ilvl w:val="0"/>
          <w:numId w:val="10"/>
        </w:numPr>
      </w:pPr>
      <w:r>
        <w:rPr>
          <w:rFonts w:ascii="Calibri" w:hAnsi="Calibri"/>
        </w:rPr>
        <w:t>Close: implement and verify the required control with retained evidence.</w:t>
      </w:r>
    </w:p>
    <w:p>
      <w:pPr>
        <w:keepLines/>
        <w:numPr>
          <w:ilvl w:val="0"/>
          <w:numId w:val="10"/>
        </w:numPr>
      </w:pPr>
      <w:r>
        <w:rPr>
          <w:rFonts w:ascii="Calibri" w:hAnsi="Calibri"/>
        </w:rPr>
        <w:t>Mitigate: reduce likelihood or impact and document the residual risk.</w:t>
      </w:r>
    </w:p>
    <w:p>
      <w:pPr>
        <w:keepLines/>
        <w:numPr>
          <w:ilvl w:val="0"/>
          <w:numId w:val="10"/>
        </w:numPr>
      </w:pPr>
      <w:r>
        <w:rPr>
          <w:rFonts w:ascii="Calibri" w:hAnsi="Calibri"/>
        </w:rPr>
        <w:t>Accept: Board or delegated committee explicitly accepts a time-bound residual risk with an owner and review date.</w:t>
      </w:r>
    </w:p>
    <w:p>
      <w:pPr>
        <w:keepLines/>
        <w:numPr>
          <w:ilvl w:val="0"/>
          <w:numId w:val="10"/>
        </w:numPr>
      </w:pPr>
      <w:r>
        <w:rPr>
          <w:rFonts w:ascii="Calibri" w:hAnsi="Calibri"/>
        </w:rPr>
        <w:t>Avoid: disable or defer the feature, agency onboarding, payment, or deployment that creates the risk.</w:t>
      </w:r>
    </w:p>
    <w:p>
      <w:pPr>
        <w:spacing w:before="60" w:after="0"/>
      </w:pPr>
    </w:p>
    <w:p>
      <w:pPr>
        <w:pStyle w:val="Heading1"/>
      </w:pPr>
      <w:r>
        <w:t>6. Detailed treatment priorities</w:t>
      </w:r>
    </w:p>
    <w:p>
      <w:pPr>
        <w:pStyle w:val="Heading2"/>
      </w:pPr>
      <w:r>
        <w:t>A. Institutional control and administrator continuity</w:t>
      </w:r>
    </w:p>
    <w:p>
      <w:pPr>
        <w:keepLines/>
        <w:numPr>
          <w:ilvl w:val="0"/>
          <w:numId w:val="10"/>
        </w:numPr>
      </w:pPr>
      <w:r>
        <w:rPr>
          <w:rFonts w:ascii="Calibri" w:hAnsi="Calibri"/>
        </w:rPr>
        <w:t>Create an account inventory covering repositories, domains, app stores, Google Cloud projects, billing, OAuth clients, FAA access, email sender, TURN, monitoring, and backup destinations.</w:t>
      </w:r>
    </w:p>
    <w:p>
      <w:pPr>
        <w:keepLines/>
        <w:numPr>
          <w:ilvl w:val="0"/>
          <w:numId w:val="10"/>
        </w:numPr>
      </w:pPr>
      <w:r>
        <w:rPr>
          <w:rFonts w:ascii="Calibri" w:hAnsi="Calibri"/>
        </w:rPr>
        <w:t>Move ownership and recovery to NCSSAR-controlled identities; prohibit a volunteer’s personal account from being the sole owner or billing guarantor.</w:t>
      </w:r>
    </w:p>
    <w:p>
      <w:pPr>
        <w:keepLines/>
        <w:numPr>
          <w:ilvl w:val="0"/>
          <w:numId w:val="10"/>
        </w:numPr>
      </w:pPr>
      <w:r>
        <w:rPr>
          <w:rFonts w:ascii="Calibri" w:hAnsi="Calibri"/>
        </w:rPr>
        <w:t>Use phishing-resistant MFA where available, two independent recovery holders, least-privilege roles, quarterly access review, and emergency revocation steps.</w:t>
      </w:r>
    </w:p>
    <w:p>
      <w:pPr>
        <w:keepLines/>
        <w:numPr>
          <w:ilvl w:val="0"/>
          <w:numId w:val="10"/>
        </w:numPr>
      </w:pPr>
      <w:r>
        <w:rPr>
          <w:rFonts w:ascii="Calibri" w:hAnsi="Calibri"/>
        </w:rPr>
        <w:t>Run a continuity exercise in which the backup administrator deploys, rolls back, rotates a credential, exports data, and restores service without the primary developer.</w:t>
      </w:r>
    </w:p>
    <w:p>
      <w:pPr>
        <w:pStyle w:val="Heading2"/>
      </w:pPr>
      <w:r>
        <w:t>B. Tenant isolation and application security</w:t>
      </w:r>
    </w:p>
    <w:p>
      <w:pPr>
        <w:keepLines/>
        <w:numPr>
          <w:ilvl w:val="0"/>
          <w:numId w:val="10"/>
        </w:numPr>
      </w:pPr>
      <w:r>
        <w:rPr>
          <w:rFonts w:ascii="Calibri" w:hAnsi="Calibri"/>
        </w:rPr>
        <w:t>Maintain the new authorization matrix and executable route inventory, which classify organization/platform routes and all state-changing interfaces and fail when a new route lacks a declared access mechanism.</w:t>
      </w:r>
    </w:p>
    <w:p>
      <w:pPr>
        <w:keepLines/>
        <w:numPr>
          <w:ilvl w:val="0"/>
          <w:numId w:val="10"/>
        </w:numPr>
      </w:pPr>
      <w:r>
        <w:t>Retain the passing cross-organization, scoped-storage, credential, archived-organization, role, and bounded archive-restore tests; extend them with independent replay, race, stale-session, fuzzing, and sustained resource-exhaustion cases.</w:t>
      </w:r>
    </w:p>
    <w:p>
      <w:pPr>
        <w:keepLines/>
        <w:numPr>
          <w:ilvl w:val="0"/>
          <w:numId w:val="10"/>
        </w:numPr>
      </w:pPr>
      <w:r>
        <w:t>Independently verify the new archive upload, entry-count, per-log, and expanded-size limits; review public uploads for content validation, filename/path confinement, timeouts, concurrency, and denial-of-service behavior.</w:t>
      </w:r>
    </w:p>
    <w:p>
      <w:pPr>
        <w:keepLines/>
        <w:numPr>
          <w:ilvl w:val="0"/>
          <w:numId w:val="10"/>
        </w:numPr>
      </w:pPr>
      <w:r>
        <w:rPr>
          <w:rFonts w:ascii="Calibri" w:hAnsi="Calibri"/>
        </w:rPr>
        <w:t>Decide whether logical isolation in a shared database/bucket is acceptable for the controlled pilot or whether separate schemas, databases, buckets, encryption keys, or projects are required.</w:t>
      </w:r>
    </w:p>
    <w:p>
      <w:pPr>
        <w:pStyle w:val="Heading2"/>
      </w:pPr>
      <w:r>
        <w:t>C. Resilience, backup, and recoverability</w:t>
      </w:r>
    </w:p>
    <w:p>
      <w:pPr>
        <w:keepLines/>
        <w:numPr>
          <w:ilvl w:val="0"/>
          <w:numId w:val="10"/>
        </w:numPr>
      </w:pPr>
      <w:r>
        <w:rPr>
          <w:rFonts w:ascii="Calibri" w:hAnsi="Calibri"/>
        </w:rPr>
        <w:t>Keep routine flight-record export, deletion, and restoration under organization-owner/records-admin control; the platform administrator should not mediate those decisions.</w:t>
      </w:r>
    </w:p>
    <w:p>
      <w:pPr>
        <w:keepLines/>
        <w:numPr>
          <w:ilvl w:val="0"/>
          <w:numId w:val="10"/>
        </w:numPr>
      </w:pPr>
      <w:r>
        <w:rPr>
          <w:rFonts w:ascii="Calibri" w:hAnsi="Calibri"/>
        </w:rPr>
        <w:t>Use the new platform-continuity runbook to establish Board-approved recovery objectives consistent with best-effort service - not an implied SLA - for the hosted service, organization accounts/roles, enrollment/revocation state, audit history, and database host.</w:t>
      </w:r>
    </w:p>
    <w:p>
      <w:pPr>
        <w:keepLines/>
        <w:numPr>
          <w:ilvl w:val="0"/>
          <w:numId w:val="10"/>
        </w:numPr>
      </w:pPr>
      <w:r>
        <w:rPr>
          <w:rFonts w:ascii="Calibri" w:hAnsi="Calibri"/>
        </w:rPr>
        <w:t>Protect platform-level recovery material with separate administrative access, encryption, retention, and resistance to the same credential compromise that could affect production.</w:t>
      </w:r>
    </w:p>
    <w:p>
      <w:pPr>
        <w:keepLines/>
        <w:numPr>
          <w:ilvl w:val="0"/>
          <w:numId w:val="10"/>
        </w:numPr>
      </w:pPr>
      <w:r>
        <w:rPr>
          <w:rFonts w:ascii="Calibri" w:hAnsi="Calibri"/>
        </w:rPr>
        <w:t>Reconstruct an isolated non-production environment with a backup administrator and record elapsed time, missing state, and required follow-up.</w:t>
      </w:r>
    </w:p>
    <w:p>
      <w:pPr>
        <w:pStyle w:val="Heading2"/>
      </w:pPr>
      <w:r>
        <w:t>D. Secure software supply chain</w:t>
      </w:r>
    </w:p>
    <w:p>
      <w:pPr>
        <w:keepLines/>
        <w:numPr>
          <w:ilvl w:val="0"/>
          <w:numId w:val="10"/>
        </w:numPr>
      </w:pPr>
      <w:r>
        <w:rPr>
          <w:rFonts w:ascii="Calibri" w:hAnsi="Calibri"/>
        </w:rPr>
        <w:t>Retain the server's exact production dependency lock and deliberate update process; add cryptographic hashes and immutable base-image/release provenance where practical.</w:t>
      </w:r>
    </w:p>
    <w:p>
      <w:pPr>
        <w:keepLines/>
        <w:numPr>
          <w:ilvl w:val="0"/>
          <w:numId w:val="10"/>
        </w:numPr>
      </w:pPr>
      <w:r>
        <w:rPr>
          <w:rFonts w:ascii="Calibri" w:hAnsi="Calibri"/>
        </w:rPr>
        <w:t>Retain the generated CycloneDX server SBOM with each release and extend SBOM coverage to Android, Apple, websites, the container base, and bundled MediaMTX artifacts.</w:t>
      </w:r>
    </w:p>
    <w:p>
      <w:pPr>
        <w:keepLines/>
        <w:numPr>
          <w:ilvl w:val="0"/>
          <w:numId w:val="10"/>
        </w:numPr>
      </w:pPr>
      <w:r>
        <w:t>Keep the CI dependency audit, medium/high static analysis, tracked-source secret-baseline enforcement, full tests, Dependabot checks, SBOM, and Apache 2.0 license; add container, secret-history, license-policy, and cross-platform scans with reviewed thresholds.</w:t>
      </w:r>
    </w:p>
    <w:p>
      <w:pPr>
        <w:keepLines/>
        <w:numPr>
          <w:ilvl w:val="0"/>
          <w:numId w:val="10"/>
        </w:numPr>
      </w:pPr>
      <w:r>
        <w:rPr>
          <w:rFonts w:ascii="Calibri" w:hAnsi="Calibri"/>
        </w:rPr>
        <w:t>Protect release branches/tags, require review for deployment changes, sign or attest artifacts where practical, and document reproducible rollback.</w:t>
      </w:r>
    </w:p>
    <w:p>
      <w:pPr>
        <w:pStyle w:val="Heading2"/>
      </w:pPr>
      <w:r>
        <w:t>E. Incident response and monitoring</w:t>
      </w:r>
    </w:p>
    <w:p>
      <w:pPr>
        <w:keepLines/>
        <w:numPr>
          <w:ilvl w:val="0"/>
          <w:numId w:val="10"/>
        </w:numPr>
      </w:pPr>
      <w:r>
        <w:rPr>
          <w:rFonts w:ascii="Calibri" w:hAnsi="Calibri"/>
        </w:rPr>
        <w:t>Approve and institutionalize the new interim security policy and incident-response runbook, replacing the personal contact with an NCSSAR-controlled address and named incident commander, technical responder, agency liaison, legal/privacy liaison, and scribe.</w:t>
      </w:r>
    </w:p>
    <w:p>
      <w:pPr>
        <w:keepLines/>
        <w:numPr>
          <w:ilvl w:val="0"/>
          <w:numId w:val="10"/>
        </w:numPr>
      </w:pPr>
      <w:r>
        <w:rPr>
          <w:rFonts w:ascii="Calibri" w:hAnsi="Calibri"/>
        </w:rPr>
        <w:t>Implement the detections specified in the new monitoring standard. The cloud project currently has no notification channel, alert policy, or custom log metric; route Critical/High alerts to two separately held NCSSAR-controlled destinations and test delivery.</w:t>
      </w:r>
    </w:p>
    <w:p>
      <w:pPr>
        <w:keepLines/>
        <w:numPr>
          <w:ilvl w:val="0"/>
          <w:numId w:val="10"/>
        </w:numPr>
      </w:pPr>
      <w:r>
        <w:rPr>
          <w:rFonts w:ascii="Calibri" w:hAnsi="Calibri"/>
        </w:rPr>
        <w:t>Set log retention and access rules; test that credentials, OAuth codes, reset tokens, raw media, and unnecessary precise location do not enter routine logs.</w:t>
      </w:r>
    </w:p>
    <w:p>
      <w:pPr>
        <w:keepLines/>
        <w:numPr>
          <w:ilvl w:val="0"/>
          <w:numId w:val="10"/>
        </w:numPr>
      </w:pPr>
      <w:r>
        <w:rPr>
          <w:rFonts w:ascii="Calibri" w:hAnsi="Calibri"/>
        </w:rPr>
        <w:t>Tabletop a lost device, compromised administrator, tenant data exposure, database loss, and third-party outage using the new runbook before broad onboarding; retain actions, owners, deadlines, and alert-delivery evidence.</w:t>
      </w:r>
    </w:p>
    <w:p>
      <w:pPr>
        <w:spacing w:before="60" w:after="0"/>
      </w:pPr>
    </w:p>
    <w:p>
      <w:pPr>
        <w:pStyle w:val="Heading1"/>
      </w:pPr>
      <w:r>
        <w:t>7. Public-safety and managed-video safeguards</w:t>
      </w:r>
    </w:p>
    <w:tbl>
      <w:tblPr>
        <w:jc w:val="left"/>
        <w:tblLook w:firstColumn="1" w:firstRow="1" w:lastColumn="0" w:lastRow="0" w:noHBand="0" w:noVBand="1" w:val="04A0"/>
        <w:tblW w:w="9360" w:type="dxa"/>
        <w:tblInd w:w="120" w:type="dxa"/>
        <w:tblLayout w:type="fixed"/>
      </w:tblPr>
      <w:tblGrid>
        <w:gridCol w:w="9360"/>
      </w:tblGrid>
      <w:tr>
        <w:trPr>
          <w:tblHeader w:val="true"/>
          <w:cantSplit w:val="true"/>
        </w:trPr>
        <w:tc>
          <w:tcPr>
            <w:tcW w:type="dxa" w:w="9360"/>
            <w:tcMar>
              <w:top w:w="80" w:type="dxa"/>
              <w:start w:w="120" w:type="dxa"/>
              <w:bottom w:w="80" w:type="dxa"/>
              <w:end w:w="120" w:type="dxa"/>
            </w:tcMar>
            <w:vAlign w:val="center"/>
            <w:shd w:fill="FCE8E6"/>
          </w:tcPr>
          <w:p>
            <w:pPr>
              <w:spacing w:before="60" w:after="60"/>
            </w:pPr>
            <w:r>
              <w:rPr>
                <w:rFonts w:ascii="Calibri" w:hAnsi="Calibri"/>
                <w:b/>
                <w:color w:val="9B1C1C"/>
              </w:rPr>
              <w:t xml:space="preserve">SAFETY POSITION  </w:t>
            </w:r>
            <w:r>
              <w:rPr>
                <w:rFonts w:ascii="Calibri" w:hAnsi="Calibri"/>
                <w:color w:val="20262E"/>
              </w:rPr>
              <w:t>Security controls do not convert RID2Caltopo into a certified dispatch, navigation, collision-avoidance, aviation, or life-safety system. Technical reviewers should evaluate whether the interface consistently communicates stale, unavailable, incomplete, and unqualified states.</w:t>
            </w:r>
          </w:p>
        </w:tc>
      </w:tr>
    </w:tbl>
    <w:p>
      <w:pPr>
        <w:spacing w:after="20"/>
      </w:pPr>
    </w:p>
    <w:p>
      <w:pPr>
        <w:pStyle w:val="Heading2"/>
      </w:pPr>
      <w:r>
        <w:t>Best-effort service boundary</w:t>
      </w:r>
    </w:p>
    <w:p>
      <w:pPr>
        <w:keepLines/>
        <w:numPr>
          <w:ilvl w:val="0"/>
          <w:numId w:val="10"/>
        </w:numPr>
      </w:pPr>
      <w:r>
        <w:rPr>
          <w:rFonts w:ascii="Calibri" w:hAnsi="Calibri"/>
        </w:rPr>
        <w:t>Android and iOS launch gates now state best-effort, as-is, and as-available operation; no express or implied guarantees of suitability, reliability, availability, accuracy, completeness, merchantability, fitness, or non-infringement.</w:t>
      </w:r>
    </w:p>
    <w:p>
      <w:pPr>
        <w:keepLines/>
        <w:numPr>
          <w:ilvl w:val="0"/>
          <w:numId w:val="10"/>
        </w:numPr>
      </w:pPr>
      <w:r>
        <w:rPr>
          <w:rFonts w:ascii="Calibri" w:hAnsi="Calibri"/>
        </w:rPr>
        <w:t>The r2c-tracker managed-access form carries equivalent versioned terms and rejects unchecked or stale acknowledgments.</w:t>
      </w:r>
    </w:p>
    <w:p>
      <w:pPr>
        <w:keepLines/>
        <w:numPr>
          <w:ilvl w:val="0"/>
          <w:numId w:val="10"/>
        </w:numPr>
      </w:pPr>
      <w:r>
        <w:rPr>
          <w:rFonts w:ascii="Calibri" w:hAnsi="Calibri"/>
        </w:rPr>
        <w:t>These acknowledgments support informed use but do not replace safe design, training, incident response, insurance, or counsel-approved terms.</w:t>
      </w:r>
    </w:p>
    <w:p>
      <w:pPr>
        <w:keepLines/>
        <w:numPr>
          <w:ilvl w:val="0"/>
          <w:numId w:val="10"/>
        </w:numPr>
      </w:pPr>
      <w:r>
        <w:rPr>
          <w:rFonts w:ascii="Calibri" w:hAnsi="Calibri"/>
        </w:rPr>
        <w:t>Operator procedures must require independent verification of navigation, airspace, flight safety, communications, and incident-command information.</w:t>
      </w:r>
    </w:p>
    <w:p>
      <w:pPr>
        <w:pStyle w:val="Heading2"/>
      </w:pPr>
      <w:r>
        <w:t>Managed-video release gate</w:t>
      </w:r>
    </w:p>
    <w:tbl>
      <w:tblPr>
        <w:tblStyle w:val="TableGrid"/>
        <w:jc w:val="left"/>
        <w:tblLook w:firstColumn="1" w:firstRow="1" w:lastColumn="0" w:lastRow="0" w:noHBand="0" w:noVBand="1" w:val="04A0"/>
        <w:tblW w:w="9360" w:type="dxa"/>
        <w:tblInd w:w="120" w:type="dxa"/>
        <w:tblLayout w:type="fixed"/>
      </w:tblPr>
      <w:tblGrid>
        <w:gridCol w:w="1700"/>
        <w:gridCol w:w="3800"/>
        <w:gridCol w:w="3860"/>
      </w:tblGrid>
      <w:tr>
        <w:trPr>
          <w:tblHeader w:val="true"/>
          <w:cantSplit w:val="true"/>
        </w:trPr>
        <w:tc>
          <w:tcPr>
            <w:tcW w:type="dxa" w:w="1700"/>
            <w:shd w:fill="F2F4F7"/>
            <w:tcMar>
              <w:top w:w="80" w:type="dxa"/>
              <w:start w:w="120" w:type="dxa"/>
              <w:bottom w:w="80" w:type="dxa"/>
              <w:end w:w="120" w:type="dxa"/>
            </w:tcMar>
            <w:vAlign w:val="center"/>
          </w:tcPr>
          <w:p>
            <w:pPr>
              <w:spacing w:before="20" w:after="20"/>
            </w:pPr>
            <w:r>
              <w:rPr>
                <w:rFonts w:ascii="Calibri" w:hAnsi="Calibri"/>
                <w:b/>
                <w:color w:val="17365D"/>
                <w:sz w:val="18"/>
              </w:rPr>
              <w:t>Capability</w:t>
            </w:r>
          </w:p>
        </w:tc>
        <w:tc>
          <w:tcPr>
            <w:tcW w:type="dxa" w:w="3800"/>
            <w:shd w:fill="F2F4F7"/>
            <w:tcMar>
              <w:top w:w="80" w:type="dxa"/>
              <w:start w:w="120" w:type="dxa"/>
              <w:bottom w:w="80" w:type="dxa"/>
              <w:end w:w="120" w:type="dxa"/>
            </w:tcMar>
            <w:vAlign w:val="center"/>
          </w:tcPr>
          <w:p>
            <w:pPr>
              <w:spacing w:before="20" w:after="20"/>
            </w:pPr>
            <w:r>
              <w:rPr>
                <w:rFonts w:ascii="Calibri" w:hAnsi="Calibri"/>
                <w:b/>
                <w:color w:val="17365D"/>
                <w:sz w:val="18"/>
              </w:rPr>
              <w:t>Current design/evidence</w:t>
            </w:r>
          </w:p>
        </w:tc>
        <w:tc>
          <w:tcPr>
            <w:tcW w:type="dxa" w:w="3860"/>
            <w:shd w:fill="F2F4F7"/>
            <w:tcMar>
              <w:top w:w="80" w:type="dxa"/>
              <w:start w:w="120" w:type="dxa"/>
              <w:bottom w:w="80" w:type="dxa"/>
              <w:end w:w="120" w:type="dxa"/>
            </w:tcMar>
            <w:vAlign w:val="center"/>
          </w:tcPr>
          <w:p>
            <w:pPr>
              <w:spacing w:before="20" w:after="20"/>
            </w:pPr>
            <w:r>
              <w:rPr>
                <w:rFonts w:ascii="Calibri" w:hAnsi="Calibri"/>
                <w:b/>
                <w:color w:val="17365D"/>
                <w:sz w:val="18"/>
              </w:rPr>
              <w:t>Required before operational claim</w:t>
            </w:r>
          </w:p>
        </w:tc>
      </w:tr>
      <w:tr>
        <w:trPr>
          <w:cantSplit w:val="true"/>
        </w:trPr>
        <w:tc>
          <w:tcPr>
            <w:tcW w:type="dxa" w:w="1700"/>
            <w:tcMar>
              <w:top w:w="80" w:type="dxa"/>
              <w:start w:w="120" w:type="dxa"/>
              <w:bottom w:w="80" w:type="dxa"/>
              <w:end w:w="120" w:type="dxa"/>
            </w:tcMar>
            <w:vAlign w:val="center"/>
          </w:tcPr>
          <w:p>
            <w:pPr>
              <w:spacing w:before="0" w:after="0" w:line="252" w:lineRule="auto"/>
            </w:pPr>
            <w:r>
              <w:rPr>
                <w:rFonts w:ascii="Calibri" w:hAnsi="Calibri"/>
                <w:sz w:val="17"/>
              </w:rPr>
              <w:t>Request authorization</w:t>
            </w:r>
          </w:p>
        </w:tc>
        <w:tc>
          <w:tcPr>
            <w:tcW w:type="dxa" w:w="3800"/>
            <w:tcMar>
              <w:top w:w="80" w:type="dxa"/>
              <w:start w:w="120" w:type="dxa"/>
              <w:bottom w:w="80" w:type="dxa"/>
              <w:end w:w="120" w:type="dxa"/>
            </w:tcMar>
            <w:vAlign w:val="center"/>
          </w:tcPr>
          <w:p>
            <w:pPr>
              <w:spacing w:before="0" w:after="0" w:line="252" w:lineRule="auto"/>
            </w:pPr>
            <w:r>
              <w:rPr>
                <w:rFonts w:ascii="Calibri" w:hAnsi="Calibri"/>
                <w:sz w:val="17"/>
              </w:rPr>
              <w:t>Organization member requires video_requester role; request does not start video.</w:t>
            </w:r>
          </w:p>
        </w:tc>
        <w:tc>
          <w:tcPr>
            <w:tcW w:type="dxa" w:w="3860"/>
            <w:tcMar>
              <w:top w:w="80" w:type="dxa"/>
              <w:start w:w="120" w:type="dxa"/>
              <w:bottom w:w="80" w:type="dxa"/>
              <w:end w:w="120" w:type="dxa"/>
            </w:tcMar>
            <w:vAlign w:val="center"/>
          </w:tcPr>
          <w:p>
            <w:pPr>
              <w:spacing w:before="0" w:after="0" w:line="252" w:lineRule="auto"/>
            </w:pPr>
            <w:r>
              <w:rPr>
                <w:rFonts w:ascii="Calibri" w:hAnsi="Calibri"/>
                <w:sz w:val="17"/>
              </w:rPr>
              <w:t>Negative authorization tests and live role/revocation verification.</w:t>
            </w:r>
          </w:p>
        </w:tc>
      </w:tr>
      <w:tr>
        <w:trPr>
          <w:cantSplit w:val="true"/>
        </w:trPr>
        <w:tc>
          <w:tcPr>
            <w:tcW w:type="dxa" w:w="1700"/>
            <w:tcMar>
              <w:top w:w="80" w:type="dxa"/>
              <w:start w:w="120" w:type="dxa"/>
              <w:bottom w:w="80" w:type="dxa"/>
              <w:end w:w="120" w:type="dxa"/>
            </w:tcMar>
            <w:vAlign w:val="center"/>
          </w:tcPr>
          <w:p>
            <w:pPr>
              <w:spacing w:before="0" w:after="0" w:line="252" w:lineRule="auto"/>
            </w:pPr>
            <w:r>
              <w:rPr>
                <w:rFonts w:ascii="Calibri" w:hAnsi="Calibri"/>
                <w:sz w:val="17"/>
              </w:rPr>
              <w:t>Operator consent</w:t>
            </w:r>
          </w:p>
        </w:tc>
        <w:tc>
          <w:tcPr>
            <w:tcW w:type="dxa" w:w="3800"/>
            <w:tcMar>
              <w:top w:w="80" w:type="dxa"/>
              <w:start w:w="120" w:type="dxa"/>
              <w:bottom w:w="80" w:type="dxa"/>
              <w:end w:w="120" w:type="dxa"/>
            </w:tcMar>
            <w:vAlign w:val="center"/>
          </w:tcPr>
          <w:p>
            <w:pPr>
              <w:spacing w:before="0" w:after="0" w:line="252" w:lineRule="auto"/>
            </w:pPr>
            <w:r>
              <w:rPr>
                <w:rFonts w:ascii="Calibri" w:hAnsi="Calibri"/>
                <w:sz w:val="17"/>
              </w:rPr>
              <w:t>Tablet shows requester and link estimate; pilot/VO explicitly chooses Start.</w:t>
            </w:r>
          </w:p>
        </w:tc>
        <w:tc>
          <w:tcPr>
            <w:tcW w:type="dxa" w:w="3860"/>
            <w:tcMar>
              <w:top w:w="80" w:type="dxa"/>
              <w:start w:w="120" w:type="dxa"/>
              <w:bottom w:w="80" w:type="dxa"/>
              <w:end w:w="120" w:type="dxa"/>
            </w:tcMar>
            <w:vAlign w:val="center"/>
          </w:tcPr>
          <w:p>
            <w:pPr>
              <w:spacing w:before="0" w:after="0" w:line="252" w:lineRule="auto"/>
            </w:pPr>
            <w:r>
              <w:rPr>
                <w:rFonts w:ascii="Calibri" w:hAnsi="Calibri"/>
                <w:sz w:val="17"/>
              </w:rPr>
              <w:t>Physical usability test under field workload and interruption.</w:t>
            </w:r>
          </w:p>
        </w:tc>
      </w:tr>
      <w:tr>
        <w:trPr>
          <w:cantSplit w:val="true"/>
        </w:trPr>
        <w:tc>
          <w:tcPr>
            <w:tcW w:type="dxa" w:w="1700"/>
            <w:tcMar>
              <w:top w:w="80" w:type="dxa"/>
              <w:start w:w="120" w:type="dxa"/>
              <w:bottom w:w="80" w:type="dxa"/>
              <w:end w:w="120" w:type="dxa"/>
            </w:tcMar>
            <w:vAlign w:val="center"/>
          </w:tcPr>
          <w:p>
            <w:pPr>
              <w:spacing w:before="0" w:after="0" w:line="252" w:lineRule="auto"/>
            </w:pPr>
            <w:r>
              <w:rPr>
                <w:rFonts w:ascii="Calibri" w:hAnsi="Calibri"/>
                <w:sz w:val="17"/>
              </w:rPr>
              <w:t>Preflight</w:t>
            </w:r>
          </w:p>
        </w:tc>
        <w:tc>
          <w:tcPr>
            <w:tcW w:type="dxa" w:w="3800"/>
            <w:tcMar>
              <w:top w:w="80" w:type="dxa"/>
              <w:start w:w="120" w:type="dxa"/>
              <w:bottom w:w="80" w:type="dxa"/>
              <w:end w:w="120" w:type="dxa"/>
            </w:tcMar>
            <w:vAlign w:val="center"/>
          </w:tcPr>
          <w:p>
            <w:pPr>
              <w:spacing w:before="0" w:after="0" w:line="252" w:lineRule="auto"/>
            </w:pPr>
            <w:r>
              <w:rPr>
                <w:rFonts w:ascii="Calibri" w:hAnsi="Calibri"/>
                <w:sz w:val="17"/>
              </w:rPr>
              <w:t>Synthetic encrypted data-channel probe; no media or location in payload.</w:t>
            </w:r>
          </w:p>
        </w:tc>
        <w:tc>
          <w:tcPr>
            <w:tcW w:type="dxa" w:w="3860"/>
            <w:tcMar>
              <w:top w:w="80" w:type="dxa"/>
              <w:start w:w="120" w:type="dxa"/>
              <w:bottom w:w="80" w:type="dxa"/>
              <w:end w:w="120" w:type="dxa"/>
            </w:tcMar>
            <w:vAlign w:val="center"/>
          </w:tcPr>
          <w:p>
            <w:pPr>
              <w:spacing w:before="0" w:after="0" w:line="252" w:lineRule="auto"/>
            </w:pPr>
            <w:r>
              <w:rPr>
                <w:rFonts w:ascii="Calibri" w:hAnsi="Calibri"/>
                <w:sz w:val="17"/>
              </w:rPr>
              <w:t>Direct and routed qualification across representative networks.</w:t>
            </w:r>
          </w:p>
        </w:tc>
      </w:tr>
      <w:tr>
        <w:trPr>
          <w:cantSplit w:val="true"/>
        </w:trPr>
        <w:tc>
          <w:tcPr>
            <w:tcW w:type="dxa" w:w="1700"/>
            <w:tcMar>
              <w:top w:w="80" w:type="dxa"/>
              <w:start w:w="120" w:type="dxa"/>
              <w:bottom w:w="80" w:type="dxa"/>
              <w:end w:w="120" w:type="dxa"/>
            </w:tcMar>
            <w:vAlign w:val="center"/>
          </w:tcPr>
          <w:p>
            <w:pPr>
              <w:spacing w:before="0" w:after="0" w:line="252" w:lineRule="auto"/>
            </w:pPr>
            <w:r>
              <w:rPr>
                <w:rFonts w:ascii="Calibri" w:hAnsi="Calibri"/>
                <w:sz w:val="17"/>
              </w:rPr>
              <w:t>Media path</w:t>
            </w:r>
          </w:p>
        </w:tc>
        <w:tc>
          <w:tcPr>
            <w:tcW w:type="dxa" w:w="3800"/>
            <w:tcMar>
              <w:top w:w="80" w:type="dxa"/>
              <w:start w:w="120" w:type="dxa"/>
              <w:bottom w:w="80" w:type="dxa"/>
              <w:end w:w="120" w:type="dxa"/>
            </w:tcMar>
            <w:vAlign w:val="center"/>
          </w:tcPr>
          <w:p>
            <w:pPr>
              <w:spacing w:before="0" w:after="0" w:line="252" w:lineRule="auto"/>
            </w:pPr>
            <w:r>
              <w:rPr>
                <w:rFonts w:ascii="Calibri" w:hAnsi="Calibri"/>
                <w:sz w:val="17"/>
              </w:rPr>
              <w:t>Designed as direct WebRTC or TURN; tracker relays signaling, not recorded media.</w:t>
            </w:r>
          </w:p>
        </w:tc>
        <w:tc>
          <w:tcPr>
            <w:tcW w:type="dxa" w:w="3860"/>
            <w:tcMar>
              <w:top w:w="80" w:type="dxa"/>
              <w:start w:w="120" w:type="dxa"/>
              <w:bottom w:w="80" w:type="dxa"/>
              <w:end w:w="120" w:type="dxa"/>
            </w:tcMar>
            <w:vAlign w:val="center"/>
          </w:tcPr>
          <w:p>
            <w:pPr>
              <w:spacing w:before="0" w:after="0" w:line="252" w:lineRule="auto"/>
            </w:pPr>
            <w:r>
              <w:rPr>
                <w:rFonts w:ascii="Calibri" w:hAnsi="Calibri"/>
                <w:sz w:val="17"/>
              </w:rPr>
              <w:t>Verify packet/media path, TURN configuration, privacy, one-viewer limit, and teardown.</w:t>
            </w:r>
          </w:p>
        </w:tc>
      </w:tr>
      <w:tr>
        <w:trPr>
          <w:cantSplit w:val="true"/>
        </w:trPr>
        <w:tc>
          <w:tcPr>
            <w:tcW w:type="dxa" w:w="1700"/>
            <w:tcMar>
              <w:top w:w="80" w:type="dxa"/>
              <w:start w:w="120" w:type="dxa"/>
              <w:bottom w:w="80" w:type="dxa"/>
              <w:end w:w="120" w:type="dxa"/>
            </w:tcMar>
            <w:vAlign w:val="center"/>
          </w:tcPr>
          <w:p>
            <w:pPr>
              <w:spacing w:before="0" w:after="0" w:line="252" w:lineRule="auto"/>
            </w:pPr>
            <w:r>
              <w:rPr>
                <w:rFonts w:ascii="Calibri" w:hAnsi="Calibri"/>
                <w:sz w:val="17"/>
              </w:rPr>
              <w:t>Apple readiness</w:t>
            </w:r>
          </w:p>
        </w:tc>
        <w:tc>
          <w:tcPr>
            <w:tcW w:type="dxa" w:w="3800"/>
            <w:tcMar>
              <w:top w:w="80" w:type="dxa"/>
              <w:start w:w="120" w:type="dxa"/>
              <w:bottom w:w="80" w:type="dxa"/>
              <w:end w:w="120" w:type="dxa"/>
            </w:tcMar>
            <w:vAlign w:val="center"/>
          </w:tcPr>
          <w:p>
            <w:pPr>
              <w:spacing w:before="0" w:after="0" w:line="252" w:lineRule="auto"/>
            </w:pPr>
            <w:r>
              <w:rPr>
                <w:rFonts w:ascii="Calibri" w:hAnsi="Calibri"/>
                <w:sz w:val="17"/>
              </w:rPr>
              <w:t>Documentation states Apple MediaMTX WebRTC remains incomplete/unqualified.</w:t>
            </w:r>
          </w:p>
        </w:tc>
        <w:tc>
          <w:tcPr>
            <w:tcW w:type="dxa" w:w="3860"/>
            <w:tcMar>
              <w:top w:w="80" w:type="dxa"/>
              <w:start w:w="120" w:type="dxa"/>
              <w:bottom w:w="80" w:type="dxa"/>
              <w:end w:w="120" w:type="dxa"/>
            </w:tcMar>
            <w:vAlign w:val="center"/>
          </w:tcPr>
          <w:p>
            <w:pPr>
              <w:spacing w:before="0" w:after="0" w:line="252" w:lineRule="auto"/>
            </w:pPr>
            <w:r>
              <w:rPr>
                <w:rFonts w:ascii="Calibri" w:hAnsi="Calibri"/>
                <w:sz w:val="17"/>
              </w:rPr>
              <w:t>Keep production advertisement disabled until equivalent physical qualification passes.</w:t>
            </w:r>
          </w:p>
        </w:tc>
      </w:tr>
      <w:tr>
        <w:trPr>
          <w:cantSplit w:val="true"/>
        </w:trPr>
        <w:tc>
          <w:tcPr>
            <w:tcW w:type="dxa" w:w="1700"/>
            <w:tcMar>
              <w:top w:w="80" w:type="dxa"/>
              <w:start w:w="120" w:type="dxa"/>
              <w:bottom w:w="80" w:type="dxa"/>
              <w:end w:w="120" w:type="dxa"/>
            </w:tcMar>
            <w:vAlign w:val="center"/>
          </w:tcPr>
          <w:p>
            <w:pPr>
              <w:spacing w:before="0" w:after="0" w:line="252" w:lineRule="auto"/>
            </w:pPr>
            <w:r>
              <w:rPr>
                <w:rFonts w:ascii="Calibri" w:hAnsi="Calibri"/>
                <w:sz w:val="17"/>
              </w:rPr>
              <w:t>Data use and indicators</w:t>
            </w:r>
          </w:p>
        </w:tc>
        <w:tc>
          <w:tcPr>
            <w:tcW w:type="dxa" w:w="3800"/>
            <w:tcMar>
              <w:top w:w="80" w:type="dxa"/>
              <w:start w:w="120" w:type="dxa"/>
              <w:bottom w:w="80" w:type="dxa"/>
              <w:end w:w="120" w:type="dxa"/>
            </w:tcMar>
            <w:vAlign w:val="center"/>
          </w:tcPr>
          <w:p>
            <w:pPr>
              <w:spacing w:before="0" w:after="0" w:line="252" w:lineRule="auto"/>
            </w:pPr>
            <w:r>
              <w:rPr>
                <w:rFonts w:ascii="Calibri" w:hAnsi="Calibri"/>
                <w:sz w:val="17"/>
              </w:rPr>
              <w:t>Route, quality, estimated data, and consent state are intended to be visible/audited.</w:t>
            </w:r>
          </w:p>
        </w:tc>
        <w:tc>
          <w:tcPr>
            <w:tcW w:type="dxa" w:w="3860"/>
            <w:tcMar>
              <w:top w:w="80" w:type="dxa"/>
              <w:start w:w="120" w:type="dxa"/>
              <w:bottom w:w="80" w:type="dxa"/>
              <w:end w:w="120" w:type="dxa"/>
            </w:tcMar>
            <w:vAlign w:val="center"/>
          </w:tcPr>
          <w:p>
            <w:pPr>
              <w:spacing w:before="0" w:after="0" w:line="252" w:lineRule="auto"/>
            </w:pPr>
            <w:r>
              <w:rPr>
                <w:rFonts w:ascii="Calibri" w:hAnsi="Calibri"/>
                <w:sz w:val="17"/>
              </w:rPr>
              <w:t>Sustained cellular/thermal/battery test and clear persistent viewer/stop indication.</w:t>
            </w:r>
          </w:p>
        </w:tc>
      </w:tr>
    </w:tbl>
    <w:p>
      <w:pPr>
        <w:spacing w:after="20"/>
      </w:pPr>
    </w:p>
    <w:p>
      <w:pPr>
        <w:pStyle w:val="Heading2"/>
      </w:pPr>
      <w:r>
        <w:t>Operational qualification evidence</w:t>
      </w:r>
    </w:p>
    <w:p>
      <w:pPr>
        <w:keepLines/>
        <w:numPr>
          <w:ilvl w:val="0"/>
          <w:numId w:val="10"/>
        </w:numPr>
      </w:pPr>
      <w:r>
        <w:rPr>
          <w:rFonts w:ascii="Calibri" w:hAnsi="Calibri"/>
        </w:rPr>
        <w:t>Build/test success must be reported separately from physical-device installation, launch, UI confirmation, flight exercise, and field proof.</w:t>
      </w:r>
    </w:p>
    <w:p>
      <w:pPr>
        <w:keepLines/>
        <w:numPr>
          <w:ilvl w:val="0"/>
          <w:numId w:val="10"/>
        </w:numPr>
      </w:pPr>
      <w:r>
        <w:rPr>
          <w:rFonts w:ascii="Calibri" w:hAnsi="Calibri"/>
        </w:rPr>
        <w:t>Qualification should include normal, degraded, stale, unavailable, revoked, offline, and third-party-failure states on both Android and Apple.</w:t>
      </w:r>
    </w:p>
    <w:p>
      <w:pPr>
        <w:keepLines/>
        <w:numPr>
          <w:ilvl w:val="0"/>
          <w:numId w:val="10"/>
        </w:numPr>
      </w:pPr>
      <w:r>
        <w:rPr>
          <w:rFonts w:ascii="Calibri" w:hAnsi="Calibri"/>
        </w:rPr>
        <w:t>Every public capability statement should identify what is implemented, laboratory-tested, physically qualified, or still experimental.</w:t>
      </w:r>
    </w:p>
    <w:p>
      <w:pPr>
        <w:spacing w:before="60" w:after="0"/>
      </w:pPr>
    </w:p>
    <w:p>
      <w:pPr>
        <w:pStyle w:val="Heading1"/>
      </w:pPr>
      <w:r>
        <w:t>8. Adoption security gates</w:t>
      </w:r>
    </w:p>
    <w:p>
      <w:pPr>
        <w:keepLines w:val="0"/>
      </w:pPr>
      <w:r>
        <w:rPr>
          <w:rFonts w:ascii="Calibri" w:hAnsi="Calibri"/>
          <w:i w:val="0"/>
          <w:color w:val="20262E"/>
        </w:rPr>
        <w:t>The following gates convert this review into a closing checklist. The Board may delegate evidence review, but risk acceptance should be traceable to an authorized decision.</w:t>
      </w:r>
    </w:p>
    <w:tbl>
      <w:tblPr>
        <w:tblStyle w:val="TableGrid"/>
        <w:jc w:val="left"/>
        <w:tblLook w:firstColumn="1" w:firstRow="1" w:lastColumn="0" w:lastRow="0" w:noHBand="0" w:noVBand="1" w:val="04A0"/>
        <w:tblW w:w="9360" w:type="dxa"/>
        <w:tblInd w:w="120" w:type="dxa"/>
        <w:tblLayout w:type="fixed"/>
      </w:tblPr>
      <w:tblGrid>
        <w:gridCol w:w="1350"/>
        <w:gridCol w:w="4800"/>
        <w:gridCol w:w="1700"/>
        <w:gridCol w:w="1510"/>
      </w:tblGrid>
      <w:tr>
        <w:trPr>
          <w:tblHeader w:val="true"/>
          <w:cantSplit w:val="true"/>
        </w:trPr>
        <w:tc>
          <w:tcPr>
            <w:tcW w:type="dxa" w:w="1350"/>
            <w:shd w:fill="F2F4F7"/>
            <w:tcMar>
              <w:top w:w="80" w:type="dxa"/>
              <w:start w:w="120" w:type="dxa"/>
              <w:bottom w:w="80" w:type="dxa"/>
              <w:end w:w="120" w:type="dxa"/>
            </w:tcMar>
            <w:vAlign w:val="center"/>
          </w:tcPr>
          <w:p>
            <w:pPr>
              <w:spacing w:before="20" w:after="20"/>
            </w:pPr>
            <w:r>
              <w:rPr>
                <w:rFonts w:ascii="Calibri" w:hAnsi="Calibri"/>
                <w:b/>
                <w:color w:val="17365D"/>
                <w:sz w:val="18"/>
              </w:rPr>
              <w:t>Gate</w:t>
            </w:r>
          </w:p>
        </w:tc>
        <w:tc>
          <w:tcPr>
            <w:tcW w:type="dxa" w:w="4800"/>
            <w:shd w:fill="F2F4F7"/>
            <w:tcMar>
              <w:top w:w="80" w:type="dxa"/>
              <w:start w:w="120" w:type="dxa"/>
              <w:bottom w:w="80" w:type="dxa"/>
              <w:end w:w="120" w:type="dxa"/>
            </w:tcMar>
            <w:vAlign w:val="center"/>
          </w:tcPr>
          <w:p>
            <w:pPr>
              <w:spacing w:before="20" w:after="20"/>
            </w:pPr>
            <w:r>
              <w:rPr>
                <w:rFonts w:ascii="Calibri" w:hAnsi="Calibri"/>
                <w:b/>
                <w:color w:val="17365D"/>
                <w:sz w:val="18"/>
              </w:rPr>
              <w:t>Required evidence</w:t>
            </w:r>
          </w:p>
        </w:tc>
        <w:tc>
          <w:tcPr>
            <w:tcW w:type="dxa" w:w="1700"/>
            <w:shd w:fill="F2F4F7"/>
            <w:tcMar>
              <w:top w:w="80" w:type="dxa"/>
              <w:start w:w="120" w:type="dxa"/>
              <w:bottom w:w="80" w:type="dxa"/>
              <w:end w:w="120" w:type="dxa"/>
            </w:tcMar>
            <w:vAlign w:val="center"/>
          </w:tcPr>
          <w:p>
            <w:pPr>
              <w:spacing w:before="20" w:after="20"/>
            </w:pPr>
            <w:r>
              <w:rPr>
                <w:rFonts w:ascii="Calibri" w:hAnsi="Calibri"/>
                <w:b/>
                <w:color w:val="17365D"/>
                <w:sz w:val="18"/>
              </w:rPr>
              <w:t>Owner</w:t>
            </w:r>
          </w:p>
        </w:tc>
        <w:tc>
          <w:tcPr>
            <w:tcW w:type="dxa" w:w="1510"/>
            <w:shd w:fill="F2F4F7"/>
            <w:tcMar>
              <w:top w:w="80" w:type="dxa"/>
              <w:start w:w="120" w:type="dxa"/>
              <w:bottom w:w="80" w:type="dxa"/>
              <w:end w:w="120" w:type="dxa"/>
            </w:tcMar>
            <w:vAlign w:val="center"/>
          </w:tcPr>
          <w:p>
            <w:pPr>
              <w:spacing w:before="20" w:after="20"/>
            </w:pPr>
            <w:r>
              <w:rPr>
                <w:rFonts w:ascii="Calibri" w:hAnsi="Calibri"/>
                <w:b/>
                <w:color w:val="17365D"/>
                <w:sz w:val="18"/>
              </w:rPr>
              <w:t>Decision point</w:t>
            </w:r>
          </w:p>
        </w:tc>
      </w:tr>
      <w:tr>
        <w:trPr>
          <w:cantSplit w:val="true"/>
        </w:trPr>
        <w:tc>
          <w:tcPr>
            <w:tcW w:type="dxa" w:w="1350"/>
            <w:tcMar>
              <w:top w:w="80" w:type="dxa"/>
              <w:start w:w="120" w:type="dxa"/>
              <w:bottom w:w="80" w:type="dxa"/>
              <w:end w:w="120" w:type="dxa"/>
            </w:tcMar>
            <w:vAlign w:val="center"/>
          </w:tcPr>
          <w:p>
            <w:pPr>
              <w:spacing w:before="0" w:after="0" w:line="252" w:lineRule="auto"/>
            </w:pPr>
            <w:r>
              <w:rPr>
                <w:rFonts w:ascii="Calibri" w:hAnsi="Calibri"/>
                <w:sz w:val="17"/>
              </w:rPr>
              <w:t>G-01 Asset and account control</w:t>
            </w:r>
          </w:p>
        </w:tc>
        <w:tc>
          <w:tcPr>
            <w:tcW w:type="dxa" w:w="4800"/>
            <w:tcMar>
              <w:top w:w="80" w:type="dxa"/>
              <w:start w:w="120" w:type="dxa"/>
              <w:bottom w:w="80" w:type="dxa"/>
              <w:end w:w="120" w:type="dxa"/>
            </w:tcMar>
            <w:vAlign w:val="center"/>
          </w:tcPr>
          <w:p>
            <w:pPr>
              <w:spacing w:before="0" w:after="0" w:line="252" w:lineRule="auto"/>
            </w:pPr>
            <w:r>
              <w:rPr>
                <w:rFonts w:ascii="Calibri" w:hAnsi="Calibri"/>
                <w:sz w:val="17"/>
              </w:rPr>
              <w:t>Signed inventory; organizational owners/billing; two recovery administrators; MFA and least privilege</w:t>
            </w:r>
          </w:p>
        </w:tc>
        <w:tc>
          <w:tcPr>
            <w:tcW w:type="dxa" w:w="1700"/>
            <w:tcMar>
              <w:top w:w="80" w:type="dxa"/>
              <w:start w:w="120" w:type="dxa"/>
              <w:bottom w:w="80" w:type="dxa"/>
              <w:end w:w="120" w:type="dxa"/>
            </w:tcMar>
            <w:vAlign w:val="center"/>
          </w:tcPr>
          <w:p>
            <w:pPr>
              <w:spacing w:before="0" w:after="0" w:line="252" w:lineRule="auto"/>
            </w:pPr>
            <w:r>
              <w:rPr>
                <w:rFonts w:ascii="Calibri" w:hAnsi="Calibri"/>
                <w:sz w:val="17"/>
              </w:rPr>
              <w:t>Board officer + technical lead</w:t>
            </w:r>
          </w:p>
        </w:tc>
        <w:tc>
          <w:tcPr>
            <w:tcW w:type="dxa" w:w="1510"/>
            <w:tcMar>
              <w:top w:w="80" w:type="dxa"/>
              <w:start w:w="120" w:type="dxa"/>
              <w:bottom w:w="80" w:type="dxa"/>
              <w:end w:w="120" w:type="dxa"/>
            </w:tcMar>
            <w:vAlign w:val="center"/>
          </w:tcPr>
          <w:p>
            <w:pPr>
              <w:spacing w:before="0" w:after="0" w:line="252" w:lineRule="auto"/>
            </w:pPr>
            <w:r>
              <w:rPr>
                <w:rFonts w:ascii="Calibri" w:hAnsi="Calibri"/>
                <w:sz w:val="17"/>
              </w:rPr>
              <w:t>Before final transfer</w:t>
            </w:r>
          </w:p>
        </w:tc>
      </w:tr>
      <w:tr>
        <w:trPr>
          <w:cantSplit w:val="true"/>
        </w:trPr>
        <w:tc>
          <w:tcPr>
            <w:tcW w:type="dxa" w:w="1350"/>
            <w:tcMar>
              <w:top w:w="80" w:type="dxa"/>
              <w:start w:w="120" w:type="dxa"/>
              <w:bottom w:w="80" w:type="dxa"/>
              <w:end w:w="120" w:type="dxa"/>
            </w:tcMar>
            <w:vAlign w:val="center"/>
          </w:tcPr>
          <w:p>
            <w:pPr>
              <w:spacing w:before="0" w:after="0" w:line="252" w:lineRule="auto"/>
            </w:pPr>
            <w:r>
              <w:rPr>
                <w:rFonts w:ascii="Calibri" w:hAnsi="Calibri"/>
                <w:sz w:val="17"/>
              </w:rPr>
              <w:t>G-02 Cloud baseline and remediation</w:t>
            </w:r>
          </w:p>
        </w:tc>
        <w:tc>
          <w:tcPr>
            <w:tcW w:type="dxa" w:w="4800"/>
            <w:tcMar>
              <w:top w:w="80" w:type="dxa"/>
              <w:start w:w="120" w:type="dxa"/>
              <w:bottom w:w="80" w:type="dxa"/>
              <w:end w:w="120" w:type="dxa"/>
            </w:tcMar>
            <w:vAlign w:val="center"/>
          </w:tcPr>
          <w:p>
            <w:pPr>
              <w:spacing w:before="0" w:after="0" w:line="252" w:lineRule="auto"/>
            </w:pPr>
            <w:r>
              <w:rPr>
                <w:rFonts w:ascii="Calibri" w:hAnsi="Calibri"/>
                <w:sz w:val="17"/>
              </w:rPr>
              <w:t>PARTIAL: retained inventory and no-outage controls; independently verify and close public SSH/IP, guest access, Secure Boot, backup/restore, logging, and budget findings</w:t>
            </w:r>
          </w:p>
        </w:tc>
        <w:tc>
          <w:tcPr>
            <w:tcW w:type="dxa" w:w="1700"/>
            <w:tcMar>
              <w:top w:w="80" w:type="dxa"/>
              <w:start w:w="120" w:type="dxa"/>
              <w:bottom w:w="80" w:type="dxa"/>
              <w:end w:w="120" w:type="dxa"/>
            </w:tcMar>
            <w:vAlign w:val="center"/>
          </w:tcPr>
          <w:p>
            <w:pPr>
              <w:spacing w:before="0" w:after="0" w:line="252" w:lineRule="auto"/>
            </w:pPr>
            <w:r>
              <w:rPr>
                <w:rFonts w:ascii="Calibri" w:hAnsi="Calibri"/>
                <w:sz w:val="17"/>
              </w:rPr>
              <w:t>Independent cloud reviewer</w:t>
            </w:r>
          </w:p>
        </w:tc>
        <w:tc>
          <w:tcPr>
            <w:tcW w:type="dxa" w:w="1510"/>
            <w:tcMar>
              <w:top w:w="80" w:type="dxa"/>
              <w:start w:w="120" w:type="dxa"/>
              <w:bottom w:w="80" w:type="dxa"/>
              <w:end w:w="120" w:type="dxa"/>
            </w:tcMar>
            <w:vAlign w:val="center"/>
          </w:tcPr>
          <w:p>
            <w:pPr>
              <w:spacing w:before="0" w:after="0" w:line="252" w:lineRule="auto"/>
            </w:pPr>
            <w:r>
              <w:rPr>
                <w:rFonts w:ascii="Calibri" w:hAnsi="Calibri"/>
                <w:sz w:val="17"/>
              </w:rPr>
              <w:t>Before final transfer</w:t>
            </w:r>
          </w:p>
        </w:tc>
      </w:tr>
      <w:tr>
        <w:trPr>
          <w:cantSplit w:val="true"/>
        </w:trPr>
        <w:tc>
          <w:tcPr>
            <w:tcW w:type="dxa" w:w="1350"/>
            <w:tcMar>
              <w:top w:w="80" w:type="dxa"/>
              <w:start w:w="120" w:type="dxa"/>
              <w:bottom w:w="80" w:type="dxa"/>
              <w:end w:w="120" w:type="dxa"/>
            </w:tcMar>
            <w:vAlign w:val="center"/>
          </w:tcPr>
          <w:p>
            <w:pPr>
              <w:spacing w:before="0" w:after="0" w:line="252" w:lineRule="auto"/>
            </w:pPr>
            <w:r>
              <w:rPr>
                <w:rFonts w:ascii="Calibri" w:hAnsi="Calibri"/>
                <w:sz w:val="17"/>
              </w:rPr>
              <w:t>G-03 Platform continuity</w:t>
            </w:r>
          </w:p>
        </w:tc>
        <w:tc>
          <w:tcPr>
            <w:tcW w:type="dxa" w:w="4800"/>
            <w:tcMar>
              <w:top w:w="80" w:type="dxa"/>
              <w:start w:w="120" w:type="dxa"/>
              <w:bottom w:w="80" w:type="dxa"/>
              <w:end w:w="120" w:type="dxa"/>
            </w:tcMar>
            <w:vAlign w:val="center"/>
          </w:tcPr>
          <w:p>
            <w:pPr>
              <w:spacing w:before="0" w:after="0" w:line="252" w:lineRule="auto"/>
            </w:pPr>
            <w:r>
              <w:rPr>
                <w:rFonts w:ascii="Calibri" w:hAnsi="Calibri"/>
                <w:sz w:val="17"/>
              </w:rPr>
              <w:t>PARTIAL: reconstruction runbook drafted; backup administrator must restore a non-production baseline and record time/data gaps</w:t>
            </w:r>
          </w:p>
        </w:tc>
        <w:tc>
          <w:tcPr>
            <w:tcW w:type="dxa" w:w="1700"/>
            <w:tcMar>
              <w:top w:w="80" w:type="dxa"/>
              <w:start w:w="120" w:type="dxa"/>
              <w:bottom w:w="80" w:type="dxa"/>
              <w:end w:w="120" w:type="dxa"/>
            </w:tcMar>
            <w:vAlign w:val="center"/>
          </w:tcPr>
          <w:p>
            <w:pPr>
              <w:spacing w:before="0" w:after="0" w:line="252" w:lineRule="auto"/>
            </w:pPr>
            <w:r>
              <w:rPr>
                <w:rFonts w:ascii="Calibri" w:hAnsi="Calibri"/>
                <w:sz w:val="17"/>
              </w:rPr>
              <w:t>Technical administrator + witness</w:t>
            </w:r>
          </w:p>
        </w:tc>
        <w:tc>
          <w:tcPr>
            <w:tcW w:type="dxa" w:w="1510"/>
            <w:tcMar>
              <w:top w:w="80" w:type="dxa"/>
              <w:start w:w="120" w:type="dxa"/>
              <w:bottom w:w="80" w:type="dxa"/>
              <w:end w:w="120" w:type="dxa"/>
            </w:tcMar>
            <w:vAlign w:val="center"/>
          </w:tcPr>
          <w:p>
            <w:pPr>
              <w:spacing w:before="0" w:after="0" w:line="252" w:lineRule="auto"/>
            </w:pPr>
            <w:r>
              <w:rPr>
                <w:rFonts w:ascii="Calibri" w:hAnsi="Calibri"/>
                <w:sz w:val="17"/>
              </w:rPr>
              <w:t>Before final transfer</w:t>
            </w:r>
          </w:p>
        </w:tc>
      </w:tr>
      <w:tr>
        <w:trPr>
          <w:cantSplit w:val="true"/>
        </w:trPr>
        <w:tc>
          <w:tcPr>
            <w:tcW w:type="dxa" w:w="1350"/>
            <w:tcMar>
              <w:top w:w="80" w:type="dxa"/>
              <w:start w:w="120" w:type="dxa"/>
              <w:bottom w:w="80" w:type="dxa"/>
              <w:end w:w="120" w:type="dxa"/>
            </w:tcMar>
            <w:vAlign w:val="center"/>
          </w:tcPr>
          <w:p>
            <w:pPr>
              <w:spacing w:before="0" w:after="0" w:line="252" w:lineRule="auto"/>
            </w:pPr>
            <w:r>
              <w:rPr>
                <w:rFonts w:ascii="Calibri" w:hAnsi="Calibri"/>
                <w:sz w:val="17"/>
              </w:rPr>
              <w:t>G-04 Security governance</w:t>
            </w:r>
          </w:p>
        </w:tc>
        <w:tc>
          <w:tcPr>
            <w:tcW w:type="dxa" w:w="4800"/>
            <w:tcMar>
              <w:top w:w="80" w:type="dxa"/>
              <w:start w:w="120" w:type="dxa"/>
              <w:bottom w:w="80" w:type="dxa"/>
              <w:end w:w="120" w:type="dxa"/>
            </w:tcMar>
            <w:vAlign w:val="center"/>
          </w:tcPr>
          <w:p>
            <w:pPr>
              <w:spacing w:before="0" w:after="0" w:line="252" w:lineRule="auto"/>
            </w:pPr>
            <w:r>
              <w:rPr>
                <w:rFonts w:ascii="Calibri" w:hAnsi="Calibri"/>
                <w:sz w:val="17"/>
              </w:rPr>
              <w:t>PARTIAL: interim SECURITY.md and incident/monitoring runbooks drafted; Board ownership, contacts, retention, alert tests, and tabletop remain</w:t>
            </w:r>
          </w:p>
        </w:tc>
        <w:tc>
          <w:tcPr>
            <w:tcW w:type="dxa" w:w="1700"/>
            <w:tcMar>
              <w:top w:w="80" w:type="dxa"/>
              <w:start w:w="120" w:type="dxa"/>
              <w:bottom w:w="80" w:type="dxa"/>
              <w:end w:w="120" w:type="dxa"/>
            </w:tcMar>
            <w:vAlign w:val="center"/>
          </w:tcPr>
          <w:p>
            <w:pPr>
              <w:spacing w:before="0" w:after="0" w:line="252" w:lineRule="auto"/>
            </w:pPr>
            <w:r>
              <w:rPr>
                <w:rFonts w:ascii="Calibri" w:hAnsi="Calibri"/>
                <w:sz w:val="17"/>
              </w:rPr>
              <w:t>Board program committee</w:t>
            </w:r>
          </w:p>
        </w:tc>
        <w:tc>
          <w:tcPr>
            <w:tcW w:type="dxa" w:w="1510"/>
            <w:tcMar>
              <w:top w:w="80" w:type="dxa"/>
              <w:start w:w="120" w:type="dxa"/>
              <w:bottom w:w="80" w:type="dxa"/>
              <w:end w:w="120" w:type="dxa"/>
            </w:tcMar>
            <w:vAlign w:val="center"/>
          </w:tcPr>
          <w:p>
            <w:pPr>
              <w:spacing w:before="0" w:after="0" w:line="252" w:lineRule="auto"/>
            </w:pPr>
            <w:r>
              <w:rPr>
                <w:rFonts w:ascii="Calibri" w:hAnsi="Calibri"/>
                <w:sz w:val="17"/>
              </w:rPr>
              <w:t>Before final transfer</w:t>
            </w:r>
          </w:p>
        </w:tc>
      </w:tr>
      <w:tr>
        <w:trPr>
          <w:cantSplit w:val="true"/>
        </w:trPr>
        <w:tc>
          <w:tcPr>
            <w:tcW w:type="dxa" w:w="1350"/>
            <w:tcMar>
              <w:top w:w="80" w:type="dxa"/>
              <w:start w:w="120" w:type="dxa"/>
              <w:bottom w:w="80" w:type="dxa"/>
              <w:end w:w="120" w:type="dxa"/>
            </w:tcMar>
            <w:vAlign w:val="center"/>
          </w:tcPr>
          <w:p>
            <w:pPr>
              <w:spacing w:before="0" w:after="0" w:line="252" w:lineRule="auto"/>
            </w:pPr>
            <w:r>
              <w:rPr>
                <w:rFonts w:ascii="Calibri" w:hAnsi="Calibri"/>
                <w:sz w:val="17"/>
              </w:rPr>
              <w:t>G-05 Data governance</w:t>
            </w:r>
          </w:p>
        </w:tc>
        <w:tc>
          <w:tcPr>
            <w:tcW w:type="dxa" w:w="4800"/>
            <w:tcMar>
              <w:top w:w="80" w:type="dxa"/>
              <w:start w:w="120" w:type="dxa"/>
              <w:bottom w:w="80" w:type="dxa"/>
              <w:end w:w="120" w:type="dxa"/>
            </w:tcMar>
            <w:vAlign w:val="center"/>
          </w:tcPr>
          <w:p>
            <w:pPr>
              <w:spacing w:before="0" w:after="0" w:line="252" w:lineRule="auto"/>
            </w:pPr>
            <w:r>
              <w:rPr>
                <w:rFonts w:ascii="Calibri" w:hAnsi="Calibri"/>
                <w:sz w:val="17"/>
              </w:rPr>
              <w:t>Approved inventory, retention, export, archive, deletion, hold, and agency responsibility terms</w:t>
            </w:r>
          </w:p>
        </w:tc>
        <w:tc>
          <w:tcPr>
            <w:tcW w:type="dxa" w:w="1700"/>
            <w:tcMar>
              <w:top w:w="80" w:type="dxa"/>
              <w:start w:w="120" w:type="dxa"/>
              <w:bottom w:w="80" w:type="dxa"/>
              <w:end w:w="120" w:type="dxa"/>
            </w:tcMar>
            <w:vAlign w:val="center"/>
          </w:tcPr>
          <w:p>
            <w:pPr>
              <w:spacing w:before="0" w:after="0" w:line="252" w:lineRule="auto"/>
            </w:pPr>
            <w:r>
              <w:rPr>
                <w:rFonts w:ascii="Calibri" w:hAnsi="Calibri"/>
                <w:sz w:val="17"/>
              </w:rPr>
              <w:t>Board + counsel + technical lead</w:t>
            </w:r>
          </w:p>
        </w:tc>
        <w:tc>
          <w:tcPr>
            <w:tcW w:type="dxa" w:w="1510"/>
            <w:tcMar>
              <w:top w:w="80" w:type="dxa"/>
              <w:start w:w="120" w:type="dxa"/>
              <w:bottom w:w="80" w:type="dxa"/>
              <w:end w:w="120" w:type="dxa"/>
            </w:tcMar>
            <w:vAlign w:val="center"/>
          </w:tcPr>
          <w:p>
            <w:pPr>
              <w:spacing w:before="0" w:after="0" w:line="252" w:lineRule="auto"/>
            </w:pPr>
            <w:r>
              <w:rPr>
                <w:rFonts w:ascii="Calibri" w:hAnsi="Calibri"/>
                <w:sz w:val="17"/>
              </w:rPr>
              <w:t>Before external onboarding</w:t>
            </w:r>
          </w:p>
        </w:tc>
      </w:tr>
      <w:tr>
        <w:trPr>
          <w:cantSplit w:val="true"/>
        </w:trPr>
        <w:tc>
          <w:tcPr>
            <w:tcW w:type="dxa" w:w="1350"/>
            <w:tcMar>
              <w:top w:w="80" w:type="dxa"/>
              <w:start w:w="120" w:type="dxa"/>
              <w:bottom w:w="80" w:type="dxa"/>
              <w:end w:w="120" w:type="dxa"/>
            </w:tcMar>
            <w:vAlign w:val="center"/>
          </w:tcPr>
          <w:p>
            <w:pPr>
              <w:spacing w:before="0" w:after="0" w:line="252" w:lineRule="auto"/>
            </w:pPr>
            <w:r>
              <w:rPr>
                <w:rFonts w:ascii="Calibri" w:hAnsi="Calibri"/>
                <w:sz w:val="17"/>
              </w:rPr>
              <w:t>G-06 Tenant boundary</w:t>
            </w:r>
          </w:p>
        </w:tc>
        <w:tc>
          <w:tcPr>
            <w:tcW w:type="dxa" w:w="4800"/>
            <w:tcMar>
              <w:top w:w="80" w:type="dxa"/>
              <w:start w:w="120" w:type="dxa"/>
              <w:bottom w:w="80" w:type="dxa"/>
              <w:end w:w="120" w:type="dxa"/>
            </w:tcMar>
            <w:vAlign w:val="center"/>
          </w:tcPr>
          <w:p>
            <w:r>
              <w:t>PARTIAL: route/query/storage/WebSocket matrix and 227-test gate pass; archive restore is bounded; focused independent adversarial review remains</w:t>
            </w:r>
          </w:p>
        </w:tc>
        <w:tc>
          <w:tcPr>
            <w:tcW w:type="dxa" w:w="1700"/>
            <w:tcMar>
              <w:top w:w="80" w:type="dxa"/>
              <w:start w:w="120" w:type="dxa"/>
              <w:bottom w:w="80" w:type="dxa"/>
              <w:end w:w="120" w:type="dxa"/>
            </w:tcMar>
            <w:vAlign w:val="center"/>
          </w:tcPr>
          <w:p>
            <w:pPr>
              <w:spacing w:before="0" w:after="0" w:line="252" w:lineRule="auto"/>
            </w:pPr>
            <w:r>
              <w:rPr>
                <w:rFonts w:ascii="Calibri" w:hAnsi="Calibri"/>
                <w:sz w:val="17"/>
              </w:rPr>
              <w:t>Independent application reviewer</w:t>
            </w:r>
          </w:p>
        </w:tc>
        <w:tc>
          <w:tcPr>
            <w:tcW w:type="dxa" w:w="1510"/>
            <w:tcMar>
              <w:top w:w="80" w:type="dxa"/>
              <w:start w:w="120" w:type="dxa"/>
              <w:bottom w:w="80" w:type="dxa"/>
              <w:end w:w="120" w:type="dxa"/>
            </w:tcMar>
            <w:vAlign w:val="center"/>
          </w:tcPr>
          <w:p>
            <w:pPr>
              <w:spacing w:before="0" w:after="0" w:line="252" w:lineRule="auto"/>
            </w:pPr>
            <w:r>
              <w:rPr>
                <w:rFonts w:ascii="Calibri" w:hAnsi="Calibri"/>
                <w:sz w:val="17"/>
              </w:rPr>
              <w:t>Before second agency</w:t>
            </w:r>
          </w:p>
        </w:tc>
      </w:tr>
      <w:tr>
        <w:trPr>
          <w:cantSplit w:val="true"/>
        </w:trPr>
        <w:tc>
          <w:tcPr>
            <w:tcW w:type="dxa" w:w="1350"/>
            <w:tcMar>
              <w:top w:w="80" w:type="dxa"/>
              <w:start w:w="120" w:type="dxa"/>
              <w:bottom w:w="80" w:type="dxa"/>
              <w:end w:w="120" w:type="dxa"/>
            </w:tcMar>
            <w:vAlign w:val="center"/>
          </w:tcPr>
          <w:p>
            <w:pPr>
              <w:spacing w:before="0" w:after="0" w:line="252" w:lineRule="auto"/>
            </w:pPr>
            <w:r>
              <w:rPr>
                <w:rFonts w:ascii="Calibri" w:hAnsi="Calibri"/>
                <w:sz w:val="17"/>
              </w:rPr>
              <w:t>G-07 Supply chain</w:t>
            </w:r>
          </w:p>
        </w:tc>
        <w:tc>
          <w:tcPr>
            <w:tcW w:type="dxa" w:w="4800"/>
            <w:tcMar>
              <w:top w:w="80" w:type="dxa"/>
              <w:start w:w="120" w:type="dxa"/>
              <w:bottom w:w="80" w:type="dxa"/>
              <w:end w:w="120" w:type="dxa"/>
            </w:tcMar>
            <w:vAlign w:val="center"/>
          </w:tcPr>
          <w:p>
            <w:r>
              <w:t>PARTIAL: server lock, SBOM, dependency/static/secret gates, Dependabot, and Apache 2.0 license implemented; hashes, container/history/license-policy, cross-platform SBOMs, and protected provenance remain</w:t>
            </w:r>
          </w:p>
        </w:tc>
        <w:tc>
          <w:tcPr>
            <w:tcW w:type="dxa" w:w="1700"/>
            <w:tcMar>
              <w:top w:w="80" w:type="dxa"/>
              <w:start w:w="120" w:type="dxa"/>
              <w:bottom w:w="80" w:type="dxa"/>
              <w:end w:w="120" w:type="dxa"/>
            </w:tcMar>
            <w:vAlign w:val="center"/>
          </w:tcPr>
          <w:p>
            <w:pPr>
              <w:spacing w:before="0" w:after="0" w:line="252" w:lineRule="auto"/>
            </w:pPr>
            <w:r>
              <w:rPr>
                <w:rFonts w:ascii="Calibri" w:hAnsi="Calibri"/>
                <w:sz w:val="17"/>
              </w:rPr>
              <w:t>Primary developer + reviewer</w:t>
            </w:r>
          </w:p>
        </w:tc>
        <w:tc>
          <w:tcPr>
            <w:tcW w:type="dxa" w:w="1510"/>
            <w:tcMar>
              <w:top w:w="80" w:type="dxa"/>
              <w:start w:w="120" w:type="dxa"/>
              <w:bottom w:w="80" w:type="dxa"/>
              <w:end w:w="120" w:type="dxa"/>
            </w:tcMar>
            <w:vAlign w:val="center"/>
          </w:tcPr>
          <w:p>
            <w:pPr>
              <w:spacing w:before="0" w:after="0" w:line="252" w:lineRule="auto"/>
            </w:pPr>
            <w:r>
              <w:rPr>
                <w:rFonts w:ascii="Calibri" w:hAnsi="Calibri"/>
                <w:sz w:val="17"/>
              </w:rPr>
              <w:t>Before broad onboarding</w:t>
            </w:r>
          </w:p>
        </w:tc>
      </w:tr>
      <w:tr>
        <w:trPr>
          <w:cantSplit w:val="true"/>
        </w:trPr>
        <w:tc>
          <w:tcPr>
            <w:tcW w:type="dxa" w:w="1350"/>
            <w:tcMar>
              <w:top w:w="80" w:type="dxa"/>
              <w:start w:w="120" w:type="dxa"/>
              <w:bottom w:w="80" w:type="dxa"/>
              <w:end w:w="120" w:type="dxa"/>
            </w:tcMar>
            <w:vAlign w:val="center"/>
          </w:tcPr>
          <w:p>
            <w:pPr>
              <w:spacing w:before="0" w:after="0" w:line="252" w:lineRule="auto"/>
            </w:pPr>
            <w:r>
              <w:rPr>
                <w:rFonts w:ascii="Calibri" w:hAnsi="Calibri"/>
                <w:sz w:val="17"/>
              </w:rPr>
              <w:t>G-08 Credential lifecycle</w:t>
            </w:r>
          </w:p>
        </w:tc>
        <w:tc>
          <w:tcPr>
            <w:tcW w:type="dxa" w:w="4800"/>
            <w:tcMar>
              <w:top w:w="80" w:type="dxa"/>
              <w:start w:w="120" w:type="dxa"/>
              <w:bottom w:w="80" w:type="dxa"/>
              <w:end w:w="120" w:type="dxa"/>
            </w:tcMar>
            <w:vAlign w:val="center"/>
          </w:tcPr>
          <w:p>
            <w:pPr>
              <w:spacing w:before="0" w:after="0" w:line="252" w:lineRule="auto"/>
            </w:pPr>
            <w:r>
              <w:rPr>
                <w:rFonts w:ascii="Calibri" w:hAnsi="Calibri"/>
                <w:sz w:val="17"/>
              </w:rPr>
              <w:t>Device/admin/session expiry, rotation, revocation, lost-device and offboarding runbooks</w:t>
            </w:r>
          </w:p>
        </w:tc>
        <w:tc>
          <w:tcPr>
            <w:tcW w:type="dxa" w:w="1700"/>
            <w:tcMar>
              <w:top w:w="80" w:type="dxa"/>
              <w:start w:w="120" w:type="dxa"/>
              <w:bottom w:w="80" w:type="dxa"/>
              <w:end w:w="120" w:type="dxa"/>
            </w:tcMar>
            <w:vAlign w:val="center"/>
          </w:tcPr>
          <w:p>
            <w:pPr>
              <w:spacing w:before="0" w:after="0" w:line="252" w:lineRule="auto"/>
            </w:pPr>
            <w:r>
              <w:rPr>
                <w:rFonts w:ascii="Calibri" w:hAnsi="Calibri"/>
                <w:sz w:val="17"/>
              </w:rPr>
              <w:t>Security owner</w:t>
            </w:r>
          </w:p>
        </w:tc>
        <w:tc>
          <w:tcPr>
            <w:tcW w:type="dxa" w:w="1510"/>
            <w:tcMar>
              <w:top w:w="80" w:type="dxa"/>
              <w:start w:w="120" w:type="dxa"/>
              <w:bottom w:w="80" w:type="dxa"/>
              <w:end w:w="120" w:type="dxa"/>
            </w:tcMar>
            <w:vAlign w:val="center"/>
          </w:tcPr>
          <w:p>
            <w:pPr>
              <w:spacing w:before="0" w:after="0" w:line="252" w:lineRule="auto"/>
            </w:pPr>
            <w:r>
              <w:rPr>
                <w:rFonts w:ascii="Calibri" w:hAnsi="Calibri"/>
                <w:sz w:val="17"/>
              </w:rPr>
              <w:t>Before second agency</w:t>
            </w:r>
          </w:p>
        </w:tc>
      </w:tr>
      <w:tr>
        <w:trPr>
          <w:cantSplit w:val="true"/>
        </w:trPr>
        <w:tc>
          <w:tcPr>
            <w:tcW w:type="dxa" w:w="1350"/>
            <w:tcMar>
              <w:top w:w="80" w:type="dxa"/>
              <w:start w:w="120" w:type="dxa"/>
              <w:bottom w:w="80" w:type="dxa"/>
              <w:end w:w="120" w:type="dxa"/>
            </w:tcMar>
            <w:vAlign w:val="center"/>
          </w:tcPr>
          <w:p>
            <w:pPr>
              <w:spacing w:before="0" w:after="0" w:line="252" w:lineRule="auto"/>
            </w:pPr>
            <w:r>
              <w:rPr>
                <w:rFonts w:ascii="Calibri" w:hAnsi="Calibri"/>
                <w:sz w:val="17"/>
              </w:rPr>
              <w:t>G-09 External assessment</w:t>
            </w:r>
          </w:p>
        </w:tc>
        <w:tc>
          <w:tcPr>
            <w:tcW w:type="dxa" w:w="4800"/>
            <w:tcMar>
              <w:top w:w="80" w:type="dxa"/>
              <w:start w:w="120" w:type="dxa"/>
              <w:bottom w:w="80" w:type="dxa"/>
              <w:end w:w="120" w:type="dxa"/>
            </w:tcMar>
            <w:vAlign w:val="center"/>
          </w:tcPr>
          <w:p>
            <w:pPr>
              <w:spacing w:before="0" w:after="0" w:line="252" w:lineRule="auto"/>
            </w:pPr>
            <w:r>
              <w:rPr>
                <w:rFonts w:ascii="Calibri" w:hAnsi="Calibri"/>
                <w:sz w:val="17"/>
              </w:rPr>
              <w:t>Scoped penetration test or documented independent secure-code/cloud review; findings disposition</w:t>
            </w:r>
          </w:p>
        </w:tc>
        <w:tc>
          <w:tcPr>
            <w:tcW w:type="dxa" w:w="1700"/>
            <w:tcMar>
              <w:top w:w="80" w:type="dxa"/>
              <w:start w:w="120" w:type="dxa"/>
              <w:bottom w:w="80" w:type="dxa"/>
              <w:end w:w="120" w:type="dxa"/>
            </w:tcMar>
            <w:vAlign w:val="center"/>
          </w:tcPr>
          <w:p>
            <w:pPr>
              <w:spacing w:before="0" w:after="0" w:line="252" w:lineRule="auto"/>
            </w:pPr>
            <w:r>
              <w:rPr>
                <w:rFonts w:ascii="Calibri" w:hAnsi="Calibri"/>
                <w:sz w:val="17"/>
              </w:rPr>
              <w:t>Independent assessor</w:t>
            </w:r>
          </w:p>
        </w:tc>
        <w:tc>
          <w:tcPr>
            <w:tcW w:type="dxa" w:w="1510"/>
            <w:tcMar>
              <w:top w:w="80" w:type="dxa"/>
              <w:start w:w="120" w:type="dxa"/>
              <w:bottom w:w="80" w:type="dxa"/>
              <w:end w:w="120" w:type="dxa"/>
            </w:tcMar>
            <w:vAlign w:val="center"/>
          </w:tcPr>
          <w:p>
            <w:pPr>
              <w:spacing w:before="0" w:after="0" w:line="252" w:lineRule="auto"/>
            </w:pPr>
            <w:r>
              <w:rPr>
                <w:rFonts w:ascii="Calibri" w:hAnsi="Calibri"/>
                <w:sz w:val="17"/>
              </w:rPr>
              <w:t>Before payment or broad access</w:t>
            </w:r>
          </w:p>
        </w:tc>
      </w:tr>
      <w:tr>
        <w:trPr>
          <w:cantSplit w:val="true"/>
        </w:trPr>
        <w:tc>
          <w:tcPr>
            <w:tcW w:type="dxa" w:w="1350"/>
            <w:tcMar>
              <w:top w:w="80" w:type="dxa"/>
              <w:start w:w="120" w:type="dxa"/>
              <w:bottom w:w="80" w:type="dxa"/>
              <w:end w:w="120" w:type="dxa"/>
            </w:tcMar>
            <w:vAlign w:val="center"/>
          </w:tcPr>
          <w:p>
            <w:pPr>
              <w:spacing w:before="0" w:after="0" w:line="252" w:lineRule="auto"/>
            </w:pPr>
            <w:r>
              <w:rPr>
                <w:rFonts w:ascii="Calibri" w:hAnsi="Calibri"/>
                <w:sz w:val="17"/>
              </w:rPr>
              <w:t>G-10 Field qualification</w:t>
            </w:r>
          </w:p>
        </w:tc>
        <w:tc>
          <w:tcPr>
            <w:tcW w:type="dxa" w:w="4800"/>
            <w:tcMar>
              <w:top w:w="80" w:type="dxa"/>
              <w:start w:w="120" w:type="dxa"/>
              <w:bottom w:w="80" w:type="dxa"/>
              <w:end w:w="120" w:type="dxa"/>
            </w:tcMar>
            <w:vAlign w:val="center"/>
          </w:tcPr>
          <w:p>
            <w:pPr>
              <w:spacing w:before="0" w:after="0" w:line="252" w:lineRule="auto"/>
            </w:pPr>
            <w:r>
              <w:rPr>
                <w:rFonts w:ascii="Calibri" w:hAnsi="Calibri"/>
                <w:sz w:val="17"/>
              </w:rPr>
              <w:t>PARTIAL: Android/Apple/managed-access acknowledgment tests pass; release-build UI, degraded modes, and field evidence remain</w:t>
            </w:r>
          </w:p>
        </w:tc>
        <w:tc>
          <w:tcPr>
            <w:tcW w:type="dxa" w:w="1700"/>
            <w:tcMar>
              <w:top w:w="80" w:type="dxa"/>
              <w:start w:w="120" w:type="dxa"/>
              <w:bottom w:w="80" w:type="dxa"/>
              <w:end w:w="120" w:type="dxa"/>
            </w:tcMar>
            <w:vAlign w:val="center"/>
          </w:tcPr>
          <w:p>
            <w:pPr>
              <w:spacing w:before="0" w:after="0" w:line="252" w:lineRule="auto"/>
            </w:pPr>
            <w:r>
              <w:rPr>
                <w:rFonts w:ascii="Calibri" w:hAnsi="Calibri"/>
                <w:sz w:val="17"/>
              </w:rPr>
              <w:t>Operational test lead</w:t>
            </w:r>
          </w:p>
        </w:tc>
        <w:tc>
          <w:tcPr>
            <w:tcW w:type="dxa" w:w="1510"/>
            <w:tcMar>
              <w:top w:w="80" w:type="dxa"/>
              <w:start w:w="120" w:type="dxa"/>
              <w:bottom w:w="80" w:type="dxa"/>
              <w:end w:w="120" w:type="dxa"/>
            </w:tcMar>
            <w:vAlign w:val="center"/>
          </w:tcPr>
          <w:p>
            <w:pPr>
              <w:spacing w:before="0" w:after="0" w:line="252" w:lineRule="auto"/>
            </w:pPr>
            <w:r>
              <w:rPr>
                <w:rFonts w:ascii="Calibri" w:hAnsi="Calibri"/>
                <w:sz w:val="17"/>
              </w:rPr>
              <w:t>Before each capability claim</w:t>
            </w:r>
          </w:p>
        </w:tc>
      </w:tr>
      <w:tr>
        <w:trPr>
          <w:cantSplit w:val="true"/>
        </w:trPr>
        <w:tc>
          <w:tcPr>
            <w:tcW w:type="dxa" w:w="1350"/>
            <w:tcMar>
              <w:top w:w="80" w:type="dxa"/>
              <w:start w:w="120" w:type="dxa"/>
              <w:bottom w:w="80" w:type="dxa"/>
              <w:end w:w="120" w:type="dxa"/>
            </w:tcMar>
            <w:vAlign w:val="center"/>
          </w:tcPr>
          <w:p>
            <w:pPr>
              <w:spacing w:before="0" w:after="0" w:line="252" w:lineRule="auto"/>
            </w:pPr>
            <w:r>
              <w:rPr>
                <w:rFonts w:ascii="Calibri" w:hAnsi="Calibri"/>
                <w:sz w:val="17"/>
              </w:rPr>
              <w:t>G-11 Managed video</w:t>
            </w:r>
          </w:p>
        </w:tc>
        <w:tc>
          <w:tcPr>
            <w:tcW w:type="dxa" w:w="4800"/>
            <w:tcMar>
              <w:top w:w="80" w:type="dxa"/>
              <w:start w:w="120" w:type="dxa"/>
              <w:bottom w:w="80" w:type="dxa"/>
              <w:end w:w="120" w:type="dxa"/>
            </w:tcMar>
            <w:vAlign w:val="center"/>
          </w:tcPr>
          <w:p>
            <w:pPr>
              <w:spacing w:before="0" w:after="0" w:line="252" w:lineRule="auto"/>
            </w:pPr>
            <w:r>
              <w:rPr>
                <w:rFonts w:ascii="Calibri" w:hAnsi="Calibri"/>
                <w:sz w:val="17"/>
              </w:rPr>
              <w:t>Direct/TURN, Apple/Android, reconnect, thermal, privacy, consent, teardown, and data-use qualification</w:t>
            </w:r>
          </w:p>
        </w:tc>
        <w:tc>
          <w:tcPr>
            <w:tcW w:type="dxa" w:w="1700"/>
            <w:tcMar>
              <w:top w:w="80" w:type="dxa"/>
              <w:start w:w="120" w:type="dxa"/>
              <w:bottom w:w="80" w:type="dxa"/>
              <w:end w:w="120" w:type="dxa"/>
            </w:tcMar>
            <w:vAlign w:val="center"/>
          </w:tcPr>
          <w:p>
            <w:pPr>
              <w:spacing w:before="0" w:after="0" w:line="252" w:lineRule="auto"/>
            </w:pPr>
            <w:r>
              <w:rPr>
                <w:rFonts w:ascii="Calibri" w:hAnsi="Calibri"/>
                <w:sz w:val="17"/>
              </w:rPr>
              <w:t>Operational + security leads</w:t>
            </w:r>
          </w:p>
        </w:tc>
        <w:tc>
          <w:tcPr>
            <w:tcW w:type="dxa" w:w="1510"/>
            <w:tcMar>
              <w:top w:w="80" w:type="dxa"/>
              <w:start w:w="120" w:type="dxa"/>
              <w:bottom w:w="80" w:type="dxa"/>
              <w:end w:w="120" w:type="dxa"/>
            </w:tcMar>
            <w:vAlign w:val="center"/>
          </w:tcPr>
          <w:p>
            <w:pPr>
              <w:spacing w:before="0" w:after="0" w:line="252" w:lineRule="auto"/>
            </w:pPr>
            <w:r>
              <w:rPr>
                <w:rFonts w:ascii="Calibri" w:hAnsi="Calibri"/>
                <w:sz w:val="17"/>
              </w:rPr>
              <w:t>Before production video</w:t>
            </w:r>
          </w:p>
        </w:tc>
      </w:tr>
      <w:tr>
        <w:trPr>
          <w:cantSplit w:val="true"/>
        </w:trPr>
        <w:tc>
          <w:tcPr>
            <w:tcW w:type="dxa" w:w="1350"/>
            <w:tcMar>
              <w:top w:w="80" w:type="dxa"/>
              <w:start w:w="120" w:type="dxa"/>
              <w:bottom w:w="80" w:type="dxa"/>
              <w:end w:w="120" w:type="dxa"/>
            </w:tcMar>
            <w:vAlign w:val="center"/>
          </w:tcPr>
          <w:p>
            <w:pPr>
              <w:spacing w:before="0" w:after="0" w:line="252" w:lineRule="auto"/>
            </w:pPr>
            <w:r>
              <w:rPr>
                <w:rFonts w:ascii="Calibri" w:hAnsi="Calibri"/>
                <w:sz w:val="17"/>
              </w:rPr>
              <w:t>G-12 Continuity</w:t>
            </w:r>
          </w:p>
        </w:tc>
        <w:tc>
          <w:tcPr>
            <w:tcW w:type="dxa" w:w="4800"/>
            <w:tcMar>
              <w:top w:w="80" w:type="dxa"/>
              <w:start w:w="120" w:type="dxa"/>
              <w:bottom w:w="80" w:type="dxa"/>
              <w:end w:w="120" w:type="dxa"/>
            </w:tcMar>
            <w:vAlign w:val="center"/>
          </w:tcPr>
          <w:p>
            <w:pPr>
              <w:spacing w:before="0" w:after="0" w:line="252" w:lineRule="auto"/>
            </w:pPr>
            <w:r>
              <w:rPr>
                <w:rFonts w:ascii="Calibri" w:hAnsi="Calibri"/>
                <w:sz w:val="17"/>
              </w:rPr>
              <w:t>Backup administrator successfully executes deployment, rollback, rotation, export, and recovery exercises</w:t>
            </w:r>
          </w:p>
        </w:tc>
        <w:tc>
          <w:tcPr>
            <w:tcW w:type="dxa" w:w="1700"/>
            <w:tcMar>
              <w:top w:w="80" w:type="dxa"/>
              <w:start w:w="120" w:type="dxa"/>
              <w:bottom w:w="80" w:type="dxa"/>
              <w:end w:w="120" w:type="dxa"/>
            </w:tcMar>
            <w:vAlign w:val="center"/>
          </w:tcPr>
          <w:p>
            <w:pPr>
              <w:spacing w:before="0" w:after="0" w:line="252" w:lineRule="auto"/>
            </w:pPr>
            <w:r>
              <w:rPr>
                <w:rFonts w:ascii="Calibri" w:hAnsi="Calibri"/>
                <w:sz w:val="17"/>
              </w:rPr>
              <w:t>Board witness</w:t>
            </w:r>
          </w:p>
        </w:tc>
        <w:tc>
          <w:tcPr>
            <w:tcW w:type="dxa" w:w="1510"/>
            <w:tcMar>
              <w:top w:w="80" w:type="dxa"/>
              <w:start w:w="120" w:type="dxa"/>
              <w:bottom w:w="80" w:type="dxa"/>
              <w:end w:w="120" w:type="dxa"/>
            </w:tcMar>
            <w:vAlign w:val="center"/>
          </w:tcPr>
          <w:p>
            <w:pPr>
              <w:spacing w:before="0" w:after="0" w:line="252" w:lineRule="auto"/>
            </w:pPr>
            <w:r>
              <w:rPr>
                <w:rFonts w:ascii="Calibri" w:hAnsi="Calibri"/>
                <w:sz w:val="17"/>
              </w:rPr>
              <w:t>Before primary developer is sole unavailable</w:t>
            </w:r>
          </w:p>
        </w:tc>
      </w:tr>
    </w:tbl>
    <w:p>
      <w:pPr>
        <w:spacing w:after="20"/>
      </w:pPr>
    </w:p>
    <w:p>
      <w:pPr>
        <w:pStyle w:val="Heading2"/>
      </w:pPr>
      <w:r>
        <w:t>Recommended rollout constraints</w:t>
      </w:r>
    </w:p>
    <w:p>
      <w:pPr>
        <w:keepLines/>
        <w:numPr>
          <w:ilvl w:val="0"/>
          <w:numId w:val="11"/>
        </w:numPr>
      </w:pPr>
      <w:r>
        <w:rPr>
          <w:rFonts w:ascii="Calibri" w:hAnsi="Calibri"/>
        </w:rPr>
        <w:t>Keep the current NCSSAR environment as a controlled, best-effort pilot while diligence is underway.</w:t>
      </w:r>
    </w:p>
    <w:p>
      <w:pPr>
        <w:keepLines/>
        <w:numPr>
          <w:ilvl w:val="0"/>
          <w:numId w:val="11"/>
        </w:numPr>
      </w:pPr>
      <w:r>
        <w:rPr>
          <w:rFonts w:ascii="Calibri" w:hAnsi="Calibri"/>
        </w:rPr>
        <w:t>Do not accept paying organizations or broadly invite outside agencies before ownership, insurance, terms, incident response, platform continuity, and independent technical review are in place.</w:t>
      </w:r>
    </w:p>
    <w:p>
      <w:pPr>
        <w:keepLines/>
        <w:numPr>
          <w:ilvl w:val="0"/>
          <w:numId w:val="11"/>
        </w:numPr>
      </w:pPr>
      <w:r>
        <w:rPr>
          <w:rFonts w:ascii="Calibri" w:hAnsi="Calibri"/>
        </w:rPr>
        <w:t>Add one external agency only after the tenant-boundary, credential, data-governance, export, and continuity gates pass; review the pilot before adding another.</w:t>
      </w:r>
    </w:p>
    <w:p>
      <w:pPr>
        <w:keepLines/>
        <w:numPr>
          <w:ilvl w:val="0"/>
          <w:numId w:val="11"/>
        </w:numPr>
      </w:pPr>
      <w:r>
        <w:rPr>
          <w:rFonts w:ascii="Calibri" w:hAnsi="Calibri"/>
        </w:rPr>
        <w:t>Enable managed remote video only under its separate field/security qualification gate.</w:t>
      </w:r>
    </w:p>
    <w:p>
      <w:pPr>
        <w:keepLines/>
        <w:numPr>
          <w:ilvl w:val="0"/>
          <w:numId w:val="11"/>
        </w:numPr>
      </w:pPr>
      <w:r>
        <w:rPr>
          <w:rFonts w:ascii="Calibri" w:hAnsi="Calibri"/>
        </w:rPr>
        <w:t>Report quarterly to the Board on risks, incidents, availability, support load, costs, backups, access reviews, dependency status, and unresolved single-person dependencies.</w:t>
      </w:r>
    </w:p>
    <w:p>
      <w:pPr>
        <w:spacing w:before="60" w:after="0"/>
      </w:pPr>
    </w:p>
    <w:p>
      <w:pPr>
        <w:pStyle w:val="Heading1"/>
      </w:pPr>
      <w:r>
        <w:t>9. Technical-team verification plan</w:t>
      </w:r>
    </w:p>
    <w:p>
      <w:pPr>
        <w:pStyle w:val="Heading2"/>
      </w:pPr>
      <w:r>
        <w:t>A. Source and release integrity</w:t>
      </w:r>
    </w:p>
    <w:p>
      <w:pPr>
        <w:keepLines/>
        <w:numPr>
          <w:ilvl w:val="0"/>
          <w:numId w:val="10"/>
        </w:numPr>
      </w:pPr>
      <w:r>
        <w:rPr>
          <w:rFonts w:ascii="Calibri" w:hAnsi="Calibri"/>
        </w:rPr>
        <w:t>Identify the exact repositories, branches, commit IDs, submodules/bundled binaries, license status, maintainers, and official release channels.</w:t>
      </w:r>
    </w:p>
    <w:p>
      <w:pPr>
        <w:keepLines/>
        <w:numPr>
          <w:ilvl w:val="0"/>
          <w:numId w:val="10"/>
        </w:numPr>
      </w:pPr>
      <w:r>
        <w:rPr>
          <w:rFonts w:ascii="Calibri" w:hAnsi="Calibri"/>
        </w:rPr>
        <w:t>Review the complete working-tree differences before establishing the transfer baseline; do not treat uncommitted pilot code as a reproducible release.</w:t>
      </w:r>
    </w:p>
    <w:p>
      <w:pPr>
        <w:keepLines/>
        <w:numPr>
          <w:ilvl w:val="0"/>
          <w:numId w:val="10"/>
        </w:numPr>
      </w:pPr>
      <w:r>
        <w:rPr>
          <w:rFonts w:ascii="Calibri" w:hAnsi="Calibri"/>
        </w:rPr>
        <w:t>Re-run server, website, Android, and Apple release gates from a clean checkout using documented toolchains.</w:t>
      </w:r>
    </w:p>
    <w:p>
      <w:pPr>
        <w:keepLines/>
        <w:numPr>
          <w:ilvl w:val="0"/>
          <w:numId w:val="10"/>
        </w:numPr>
      </w:pPr>
      <w:r>
        <w:rPr>
          <w:rFonts w:ascii="Calibri" w:hAnsi="Calibri"/>
        </w:rPr>
        <w:t>Produce SBOM and vulnerability reports; resolve or explicitly accept findings by severity and exploitability.</w:t>
      </w:r>
    </w:p>
    <w:p>
      <w:pPr>
        <w:keepLines/>
        <w:numPr>
          <w:ilvl w:val="0"/>
          <w:numId w:val="10"/>
        </w:numPr>
      </w:pPr>
      <w:r>
        <w:rPr>
          <w:rFonts w:ascii="Calibri" w:hAnsi="Calibri"/>
        </w:rPr>
        <w:t>Verify mobile signing keys, app-store ownership, Android package identity, Apple bundle identity, and recovery procedures.</w:t>
      </w:r>
    </w:p>
    <w:p>
      <w:pPr>
        <w:pStyle w:val="Heading2"/>
      </w:pPr>
      <w:r>
        <w:t>B. Live cloud and identity</w:t>
      </w:r>
    </w:p>
    <w:p>
      <w:pPr>
        <w:keepLines/>
        <w:numPr>
          <w:ilvl w:val="0"/>
          <w:numId w:val="10"/>
        </w:numPr>
      </w:pPr>
      <w:r>
        <w:rPr>
          <w:rFonts w:ascii="Calibri" w:hAnsi="Calibri"/>
        </w:rPr>
        <w:t>Record Cloud Run revision, image digest, service account, public ingress, concurrency, instance limits, timeouts, environment values, secret references, VPC path, and rollback target.</w:t>
      </w:r>
    </w:p>
    <w:p>
      <w:pPr>
        <w:keepLines/>
        <w:numPr>
          <w:ilvl w:val="0"/>
          <w:numId w:val="10"/>
        </w:numPr>
      </w:pPr>
      <w:r>
        <w:rPr>
          <w:rFonts w:ascii="Calibri" w:hAnsi="Calibri"/>
        </w:rPr>
        <w:t>Enumerate IAM bindings for projects, runtime account, Secret Manager, bucket, database VM, billing export, Gmail sender, OAuth clients, and deployment identities.</w:t>
      </w:r>
    </w:p>
    <w:p>
      <w:pPr>
        <w:keepLines/>
        <w:numPr>
          <w:ilvl w:val="0"/>
          <w:numId w:val="10"/>
        </w:numPr>
      </w:pPr>
      <w:r>
        <w:rPr>
          <w:rFonts w:ascii="Calibri" w:hAnsi="Calibri"/>
        </w:rPr>
        <w:t>Confirm public-access prevention, uniform bucket access, object retention/soft delete/versioning, encryption, lifecycle, and audit logs.</w:t>
      </w:r>
    </w:p>
    <w:p>
      <w:pPr>
        <w:keepLines/>
        <w:numPr>
          <w:ilvl w:val="0"/>
          <w:numId w:val="10"/>
        </w:numPr>
      </w:pPr>
      <w:r>
        <w:rPr>
          <w:rFonts w:ascii="Calibri" w:hAnsi="Calibri"/>
        </w:rPr>
        <w:t>Confirm database firewall, TLS/private route, roles, patching, disk encryption, backup schedule/retention, restore permissions, monitoring, and host hardening.</w:t>
      </w:r>
    </w:p>
    <w:p>
      <w:pPr>
        <w:keepLines/>
        <w:numPr>
          <w:ilvl w:val="0"/>
          <w:numId w:val="10"/>
        </w:numPr>
      </w:pPr>
      <w:r>
        <w:rPr>
          <w:rFonts w:ascii="Calibri" w:hAnsi="Calibri"/>
        </w:rPr>
        <w:t>Rotate all transferable secrets during ownership change and prove previous holders can no longer administer the system.</w:t>
      </w:r>
    </w:p>
    <w:p>
      <w:pPr>
        <w:pStyle w:val="Heading2"/>
      </w:pPr>
      <w:r>
        <w:t>C. Adversarial application testing</w:t>
      </w:r>
    </w:p>
    <w:p>
      <w:pPr>
        <w:keepLines/>
        <w:numPr>
          <w:ilvl w:val="0"/>
          <w:numId w:val="10"/>
        </w:numPr>
      </w:pPr>
      <w:r>
        <w:rPr>
          <w:rFonts w:ascii="Calibri" w:hAnsi="Calibri"/>
        </w:rPr>
        <w:t>Attempt cross-organization access for records, logs, members, enrollment, credentials, streams, exports, archived organizations, and WebSocket messages.</w:t>
      </w:r>
    </w:p>
    <w:p>
      <w:pPr>
        <w:keepLines/>
        <w:numPr>
          <w:ilvl w:val="0"/>
          <w:numId w:val="10"/>
        </w:numPr>
      </w:pPr>
      <w:r>
        <w:rPr>
          <w:rFonts w:ascii="Calibri" w:hAnsi="Calibri"/>
        </w:rPr>
        <w:t>Exercise login/reset/activation throttling, OAuth replay/state/nonce failures, CSRF, session fixation, stale identity, role removal, and password-reset enumeration.</w:t>
      </w:r>
    </w:p>
    <w:p>
      <w:pPr>
        <w:keepLines/>
        <w:numPr>
          <w:ilvl w:val="0"/>
          <w:numId w:val="10"/>
        </w:numPr>
      </w:pPr>
      <w:r>
        <w:rPr>
          <w:rFonts w:ascii="Calibri" w:hAnsi="Calibri"/>
        </w:rPr>
        <w:t>Fuzz uploads, archives, configuration imports, FAA parameters, identifiers, and path names; measure resource exhaustion and error behavior.</w:t>
      </w:r>
    </w:p>
    <w:p>
      <w:pPr>
        <w:keepLines/>
        <w:numPr>
          <w:ilvl w:val="0"/>
          <w:numId w:val="10"/>
        </w:numPr>
      </w:pPr>
      <w:r>
        <w:rPr>
          <w:rFonts w:ascii="Calibri" w:hAnsi="Calibri"/>
        </w:rPr>
        <w:t>Verify security headers, TLS, HSTS, cookie flags, CORS, cache behavior, content type, redirects, and sensitive data in URLs and logs.</w:t>
      </w:r>
    </w:p>
    <w:p>
      <w:pPr>
        <w:keepLines/>
        <w:numPr>
          <w:ilvl w:val="0"/>
          <w:numId w:val="10"/>
        </w:numPr>
      </w:pPr>
      <w:r>
        <w:rPr>
          <w:rFonts w:ascii="Calibri" w:hAnsi="Calibri"/>
        </w:rPr>
        <w:t>Validate audit completeness and tamper/access controls without logging token values or sensitive payloads unnecessarily.</w:t>
      </w:r>
    </w:p>
    <w:p>
      <w:pPr>
        <w:pStyle w:val="Heading2"/>
      </w:pPr>
      <w:r>
        <w:t>D. Recovery and incident exercises</w:t>
      </w:r>
    </w:p>
    <w:p>
      <w:pPr>
        <w:keepLines/>
        <w:numPr>
          <w:ilvl w:val="0"/>
          <w:numId w:val="10"/>
        </w:numPr>
      </w:pPr>
      <w:r>
        <w:rPr>
          <w:rFonts w:ascii="Calibri" w:hAnsi="Calibri"/>
        </w:rPr>
        <w:t>Reconstruct the hosted service and platform state in an isolated target; compare organization accounts/roles, revocations, audit continuity, and database-host configuration without involving routine tenant records administration.</w:t>
      </w:r>
    </w:p>
    <w:p>
      <w:pPr>
        <w:keepLines/>
        <w:numPr>
          <w:ilvl w:val="0"/>
          <w:numId w:val="10"/>
        </w:numPr>
      </w:pPr>
      <w:r>
        <w:rPr>
          <w:rFonts w:ascii="Calibri" w:hAnsi="Calibri"/>
        </w:rPr>
        <w:t>Simulate compromised device token, organization administrator, platform administrator, deployment identity, FAA credential, and email sender.</w:t>
      </w:r>
    </w:p>
    <w:p>
      <w:pPr>
        <w:keepLines/>
        <w:numPr>
          <w:ilvl w:val="0"/>
          <w:numId w:val="10"/>
        </w:numPr>
      </w:pPr>
      <w:r>
        <w:rPr>
          <w:rFonts w:ascii="Calibri" w:hAnsi="Calibri"/>
        </w:rPr>
        <w:t>Simulate Cloud Run rollback, database VM outage, storage outage, Google OAuth outage, FAA outage, CalTopo outage, and TURN failure.</w:t>
      </w:r>
    </w:p>
    <w:p>
      <w:pPr>
        <w:keepLines/>
        <w:numPr>
          <w:ilvl w:val="0"/>
          <w:numId w:val="10"/>
        </w:numPr>
      </w:pPr>
      <w:r>
        <w:rPr>
          <w:rFonts w:ascii="Calibri" w:hAnsi="Calibri"/>
        </w:rPr>
        <w:t>Confirm each scenario produces truthful user status, a safe degraded mode, evidence for response, and an agency communication path.</w:t>
      </w:r>
    </w:p>
    <w:p>
      <w:pPr>
        <w:spacing w:before="60" w:after="0"/>
      </w:pPr>
    </w:p>
    <w:p>
      <w:pPr>
        <w:pStyle w:val="Heading1"/>
      </w:pPr>
      <w:r>
        <w:t>10. Required deliverables for final adoption</w:t>
      </w:r>
    </w:p>
    <w:tbl>
      <w:tblPr>
        <w:tblStyle w:val="TableGrid"/>
        <w:jc w:val="left"/>
        <w:tblLook w:firstColumn="1" w:firstRow="1" w:lastColumn="0" w:lastRow="0" w:noHBand="0" w:noVBand="1" w:val="04A0"/>
        <w:tblW w:w="9360" w:type="dxa"/>
        <w:tblInd w:w="120" w:type="dxa"/>
        <w:tblLayout w:type="fixed"/>
      </w:tblPr>
      <w:tblGrid>
        <w:gridCol w:w="2100"/>
        <w:gridCol w:w="4700"/>
        <w:gridCol w:w="2560"/>
      </w:tblGrid>
      <w:tr>
        <w:trPr>
          <w:tblHeader w:val="true"/>
          <w:cantSplit w:val="true"/>
        </w:trPr>
        <w:tc>
          <w:tcPr>
            <w:tcW w:type="dxa" w:w="2100"/>
            <w:shd w:fill="F2F4F7"/>
            <w:tcMar>
              <w:top w:w="80" w:type="dxa"/>
              <w:start w:w="120" w:type="dxa"/>
              <w:bottom w:w="80" w:type="dxa"/>
              <w:end w:w="120" w:type="dxa"/>
            </w:tcMar>
            <w:vAlign w:val="center"/>
          </w:tcPr>
          <w:p>
            <w:pPr>
              <w:spacing w:before="20" w:after="20"/>
            </w:pPr>
            <w:r>
              <w:rPr>
                <w:rFonts w:ascii="Calibri" w:hAnsi="Calibri"/>
                <w:b/>
                <w:color w:val="17365D"/>
                <w:sz w:val="18"/>
              </w:rPr>
              <w:t>Deliverable</w:t>
            </w:r>
          </w:p>
        </w:tc>
        <w:tc>
          <w:tcPr>
            <w:tcW w:type="dxa" w:w="4700"/>
            <w:shd w:fill="F2F4F7"/>
            <w:tcMar>
              <w:top w:w="80" w:type="dxa"/>
              <w:start w:w="120" w:type="dxa"/>
              <w:bottom w:w="80" w:type="dxa"/>
              <w:end w:w="120" w:type="dxa"/>
            </w:tcMar>
            <w:vAlign w:val="center"/>
          </w:tcPr>
          <w:p>
            <w:pPr>
              <w:spacing w:before="20" w:after="20"/>
            </w:pPr>
            <w:r>
              <w:rPr>
                <w:rFonts w:ascii="Calibri" w:hAnsi="Calibri"/>
                <w:b/>
                <w:color w:val="17365D"/>
                <w:sz w:val="18"/>
              </w:rPr>
              <w:t>Minimum contents</w:t>
            </w:r>
          </w:p>
        </w:tc>
        <w:tc>
          <w:tcPr>
            <w:tcW w:type="dxa" w:w="2560"/>
            <w:shd w:fill="F2F4F7"/>
            <w:tcMar>
              <w:top w:w="80" w:type="dxa"/>
              <w:start w:w="120" w:type="dxa"/>
              <w:bottom w:w="80" w:type="dxa"/>
              <w:end w:w="120" w:type="dxa"/>
            </w:tcMar>
            <w:vAlign w:val="center"/>
          </w:tcPr>
          <w:p>
            <w:pPr>
              <w:spacing w:before="20" w:after="20"/>
            </w:pPr>
            <w:r>
              <w:rPr>
                <w:rFonts w:ascii="Calibri" w:hAnsi="Calibri"/>
                <w:b/>
                <w:color w:val="17365D"/>
                <w:sz w:val="18"/>
              </w:rPr>
              <w:t>Acceptance evidence</w:t>
            </w:r>
          </w:p>
        </w:tc>
      </w:tr>
      <w:tr>
        <w:trPr>
          <w:cantSplit w:val="true"/>
        </w:trPr>
        <w:tc>
          <w:tcPr>
            <w:tcW w:type="dxa" w:w="2100"/>
            <w:tcMar>
              <w:top w:w="80" w:type="dxa"/>
              <w:start w:w="120" w:type="dxa"/>
              <w:bottom w:w="80" w:type="dxa"/>
              <w:end w:w="120" w:type="dxa"/>
            </w:tcMar>
            <w:vAlign w:val="center"/>
          </w:tcPr>
          <w:p>
            <w:pPr>
              <w:spacing w:before="0" w:after="0" w:line="252" w:lineRule="auto"/>
            </w:pPr>
            <w:r>
              <w:rPr>
                <w:rFonts w:ascii="Calibri" w:hAnsi="Calibri"/>
                <w:sz w:val="17"/>
              </w:rPr>
              <w:t>System inventory</w:t>
            </w:r>
          </w:p>
        </w:tc>
        <w:tc>
          <w:tcPr>
            <w:tcW w:type="dxa" w:w="4700"/>
            <w:tcMar>
              <w:top w:w="80" w:type="dxa"/>
              <w:start w:w="120" w:type="dxa"/>
              <w:bottom w:w="80" w:type="dxa"/>
              <w:end w:w="120" w:type="dxa"/>
            </w:tcMar>
            <w:vAlign w:val="center"/>
          </w:tcPr>
          <w:p>
            <w:pPr>
              <w:spacing w:before="0" w:after="0" w:line="252" w:lineRule="auto"/>
            </w:pPr>
            <w:r>
              <w:rPr>
                <w:rFonts w:ascii="Calibri" w:hAnsi="Calibri"/>
                <w:sz w:val="17"/>
              </w:rPr>
              <w:t>Components, accounts, vendors, owners, data stores, domains, app stores, integrations</w:t>
            </w:r>
          </w:p>
        </w:tc>
        <w:tc>
          <w:tcPr>
            <w:tcW w:type="dxa" w:w="2560"/>
            <w:tcMar>
              <w:top w:w="80" w:type="dxa"/>
              <w:start w:w="120" w:type="dxa"/>
              <w:bottom w:w="80" w:type="dxa"/>
              <w:end w:w="120" w:type="dxa"/>
            </w:tcMar>
            <w:vAlign w:val="center"/>
          </w:tcPr>
          <w:p>
            <w:pPr>
              <w:spacing w:before="0" w:after="0" w:line="252" w:lineRule="auto"/>
            </w:pPr>
            <w:r>
              <w:rPr>
                <w:rFonts w:ascii="Calibri" w:hAnsi="Calibri"/>
                <w:sz w:val="17"/>
              </w:rPr>
              <w:t>Board-designated reviewer signs current inventory</w:t>
            </w:r>
          </w:p>
        </w:tc>
      </w:tr>
      <w:tr>
        <w:trPr>
          <w:cantSplit w:val="true"/>
        </w:trPr>
        <w:tc>
          <w:tcPr>
            <w:tcW w:type="dxa" w:w="2100"/>
            <w:tcMar>
              <w:top w:w="80" w:type="dxa"/>
              <w:start w:w="120" w:type="dxa"/>
              <w:bottom w:w="80" w:type="dxa"/>
              <w:end w:w="120" w:type="dxa"/>
            </w:tcMar>
            <w:vAlign w:val="center"/>
          </w:tcPr>
          <w:p>
            <w:pPr>
              <w:spacing w:before="0" w:after="0" w:line="252" w:lineRule="auto"/>
            </w:pPr>
            <w:r>
              <w:rPr>
                <w:rFonts w:ascii="Calibri" w:hAnsi="Calibri"/>
                <w:sz w:val="17"/>
              </w:rPr>
              <w:t>Architecture and data-flow diagram</w:t>
            </w:r>
          </w:p>
        </w:tc>
        <w:tc>
          <w:tcPr>
            <w:tcW w:type="dxa" w:w="4700"/>
            <w:tcMar>
              <w:top w:w="80" w:type="dxa"/>
              <w:start w:w="120" w:type="dxa"/>
              <w:bottom w:w="80" w:type="dxa"/>
              <w:end w:w="120" w:type="dxa"/>
            </w:tcMar>
            <w:vAlign w:val="center"/>
          </w:tcPr>
          <w:p>
            <w:pPr>
              <w:spacing w:before="0" w:after="0" w:line="252" w:lineRule="auto"/>
            </w:pPr>
            <w:r>
              <w:rPr>
                <w:rFonts w:ascii="Calibri" w:hAnsi="Calibri"/>
                <w:sz w:val="17"/>
              </w:rPr>
              <w:t>Trust boundaries, auth, data classes, media path, third parties, admin paths</w:t>
            </w:r>
          </w:p>
        </w:tc>
        <w:tc>
          <w:tcPr>
            <w:tcW w:type="dxa" w:w="2560"/>
            <w:tcMar>
              <w:top w:w="80" w:type="dxa"/>
              <w:start w:w="120" w:type="dxa"/>
              <w:bottom w:w="80" w:type="dxa"/>
              <w:end w:w="120" w:type="dxa"/>
            </w:tcMar>
            <w:vAlign w:val="center"/>
          </w:tcPr>
          <w:p>
            <w:pPr>
              <w:spacing w:before="0" w:after="0" w:line="252" w:lineRule="auto"/>
            </w:pPr>
            <w:r>
              <w:rPr>
                <w:rFonts w:ascii="Calibri" w:hAnsi="Calibri"/>
                <w:sz w:val="17"/>
              </w:rPr>
              <w:t>Matches deployed configuration</w:t>
            </w:r>
          </w:p>
        </w:tc>
      </w:tr>
      <w:tr>
        <w:trPr>
          <w:cantSplit w:val="true"/>
        </w:trPr>
        <w:tc>
          <w:tcPr>
            <w:tcW w:type="dxa" w:w="2100"/>
            <w:tcMar>
              <w:top w:w="80" w:type="dxa"/>
              <w:start w:w="120" w:type="dxa"/>
              <w:bottom w:w="80" w:type="dxa"/>
              <w:end w:w="120" w:type="dxa"/>
            </w:tcMar>
            <w:vAlign w:val="center"/>
          </w:tcPr>
          <w:p>
            <w:pPr>
              <w:spacing w:before="0" w:after="0" w:line="252" w:lineRule="auto"/>
            </w:pPr>
            <w:r>
              <w:rPr>
                <w:rFonts w:ascii="Calibri" w:hAnsi="Calibri"/>
                <w:sz w:val="17"/>
              </w:rPr>
              <w:t>Access-control matrix</w:t>
            </w:r>
          </w:p>
        </w:tc>
        <w:tc>
          <w:tcPr>
            <w:tcW w:type="dxa" w:w="4700"/>
            <w:tcMar>
              <w:top w:w="80" w:type="dxa"/>
              <w:start w:w="120" w:type="dxa"/>
              <w:bottom w:w="80" w:type="dxa"/>
              <w:end w:w="120" w:type="dxa"/>
            </w:tcMar>
            <w:vAlign w:val="center"/>
          </w:tcPr>
          <w:p>
            <w:pPr>
              <w:spacing w:before="0" w:after="0" w:line="252" w:lineRule="auto"/>
            </w:pPr>
            <w:r>
              <w:rPr>
                <w:rFonts w:ascii="Calibri" w:hAnsi="Calibri"/>
                <w:sz w:val="17"/>
              </w:rPr>
              <w:t>Actor/role × route/data/action, including WebSocket and archive paths</w:t>
            </w:r>
          </w:p>
        </w:tc>
        <w:tc>
          <w:tcPr>
            <w:tcW w:type="dxa" w:w="2560"/>
            <w:tcMar>
              <w:top w:w="80" w:type="dxa"/>
              <w:start w:w="120" w:type="dxa"/>
              <w:bottom w:w="80" w:type="dxa"/>
              <w:end w:w="120" w:type="dxa"/>
            </w:tcMar>
            <w:vAlign w:val="center"/>
          </w:tcPr>
          <w:p>
            <w:pPr>
              <w:spacing w:before="0" w:after="0" w:line="252" w:lineRule="auto"/>
            </w:pPr>
            <w:r>
              <w:rPr>
                <w:rFonts w:ascii="Calibri" w:hAnsi="Calibri"/>
                <w:sz w:val="17"/>
              </w:rPr>
              <w:t>Negative tests pass</w:t>
            </w:r>
          </w:p>
        </w:tc>
      </w:tr>
      <w:tr>
        <w:trPr>
          <w:cantSplit w:val="true"/>
        </w:trPr>
        <w:tc>
          <w:tcPr>
            <w:tcW w:type="dxa" w:w="2100"/>
            <w:tcMar>
              <w:top w:w="80" w:type="dxa"/>
              <w:start w:w="120" w:type="dxa"/>
              <w:bottom w:w="80" w:type="dxa"/>
              <w:end w:w="120" w:type="dxa"/>
            </w:tcMar>
            <w:vAlign w:val="center"/>
          </w:tcPr>
          <w:p>
            <w:pPr>
              <w:spacing w:before="0" w:after="0" w:line="252" w:lineRule="auto"/>
            </w:pPr>
            <w:r>
              <w:rPr>
                <w:rFonts w:ascii="Calibri" w:hAnsi="Calibri"/>
                <w:sz w:val="17"/>
              </w:rPr>
              <w:t>Security baseline</w:t>
            </w:r>
          </w:p>
        </w:tc>
        <w:tc>
          <w:tcPr>
            <w:tcW w:type="dxa" w:w="4700"/>
            <w:tcMar>
              <w:top w:w="80" w:type="dxa"/>
              <w:start w:w="120" w:type="dxa"/>
              <w:bottom w:w="80" w:type="dxa"/>
              <w:end w:w="120" w:type="dxa"/>
            </w:tcMar>
            <w:vAlign w:val="center"/>
          </w:tcPr>
          <w:p>
            <w:pPr>
              <w:spacing w:before="0" w:after="0" w:line="252" w:lineRule="auto"/>
            </w:pPr>
            <w:r>
              <w:rPr>
                <w:rFonts w:ascii="Calibri" w:hAnsi="Calibri"/>
                <w:sz w:val="17"/>
              </w:rPr>
              <w:t>IAM, MFA, secrets, TLS/headers, network, host, DB, bucket, logging, patching</w:t>
            </w:r>
          </w:p>
        </w:tc>
        <w:tc>
          <w:tcPr>
            <w:tcW w:type="dxa" w:w="2560"/>
            <w:tcMar>
              <w:top w:w="80" w:type="dxa"/>
              <w:start w:w="120" w:type="dxa"/>
              <w:bottom w:w="80" w:type="dxa"/>
              <w:end w:w="120" w:type="dxa"/>
            </w:tcMar>
            <w:vAlign w:val="center"/>
          </w:tcPr>
          <w:p>
            <w:pPr>
              <w:spacing w:before="0" w:after="0" w:line="252" w:lineRule="auto"/>
            </w:pPr>
            <w:r>
              <w:rPr>
                <w:rFonts w:ascii="Calibri" w:hAnsi="Calibri"/>
                <w:sz w:val="17"/>
              </w:rPr>
              <w:t>Live export and reviewer notes</w:t>
            </w:r>
          </w:p>
        </w:tc>
      </w:tr>
      <w:tr>
        <w:trPr>
          <w:cantSplit w:val="true"/>
        </w:trPr>
        <w:tc>
          <w:tcPr>
            <w:tcW w:type="dxa" w:w="2100"/>
            <w:tcMar>
              <w:top w:w="80" w:type="dxa"/>
              <w:start w:w="120" w:type="dxa"/>
              <w:bottom w:w="80" w:type="dxa"/>
              <w:end w:w="120" w:type="dxa"/>
            </w:tcMar>
            <w:vAlign w:val="center"/>
          </w:tcPr>
          <w:p>
            <w:pPr>
              <w:spacing w:before="0" w:after="0" w:line="252" w:lineRule="auto"/>
            </w:pPr>
            <w:r>
              <w:rPr>
                <w:rFonts w:ascii="Calibri" w:hAnsi="Calibri"/>
                <w:sz w:val="17"/>
              </w:rPr>
              <w:t>Data governance package</w:t>
            </w:r>
          </w:p>
        </w:tc>
        <w:tc>
          <w:tcPr>
            <w:tcW w:type="dxa" w:w="4700"/>
            <w:tcMar>
              <w:top w:w="80" w:type="dxa"/>
              <w:start w:w="120" w:type="dxa"/>
              <w:bottom w:w="80" w:type="dxa"/>
              <w:end w:w="120" w:type="dxa"/>
            </w:tcMar>
            <w:vAlign w:val="center"/>
          </w:tcPr>
          <w:p>
            <w:pPr>
              <w:spacing w:before="0" w:after="0" w:line="252" w:lineRule="auto"/>
            </w:pPr>
            <w:r>
              <w:rPr>
                <w:rFonts w:ascii="Calibri" w:hAnsi="Calibri"/>
                <w:sz w:val="17"/>
              </w:rPr>
              <w:t>Privacy notice, inventory, retention, export, hold, deletion, offboarding</w:t>
            </w:r>
          </w:p>
        </w:tc>
        <w:tc>
          <w:tcPr>
            <w:tcW w:type="dxa" w:w="2560"/>
            <w:tcMar>
              <w:top w:w="80" w:type="dxa"/>
              <w:start w:w="120" w:type="dxa"/>
              <w:bottom w:w="80" w:type="dxa"/>
              <w:end w:w="120" w:type="dxa"/>
            </w:tcMar>
            <w:vAlign w:val="center"/>
          </w:tcPr>
          <w:p>
            <w:pPr>
              <w:spacing w:before="0" w:after="0" w:line="252" w:lineRule="auto"/>
            </w:pPr>
            <w:r>
              <w:rPr>
                <w:rFonts w:ascii="Calibri" w:hAnsi="Calibri"/>
                <w:sz w:val="17"/>
              </w:rPr>
              <w:t>Board/counsel approval</w:t>
            </w:r>
          </w:p>
        </w:tc>
      </w:tr>
      <w:tr>
        <w:trPr>
          <w:cantSplit w:val="true"/>
        </w:trPr>
        <w:tc>
          <w:tcPr>
            <w:tcW w:type="dxa" w:w="2100"/>
            <w:tcMar>
              <w:top w:w="80" w:type="dxa"/>
              <w:start w:w="120" w:type="dxa"/>
              <w:bottom w:w="80" w:type="dxa"/>
              <w:end w:w="120" w:type="dxa"/>
            </w:tcMar>
            <w:vAlign w:val="center"/>
          </w:tcPr>
          <w:p>
            <w:pPr>
              <w:spacing w:before="0" w:after="0" w:line="252" w:lineRule="auto"/>
            </w:pPr>
            <w:r>
              <w:rPr>
                <w:rFonts w:ascii="Calibri" w:hAnsi="Calibri"/>
                <w:sz w:val="17"/>
              </w:rPr>
              <w:t>Incident-response plan</w:t>
            </w:r>
          </w:p>
        </w:tc>
        <w:tc>
          <w:tcPr>
            <w:tcW w:type="dxa" w:w="4700"/>
            <w:tcMar>
              <w:top w:w="80" w:type="dxa"/>
              <w:start w:w="120" w:type="dxa"/>
              <w:bottom w:w="80" w:type="dxa"/>
              <w:end w:w="120" w:type="dxa"/>
            </w:tcMar>
            <w:vAlign w:val="center"/>
          </w:tcPr>
          <w:p>
            <w:pPr>
              <w:spacing w:before="0" w:after="0" w:line="252" w:lineRule="auto"/>
            </w:pPr>
            <w:r>
              <w:rPr>
                <w:rFonts w:ascii="Calibri" w:hAnsi="Calibri"/>
                <w:sz w:val="17"/>
              </w:rPr>
              <w:t>Contacts, severity, containment, evidence, notices, vendors, insurer/counsel</w:t>
            </w:r>
          </w:p>
        </w:tc>
        <w:tc>
          <w:tcPr>
            <w:tcW w:type="dxa" w:w="2560"/>
            <w:tcMar>
              <w:top w:w="80" w:type="dxa"/>
              <w:start w:w="120" w:type="dxa"/>
              <w:bottom w:w="80" w:type="dxa"/>
              <w:end w:w="120" w:type="dxa"/>
            </w:tcMar>
            <w:vAlign w:val="center"/>
          </w:tcPr>
          <w:p>
            <w:pPr>
              <w:spacing w:before="0" w:after="0" w:line="252" w:lineRule="auto"/>
            </w:pPr>
            <w:r>
              <w:rPr>
                <w:rFonts w:ascii="Calibri" w:hAnsi="Calibri"/>
                <w:sz w:val="17"/>
              </w:rPr>
              <w:t>Tabletop completed</w:t>
            </w:r>
          </w:p>
        </w:tc>
      </w:tr>
      <w:tr>
        <w:trPr>
          <w:cantSplit w:val="true"/>
        </w:trPr>
        <w:tc>
          <w:tcPr>
            <w:tcW w:type="dxa" w:w="2100"/>
            <w:tcMar>
              <w:top w:w="80" w:type="dxa"/>
              <w:start w:w="120" w:type="dxa"/>
              <w:bottom w:w="80" w:type="dxa"/>
              <w:end w:w="120" w:type="dxa"/>
            </w:tcMar>
            <w:vAlign w:val="center"/>
          </w:tcPr>
          <w:p>
            <w:pPr>
              <w:spacing w:before="0" w:after="0" w:line="252" w:lineRule="auto"/>
            </w:pPr>
            <w:r>
              <w:rPr>
                <w:rFonts w:ascii="Calibri" w:hAnsi="Calibri"/>
                <w:sz w:val="17"/>
              </w:rPr>
              <w:t>Platform continuity package</w:t>
            </w:r>
          </w:p>
        </w:tc>
        <w:tc>
          <w:tcPr>
            <w:tcW w:type="dxa" w:w="4700"/>
            <w:tcMar>
              <w:top w:w="80" w:type="dxa"/>
              <w:start w:w="120" w:type="dxa"/>
              <w:bottom w:w="80" w:type="dxa"/>
              <w:end w:w="120" w:type="dxa"/>
            </w:tcMar>
            <w:vAlign w:val="center"/>
          </w:tcPr>
          <w:p>
            <w:pPr>
              <w:spacing w:before="0" w:after="0" w:line="252" w:lineRule="auto"/>
            </w:pPr>
            <w:r>
              <w:rPr>
                <w:rFonts w:ascii="Calibri" w:hAnsi="Calibri"/>
                <w:sz w:val="17"/>
              </w:rPr>
              <w:t>Service/host reconstruction, protected platform state, successor access, discontinuation/export; routine tenant recovery remains self-service</w:t>
            </w:r>
          </w:p>
        </w:tc>
        <w:tc>
          <w:tcPr>
            <w:tcW w:type="dxa" w:w="2560"/>
            <w:tcMar>
              <w:top w:w="80" w:type="dxa"/>
              <w:start w:w="120" w:type="dxa"/>
              <w:bottom w:w="80" w:type="dxa"/>
              <w:end w:w="120" w:type="dxa"/>
            </w:tcMar>
            <w:vAlign w:val="center"/>
          </w:tcPr>
          <w:p>
            <w:pPr>
              <w:spacing w:before="0" w:after="0" w:line="252" w:lineRule="auto"/>
            </w:pPr>
            <w:r>
              <w:rPr>
                <w:rFonts w:ascii="Calibri" w:hAnsi="Calibri"/>
                <w:sz w:val="17"/>
              </w:rPr>
              <w:t>Backup administrator reconstruction exercise passes</w:t>
            </w:r>
          </w:p>
        </w:tc>
      </w:tr>
      <w:tr>
        <w:trPr>
          <w:cantSplit w:val="true"/>
        </w:trPr>
        <w:tc>
          <w:tcPr>
            <w:tcW w:type="dxa" w:w="2100"/>
            <w:tcMar>
              <w:top w:w="80" w:type="dxa"/>
              <w:start w:w="120" w:type="dxa"/>
              <w:bottom w:w="80" w:type="dxa"/>
              <w:end w:w="120" w:type="dxa"/>
            </w:tcMar>
            <w:vAlign w:val="center"/>
          </w:tcPr>
          <w:p>
            <w:pPr>
              <w:spacing w:before="0" w:after="0" w:line="252" w:lineRule="auto"/>
            </w:pPr>
            <w:r>
              <w:rPr>
                <w:rFonts w:ascii="Calibri" w:hAnsi="Calibri"/>
                <w:sz w:val="17"/>
              </w:rPr>
              <w:t>Software assurance package</w:t>
            </w:r>
          </w:p>
        </w:tc>
        <w:tc>
          <w:tcPr>
            <w:tcW w:type="dxa" w:w="4700"/>
            <w:tcMar>
              <w:top w:w="80" w:type="dxa"/>
              <w:start w:w="120" w:type="dxa"/>
              <w:bottom w:w="80" w:type="dxa"/>
              <w:end w:w="120" w:type="dxa"/>
            </w:tcMar>
            <w:vAlign w:val="center"/>
          </w:tcPr>
          <w:p>
            <w:pPr>
              <w:spacing w:before="0" w:after="0" w:line="252" w:lineRule="auto"/>
            </w:pPr>
            <w:r>
              <w:rPr>
                <w:rFonts w:ascii="Calibri" w:hAnsi="Calibri"/>
                <w:sz w:val="17"/>
              </w:rPr>
              <w:t>Clean baseline, tests, SBOM, vulnerabilities, licenses, provenance, known gaps</w:t>
            </w:r>
          </w:p>
        </w:tc>
        <w:tc>
          <w:tcPr>
            <w:tcW w:type="dxa" w:w="2560"/>
            <w:tcMar>
              <w:top w:w="80" w:type="dxa"/>
              <w:start w:w="120" w:type="dxa"/>
              <w:bottom w:w="80" w:type="dxa"/>
              <w:end w:w="120" w:type="dxa"/>
            </w:tcMar>
            <w:vAlign w:val="center"/>
          </w:tcPr>
          <w:p>
            <w:pPr>
              <w:spacing w:before="0" w:after="0" w:line="252" w:lineRule="auto"/>
            </w:pPr>
            <w:r>
              <w:rPr>
                <w:rFonts w:ascii="Calibri" w:hAnsi="Calibri"/>
                <w:sz w:val="17"/>
              </w:rPr>
              <w:t>Reviewer accepts disposition</w:t>
            </w:r>
          </w:p>
        </w:tc>
      </w:tr>
      <w:tr>
        <w:trPr>
          <w:cantSplit w:val="true"/>
        </w:trPr>
        <w:tc>
          <w:tcPr>
            <w:tcW w:type="dxa" w:w="2100"/>
            <w:tcMar>
              <w:top w:w="80" w:type="dxa"/>
              <w:start w:w="120" w:type="dxa"/>
              <w:bottom w:w="80" w:type="dxa"/>
              <w:end w:w="120" w:type="dxa"/>
            </w:tcMar>
            <w:vAlign w:val="center"/>
          </w:tcPr>
          <w:p>
            <w:pPr>
              <w:spacing w:before="0" w:after="0" w:line="252" w:lineRule="auto"/>
            </w:pPr>
            <w:r>
              <w:rPr>
                <w:rFonts w:ascii="Calibri" w:hAnsi="Calibri"/>
                <w:sz w:val="17"/>
              </w:rPr>
              <w:t>Operational qualification matrix</w:t>
            </w:r>
          </w:p>
        </w:tc>
        <w:tc>
          <w:tcPr>
            <w:tcW w:type="dxa" w:w="4700"/>
            <w:tcMar>
              <w:top w:w="80" w:type="dxa"/>
              <w:start w:w="120" w:type="dxa"/>
              <w:bottom w:w="80" w:type="dxa"/>
              <w:end w:w="120" w:type="dxa"/>
            </w:tcMar>
            <w:vAlign w:val="center"/>
          </w:tcPr>
          <w:p>
            <w:pPr>
              <w:spacing w:before="0" w:after="0" w:line="252" w:lineRule="auto"/>
            </w:pPr>
            <w:r>
              <w:rPr>
                <w:rFonts w:ascii="Calibri" w:hAnsi="Calibri"/>
                <w:sz w:val="17"/>
              </w:rPr>
              <w:t>Platform-by-platform capabilities and normal/degraded/field evidence</w:t>
            </w:r>
          </w:p>
        </w:tc>
        <w:tc>
          <w:tcPr>
            <w:tcW w:type="dxa" w:w="2560"/>
            <w:tcMar>
              <w:top w:w="80" w:type="dxa"/>
              <w:start w:w="120" w:type="dxa"/>
              <w:bottom w:w="80" w:type="dxa"/>
              <w:end w:w="120" w:type="dxa"/>
            </w:tcMar>
            <w:vAlign w:val="center"/>
          </w:tcPr>
          <w:p>
            <w:pPr>
              <w:spacing w:before="0" w:after="0" w:line="252" w:lineRule="auto"/>
            </w:pPr>
            <w:r>
              <w:rPr>
                <w:rFonts w:ascii="Calibri" w:hAnsi="Calibri"/>
                <w:sz w:val="17"/>
              </w:rPr>
              <w:t>Operational lead approval</w:t>
            </w:r>
          </w:p>
        </w:tc>
      </w:tr>
      <w:tr>
        <w:trPr>
          <w:cantSplit w:val="true"/>
        </w:trPr>
        <w:tc>
          <w:tcPr>
            <w:tcW w:type="dxa" w:w="2100"/>
            <w:tcMar>
              <w:top w:w="80" w:type="dxa"/>
              <w:start w:w="120" w:type="dxa"/>
              <w:bottom w:w="80" w:type="dxa"/>
              <w:end w:w="120" w:type="dxa"/>
            </w:tcMar>
            <w:vAlign w:val="center"/>
          </w:tcPr>
          <w:p>
            <w:pPr>
              <w:spacing w:before="0" w:after="0" w:line="252" w:lineRule="auto"/>
            </w:pPr>
            <w:r>
              <w:rPr>
                <w:rFonts w:ascii="Calibri" w:hAnsi="Calibri"/>
                <w:sz w:val="17"/>
              </w:rPr>
              <w:t>Risk acceptance register</w:t>
            </w:r>
          </w:p>
        </w:tc>
        <w:tc>
          <w:tcPr>
            <w:tcW w:type="dxa" w:w="4700"/>
            <w:tcMar>
              <w:top w:w="80" w:type="dxa"/>
              <w:start w:w="120" w:type="dxa"/>
              <w:bottom w:w="80" w:type="dxa"/>
              <w:end w:w="120" w:type="dxa"/>
            </w:tcMar>
            <w:vAlign w:val="center"/>
          </w:tcPr>
          <w:p>
            <w:pPr>
              <w:spacing w:before="0" w:after="0" w:line="252" w:lineRule="auto"/>
            </w:pPr>
            <w:r>
              <w:rPr>
                <w:rFonts w:ascii="Calibri" w:hAnsi="Calibri"/>
                <w:sz w:val="17"/>
              </w:rPr>
              <w:t>Owner, mitigation, residual risk, approver, deadline/review date</w:t>
            </w:r>
          </w:p>
        </w:tc>
        <w:tc>
          <w:tcPr>
            <w:tcW w:type="dxa" w:w="2560"/>
            <w:tcMar>
              <w:top w:w="80" w:type="dxa"/>
              <w:start w:w="120" w:type="dxa"/>
              <w:bottom w:w="80" w:type="dxa"/>
              <w:end w:w="120" w:type="dxa"/>
            </w:tcMar>
            <w:vAlign w:val="center"/>
          </w:tcPr>
          <w:p>
            <w:pPr>
              <w:spacing w:before="0" w:after="0" w:line="252" w:lineRule="auto"/>
            </w:pPr>
            <w:r>
              <w:rPr>
                <w:rFonts w:ascii="Calibri" w:hAnsi="Calibri"/>
                <w:sz w:val="17"/>
              </w:rPr>
              <w:t>Board or delegated committee action</w:t>
            </w:r>
          </w:p>
        </w:tc>
      </w:tr>
    </w:tbl>
    <w:p>
      <w:pPr>
        <w:spacing w:after="20"/>
      </w:pPr>
    </w:p>
    <w:p>
      <w:pPr>
        <w:pStyle w:val="Heading2"/>
      </w:pPr>
      <w:r>
        <w:t>Proposed technical-team finding</w:t>
      </w:r>
    </w:p>
    <w:tbl>
      <w:tblPr>
        <w:jc w:val="left"/>
        <w:tblLook w:firstColumn="1" w:firstRow="1" w:lastColumn="0" w:lastRow="0" w:noHBand="0" w:noVBand="1" w:val="04A0"/>
        <w:tblW w:w="9360" w:type="dxa"/>
        <w:tblInd w:w="120" w:type="dxa"/>
        <w:tblLayout w:type="fixed"/>
      </w:tblPr>
      <w:tblGrid>
        <w:gridCol w:w="9360"/>
      </w:tblGrid>
      <w:tr>
        <w:trPr>
          <w:tblHeader w:val="true"/>
          <w:cantSplit w:val="true"/>
        </w:trPr>
        <w:tc>
          <w:tcPr>
            <w:tcW w:type="dxa" w:w="9360"/>
            <w:tcMar>
              <w:top w:w="80" w:type="dxa"/>
              <w:start w:w="120" w:type="dxa"/>
              <w:bottom w:w="80" w:type="dxa"/>
              <w:end w:w="120" w:type="dxa"/>
            </w:tcMar>
            <w:vAlign w:val="center"/>
            <w:shd w:fill="E8F3EC"/>
          </w:tcPr>
          <w:p>
            <w:pPr>
              <w:spacing w:before="60" w:after="60"/>
            </w:pPr>
            <w:r>
              <w:rPr>
                <w:rFonts w:ascii="Calibri" w:hAnsi="Calibri"/>
                <w:b/>
                <w:color w:val="315C3A"/>
              </w:rPr>
              <w:t>UPDATED DRAFT FINDING  The reviewed source and applied no-outage cloud controls support continued use as a limited NCSSAR-controlled pilot. The program is materially better prepared for independent review, but should not yet be represented as independently security-assessed, highly available, formally certified, or ready for unrestricted multi-agency production use. Final adoption should follow institutional control, IAP-only host administration, tested monitoring and platform recovery, independent tenant/cloud review, and documented field qualification and residual-risk acceptance.</w:t>
            </w:r>
          </w:p>
        </w:tc>
      </w:tr>
    </w:tbl>
    <w:p>
      <w:pPr>
        <w:spacing w:after="20"/>
      </w:pPr>
    </w:p>
    <w:p>
      <w:pPr>
        <w:spacing w:before="60" w:after="0"/>
      </w:pPr>
    </w:p>
    <w:p>
      <w:pPr>
        <w:pStyle w:val="Heading1"/>
      </w:pPr>
      <w:r>
        <w:t>Appendix A — Evidence references</w:t>
      </w:r>
    </w:p>
    <w:p>
      <w:pPr>
        <w:keepLines w:val="0"/>
      </w:pPr>
      <w:r>
        <w:rPr>
          <w:rFonts w:ascii="Calibri" w:hAnsi="Calibri"/>
          <w:i w:val="0"/>
          <w:color w:val="20262E"/>
        </w:rPr>
        <w:t>Primary project materials reviewed:</w:t>
      </w:r>
    </w:p>
    <w:p>
      <w:pPr>
        <w:keepLines/>
        <w:numPr>
          <w:ilvl w:val="0"/>
          <w:numId w:val="10"/>
        </w:numPr>
      </w:pPr>
      <w:r>
        <w:t>r2c-tracker: Apache 2.0 LICENSE; SECURITY.md; dependency/security requirements and secret baseline; security/Dependabot workflows; security and cloud-inventory scripts; authorization, incident, monitoring, continuity, cloud-hardening, and public-safety documents; core application/authentication/integration source; deployment and architecture documentation; tests; and changes.txt.</w:t>
      </w:r>
    </w:p>
    <w:p>
      <w:pPr>
        <w:keepLines/>
        <w:numPr>
          <w:ilvl w:val="0"/>
          <w:numId w:val="10"/>
        </w:numPr>
      </w:pPr>
      <w:r>
        <w:t>RID2Caltopo: LICENSE; NOTICE; PrivacyPolicy.md; Android AppConfig/organization enrollment, tracker coordination, configuration transfer, launch disclaimer, and release checks; Apple PRIVACY.md, PrivacyInfo.xcprivacy, Keychain-backed settings/enrollment, configuration backup, tracker coordination, launch disclaimer, and R2CCore tests.</w:t>
      </w:r>
    </w:p>
    <w:p>
      <w:pPr>
        <w:keepLines/>
        <w:numPr>
          <w:ilvl w:val="0"/>
          <w:numId w:val="10"/>
        </w:numPr>
      </w:pPr>
      <w:r>
        <w:rPr>
          <w:rFonts w:ascii="Calibri" w:hAnsi="Calibri"/>
        </w:rPr>
        <w:t>RID2Caltopo website: managed-access request component, request worker, and rendered-page tests.</w:t>
      </w:r>
    </w:p>
    <w:p>
      <w:pPr>
        <w:keepLines/>
        <w:numPr>
          <w:ilvl w:val="0"/>
          <w:numId w:val="10"/>
        </w:numPr>
      </w:pPr>
      <w:r>
        <w:rPr>
          <w:rFonts w:ascii="Calibri" w:hAnsi="Calibri"/>
        </w:rPr>
        <w:t>NCSSAR proposal: Proposal for Adoption and Stewardship of the RID2Caltopo Program, August 7, 2026.</w:t>
      </w:r>
    </w:p>
    <w:p>
      <w:pPr>
        <w:keepLines/>
        <w:numPr>
          <w:ilvl w:val="0"/>
          <w:numId w:val="10"/>
        </w:numPr>
      </w:pPr>
      <w:r>
        <w:rPr>
          <w:rFonts w:ascii="Calibri" w:hAnsi="Calibri"/>
        </w:rPr>
        <w:t>Google Cloud observations and controlled changes on August 7-8, 2026: Cloud Run service/revision and IAM, runtime secret references and access roles, bucket controls/IAM, VPC routes, Compute Engine VM/disk posture, firewall rules, deletion protection, removal of unused public-web tags, logged RDP denial, and additive IAP access configuration. No secret payloads were accessed.</w:t>
      </w:r>
    </w:p>
    <w:p>
      <w:pPr>
        <w:pStyle w:val="Heading2"/>
      </w:pPr>
      <w:r>
        <w:t>Repository baseline caveat</w:t>
      </w:r>
    </w:p>
    <w:p>
      <w:pPr>
        <w:keepLines w:val="0"/>
      </w:pPr>
      <w:r>
        <w:rPr>
          <w:rFonts w:ascii="Calibri" w:hAnsi="Calibri"/>
          <w:i w:val="0"/>
          <w:color w:val="20262E"/>
        </w:rPr>
        <w:t>All three repositories contained uncommitted work at review time. The listed commit IDs identify the committed base, not the entire reviewed working tree. A final adoption baseline must be a clean, signed or otherwise immutable release reference with its exact source, dependencies, configuration, and evidence retained.</w:t>
      </w:r>
    </w:p>
    <w:p>
      <w:pPr>
        <w:pStyle w:val="Heading2"/>
      </w:pPr>
      <w:r>
        <w:t>Open evidence requests</w:t>
      </w:r>
    </w:p>
    <w:p>
      <w:pPr>
        <w:keepLines/>
        <w:numPr>
          <w:ilvl w:val="0"/>
          <w:numId w:val="10"/>
        </w:numPr>
      </w:pPr>
      <w:r>
        <w:rPr>
          <w:rFonts w:ascii="Calibri" w:hAnsi="Calibri"/>
        </w:rPr>
        <w:t>Independent review of the retained cloud inventory and change history, with disposition of public SSH/IP, guest access, OS/patch/service state, Secure Boot, VM/database/bucket backup and restore, logging, monitoring, and budget findings.</w:t>
      </w:r>
    </w:p>
    <w:p>
      <w:pPr>
        <w:keepLines/>
        <w:numPr>
          <w:ilvl w:val="0"/>
          <w:numId w:val="10"/>
        </w:numPr>
      </w:pPr>
      <w:r>
        <w:rPr>
          <w:rFonts w:ascii="Calibri" w:hAnsi="Calibri"/>
        </w:rPr>
        <w:t>Domain registrar, app-store, OAuth, FAA, Gmail, TURN, billing, and recovery ownership records.</w:t>
      </w:r>
    </w:p>
    <w:p>
      <w:pPr>
        <w:keepLines/>
        <w:numPr>
          <w:ilvl w:val="0"/>
          <w:numId w:val="10"/>
        </w:numPr>
      </w:pPr>
      <w:r>
        <w:t>Cross-platform and container SBOMs; container, secret-history, and license-policy scans; hash-pinned dependency evidence; protected release provenance; and independent review of the server security-gate results.</w:t>
      </w:r>
    </w:p>
    <w:p>
      <w:pPr>
        <w:keepLines/>
        <w:numPr>
          <w:ilvl w:val="0"/>
          <w:numId w:val="10"/>
        </w:numPr>
      </w:pPr>
      <w:r>
        <w:rPr>
          <w:rFonts w:ascii="Calibri" w:hAnsi="Calibri"/>
        </w:rPr>
        <w:t>Board-approved monitoring contacts, tested alert delivery to two responders, log access/retention decisions, completed incident tabletop, incident history, support history, and current vulnerability/defect register.</w:t>
      </w:r>
    </w:p>
    <w:p>
      <w:pPr>
        <w:keepLines/>
        <w:numPr>
          <w:ilvl w:val="0"/>
          <w:numId w:val="10"/>
        </w:numPr>
      </w:pPr>
      <w:r>
        <w:rPr>
          <w:rFonts w:ascii="Calibri" w:hAnsi="Calibri"/>
        </w:rPr>
        <w:t>Platform-by-platform field qualification results and managed-video qualification evidence.</w:t>
      </w:r>
    </w:p>
    <w:p>
      <w:pPr>
        <w:pStyle w:val="Heading1"/>
      </w:pPr>
      <w:r>
        <w:t>Appendix B — Reviewer sign-off</w:t>
      </w:r>
    </w:p>
    <w:tbl>
      <w:tblPr>
        <w:tblStyle w:val="TableGrid"/>
        <w:jc w:val="left"/>
        <w:tblLook w:firstColumn="1" w:firstRow="1" w:lastColumn="0" w:lastRow="0" w:noHBand="0" w:noVBand="1" w:val="04A0"/>
        <w:tblW w:w="9360" w:type="dxa"/>
        <w:tblInd w:w="120" w:type="dxa"/>
        <w:tblLayout w:type="fixed"/>
      </w:tblPr>
      <w:tblGrid>
        <w:gridCol w:w="1900"/>
        <w:gridCol w:w="1900"/>
        <w:gridCol w:w="3900"/>
        <w:gridCol w:w="1660"/>
      </w:tblGrid>
      <w:tr>
        <w:trPr>
          <w:tblHeader w:val="true"/>
          <w:cantSplit w:val="true"/>
        </w:trPr>
        <w:tc>
          <w:tcPr>
            <w:tcW w:type="dxa" w:w="1900"/>
            <w:shd w:fill="F2F4F7"/>
            <w:tcMar>
              <w:top w:w="80" w:type="dxa"/>
              <w:start w:w="120" w:type="dxa"/>
              <w:bottom w:w="80" w:type="dxa"/>
              <w:end w:w="120" w:type="dxa"/>
            </w:tcMar>
            <w:vAlign w:val="center"/>
          </w:tcPr>
          <w:p>
            <w:pPr>
              <w:spacing w:before="20" w:after="20"/>
            </w:pPr>
            <w:r>
              <w:rPr>
                <w:rFonts w:ascii="Calibri" w:hAnsi="Calibri"/>
                <w:b/>
                <w:color w:val="17365D"/>
                <w:sz w:val="19"/>
              </w:rPr>
              <w:t>Role</w:t>
            </w:r>
          </w:p>
        </w:tc>
        <w:tc>
          <w:tcPr>
            <w:tcW w:type="dxa" w:w="1900"/>
            <w:shd w:fill="F2F4F7"/>
            <w:tcMar>
              <w:top w:w="80" w:type="dxa"/>
              <w:start w:w="120" w:type="dxa"/>
              <w:bottom w:w="80" w:type="dxa"/>
              <w:end w:w="120" w:type="dxa"/>
            </w:tcMar>
            <w:vAlign w:val="center"/>
          </w:tcPr>
          <w:p>
            <w:pPr>
              <w:spacing w:before="20" w:after="20"/>
            </w:pPr>
            <w:r>
              <w:rPr>
                <w:rFonts w:ascii="Calibri" w:hAnsi="Calibri"/>
                <w:b/>
                <w:color w:val="17365D"/>
                <w:sz w:val="19"/>
              </w:rPr>
              <w:t>Name</w:t>
            </w:r>
          </w:p>
        </w:tc>
        <w:tc>
          <w:tcPr>
            <w:tcW w:type="dxa" w:w="3900"/>
            <w:shd w:fill="F2F4F7"/>
            <w:tcMar>
              <w:top w:w="80" w:type="dxa"/>
              <w:start w:w="120" w:type="dxa"/>
              <w:bottom w:w="80" w:type="dxa"/>
              <w:end w:w="120" w:type="dxa"/>
            </w:tcMar>
            <w:vAlign w:val="center"/>
          </w:tcPr>
          <w:p>
            <w:pPr>
              <w:spacing w:before="20" w:after="20"/>
            </w:pPr>
            <w:r>
              <w:rPr>
                <w:rFonts w:ascii="Calibri" w:hAnsi="Calibri"/>
                <w:b/>
                <w:color w:val="17365D"/>
                <w:sz w:val="19"/>
              </w:rPr>
              <w:t>Finding / exceptions</w:t>
            </w:r>
          </w:p>
        </w:tc>
        <w:tc>
          <w:tcPr>
            <w:tcW w:type="dxa" w:w="1660"/>
            <w:shd w:fill="F2F4F7"/>
            <w:tcMar>
              <w:top w:w="80" w:type="dxa"/>
              <w:start w:w="120" w:type="dxa"/>
              <w:bottom w:w="80" w:type="dxa"/>
              <w:end w:w="120" w:type="dxa"/>
            </w:tcMar>
            <w:vAlign w:val="center"/>
          </w:tcPr>
          <w:p>
            <w:pPr>
              <w:spacing w:before="20" w:after="20"/>
            </w:pPr>
            <w:r>
              <w:rPr>
                <w:rFonts w:ascii="Calibri" w:hAnsi="Calibri"/>
                <w:b/>
                <w:color w:val="17365D"/>
                <w:sz w:val="19"/>
              </w:rPr>
              <w:t>Date</w:t>
            </w:r>
          </w:p>
        </w:tc>
      </w:tr>
      <w:tr>
        <w:trPr>
          <w:cantSplit w:val="true"/>
        </w:trPr>
        <w:tc>
          <w:tcPr>
            <w:tcW w:type="dxa" w:w="1900"/>
            <w:tcMar>
              <w:top w:w="80" w:type="dxa"/>
              <w:start w:w="120" w:type="dxa"/>
              <w:bottom w:w="80" w:type="dxa"/>
              <w:end w:w="120" w:type="dxa"/>
            </w:tcMar>
            <w:vAlign w:val="center"/>
          </w:tcPr>
          <w:p>
            <w:pPr>
              <w:spacing w:before="0" w:after="0" w:line="252" w:lineRule="auto"/>
            </w:pPr>
            <w:r>
              <w:rPr>
                <w:rFonts w:ascii="Calibri" w:hAnsi="Calibri"/>
                <w:sz w:val="18"/>
              </w:rPr>
              <w:t>Technical lead</w:t>
            </w:r>
          </w:p>
        </w:tc>
        <w:tc>
          <w:tcPr>
            <w:tcW w:type="dxa" w:w="1900"/>
            <w:tcMar>
              <w:top w:w="80" w:type="dxa"/>
              <w:start w:w="120" w:type="dxa"/>
              <w:bottom w:w="80" w:type="dxa"/>
              <w:end w:w="120" w:type="dxa"/>
            </w:tcMar>
            <w:vAlign w:val="center"/>
          </w:tcPr>
          <w:p>
            <w:pPr>
              <w:spacing w:before="0" w:after="0" w:line="252" w:lineRule="auto"/>
            </w:pPr>
            <w:r>
              <w:rPr>
                <w:rFonts w:ascii="Calibri" w:hAnsi="Calibri"/>
                <w:sz w:val="18"/>
              </w:rPr>
            </w:r>
          </w:p>
        </w:tc>
        <w:tc>
          <w:tcPr>
            <w:tcW w:type="dxa" w:w="3900"/>
            <w:tcMar>
              <w:top w:w="80" w:type="dxa"/>
              <w:start w:w="120" w:type="dxa"/>
              <w:bottom w:w="80" w:type="dxa"/>
              <w:end w:w="120" w:type="dxa"/>
            </w:tcMar>
            <w:vAlign w:val="center"/>
          </w:tcPr>
          <w:p>
            <w:pPr>
              <w:spacing w:before="0" w:after="0" w:line="252" w:lineRule="auto"/>
            </w:pPr>
            <w:r>
              <w:rPr>
                <w:rFonts w:ascii="Calibri" w:hAnsi="Calibri"/>
                <w:sz w:val="18"/>
              </w:rPr>
            </w:r>
          </w:p>
        </w:tc>
        <w:tc>
          <w:tcPr>
            <w:tcW w:type="dxa" w:w="1660"/>
            <w:tcMar>
              <w:top w:w="80" w:type="dxa"/>
              <w:start w:w="120" w:type="dxa"/>
              <w:bottom w:w="80" w:type="dxa"/>
              <w:end w:w="120" w:type="dxa"/>
            </w:tcMar>
            <w:vAlign w:val="center"/>
          </w:tcPr>
          <w:p>
            <w:pPr>
              <w:spacing w:before="0" w:after="0" w:line="252" w:lineRule="auto"/>
            </w:pPr>
            <w:r>
              <w:rPr>
                <w:rFonts w:ascii="Calibri" w:hAnsi="Calibri"/>
                <w:sz w:val="18"/>
              </w:rPr>
            </w:r>
          </w:p>
        </w:tc>
      </w:tr>
      <w:tr>
        <w:trPr>
          <w:cantSplit w:val="true"/>
        </w:trPr>
        <w:tc>
          <w:tcPr>
            <w:tcW w:type="dxa" w:w="1900"/>
            <w:tcMar>
              <w:top w:w="80" w:type="dxa"/>
              <w:start w:w="120" w:type="dxa"/>
              <w:bottom w:w="80" w:type="dxa"/>
              <w:end w:w="120" w:type="dxa"/>
            </w:tcMar>
            <w:vAlign w:val="center"/>
          </w:tcPr>
          <w:p>
            <w:pPr>
              <w:spacing w:before="0" w:after="0" w:line="252" w:lineRule="auto"/>
            </w:pPr>
            <w:r>
              <w:rPr>
                <w:rFonts w:ascii="Calibri" w:hAnsi="Calibri"/>
                <w:sz w:val="18"/>
              </w:rPr>
              <w:t>Security reviewer</w:t>
            </w:r>
          </w:p>
        </w:tc>
        <w:tc>
          <w:tcPr>
            <w:tcW w:type="dxa" w:w="1900"/>
            <w:tcMar>
              <w:top w:w="80" w:type="dxa"/>
              <w:start w:w="120" w:type="dxa"/>
              <w:bottom w:w="80" w:type="dxa"/>
              <w:end w:w="120" w:type="dxa"/>
            </w:tcMar>
            <w:vAlign w:val="center"/>
          </w:tcPr>
          <w:p>
            <w:pPr>
              <w:spacing w:before="0" w:after="0" w:line="252" w:lineRule="auto"/>
            </w:pPr>
            <w:r>
              <w:rPr>
                <w:rFonts w:ascii="Calibri" w:hAnsi="Calibri"/>
                <w:sz w:val="18"/>
              </w:rPr>
            </w:r>
          </w:p>
        </w:tc>
        <w:tc>
          <w:tcPr>
            <w:tcW w:type="dxa" w:w="3900"/>
            <w:tcMar>
              <w:top w:w="80" w:type="dxa"/>
              <w:start w:w="120" w:type="dxa"/>
              <w:bottom w:w="80" w:type="dxa"/>
              <w:end w:w="120" w:type="dxa"/>
            </w:tcMar>
            <w:vAlign w:val="center"/>
          </w:tcPr>
          <w:p>
            <w:pPr>
              <w:spacing w:before="0" w:after="0" w:line="252" w:lineRule="auto"/>
            </w:pPr>
            <w:r>
              <w:rPr>
                <w:rFonts w:ascii="Calibri" w:hAnsi="Calibri"/>
                <w:sz w:val="18"/>
              </w:rPr>
            </w:r>
          </w:p>
        </w:tc>
        <w:tc>
          <w:tcPr>
            <w:tcW w:type="dxa" w:w="1660"/>
            <w:tcMar>
              <w:top w:w="80" w:type="dxa"/>
              <w:start w:w="120" w:type="dxa"/>
              <w:bottom w:w="80" w:type="dxa"/>
              <w:end w:w="120" w:type="dxa"/>
            </w:tcMar>
            <w:vAlign w:val="center"/>
          </w:tcPr>
          <w:p>
            <w:pPr>
              <w:spacing w:before="0" w:after="0" w:line="252" w:lineRule="auto"/>
            </w:pPr>
            <w:r>
              <w:rPr>
                <w:rFonts w:ascii="Calibri" w:hAnsi="Calibri"/>
                <w:sz w:val="18"/>
              </w:rPr>
            </w:r>
          </w:p>
        </w:tc>
      </w:tr>
      <w:tr>
        <w:trPr>
          <w:cantSplit w:val="true"/>
        </w:trPr>
        <w:tc>
          <w:tcPr>
            <w:tcW w:type="dxa" w:w="1900"/>
            <w:tcMar>
              <w:top w:w="80" w:type="dxa"/>
              <w:start w:w="120" w:type="dxa"/>
              <w:bottom w:w="80" w:type="dxa"/>
              <w:end w:w="120" w:type="dxa"/>
            </w:tcMar>
            <w:vAlign w:val="center"/>
          </w:tcPr>
          <w:p>
            <w:pPr>
              <w:spacing w:before="0" w:after="0" w:line="252" w:lineRule="auto"/>
            </w:pPr>
            <w:r>
              <w:rPr>
                <w:rFonts w:ascii="Calibri" w:hAnsi="Calibri"/>
                <w:sz w:val="18"/>
              </w:rPr>
              <w:t>Cloud/infrastructure reviewer</w:t>
            </w:r>
          </w:p>
        </w:tc>
        <w:tc>
          <w:tcPr>
            <w:tcW w:type="dxa" w:w="1900"/>
            <w:tcMar>
              <w:top w:w="80" w:type="dxa"/>
              <w:start w:w="120" w:type="dxa"/>
              <w:bottom w:w="80" w:type="dxa"/>
              <w:end w:w="120" w:type="dxa"/>
            </w:tcMar>
            <w:vAlign w:val="center"/>
          </w:tcPr>
          <w:p>
            <w:pPr>
              <w:spacing w:before="0" w:after="0" w:line="252" w:lineRule="auto"/>
            </w:pPr>
            <w:r>
              <w:rPr>
                <w:rFonts w:ascii="Calibri" w:hAnsi="Calibri"/>
                <w:sz w:val="18"/>
              </w:rPr>
            </w:r>
          </w:p>
        </w:tc>
        <w:tc>
          <w:tcPr>
            <w:tcW w:type="dxa" w:w="3900"/>
            <w:tcMar>
              <w:top w:w="80" w:type="dxa"/>
              <w:start w:w="120" w:type="dxa"/>
              <w:bottom w:w="80" w:type="dxa"/>
              <w:end w:w="120" w:type="dxa"/>
            </w:tcMar>
            <w:vAlign w:val="center"/>
          </w:tcPr>
          <w:p>
            <w:pPr>
              <w:spacing w:before="0" w:after="0" w:line="252" w:lineRule="auto"/>
            </w:pPr>
            <w:r>
              <w:rPr>
                <w:rFonts w:ascii="Calibri" w:hAnsi="Calibri"/>
                <w:sz w:val="18"/>
              </w:rPr>
            </w:r>
          </w:p>
        </w:tc>
        <w:tc>
          <w:tcPr>
            <w:tcW w:type="dxa" w:w="1660"/>
            <w:tcMar>
              <w:top w:w="80" w:type="dxa"/>
              <w:start w:w="120" w:type="dxa"/>
              <w:bottom w:w="80" w:type="dxa"/>
              <w:end w:w="120" w:type="dxa"/>
            </w:tcMar>
            <w:vAlign w:val="center"/>
          </w:tcPr>
          <w:p>
            <w:pPr>
              <w:spacing w:before="0" w:after="0" w:line="252" w:lineRule="auto"/>
            </w:pPr>
            <w:r>
              <w:rPr>
                <w:rFonts w:ascii="Calibri" w:hAnsi="Calibri"/>
                <w:sz w:val="18"/>
              </w:rPr>
            </w:r>
          </w:p>
        </w:tc>
      </w:tr>
      <w:tr>
        <w:trPr>
          <w:cantSplit w:val="true"/>
        </w:trPr>
        <w:tc>
          <w:tcPr>
            <w:tcW w:type="dxa" w:w="1900"/>
            <w:tcMar>
              <w:top w:w="80" w:type="dxa"/>
              <w:start w:w="120" w:type="dxa"/>
              <w:bottom w:w="80" w:type="dxa"/>
              <w:end w:w="120" w:type="dxa"/>
            </w:tcMar>
            <w:vAlign w:val="center"/>
          </w:tcPr>
          <w:p>
            <w:pPr>
              <w:spacing w:before="0" w:after="0" w:line="252" w:lineRule="auto"/>
            </w:pPr>
            <w:r>
              <w:rPr>
                <w:rFonts w:ascii="Calibri" w:hAnsi="Calibri"/>
                <w:sz w:val="18"/>
              </w:rPr>
              <w:t>Operational/field reviewer</w:t>
            </w:r>
          </w:p>
        </w:tc>
        <w:tc>
          <w:tcPr>
            <w:tcW w:type="dxa" w:w="1900"/>
            <w:tcMar>
              <w:top w:w="80" w:type="dxa"/>
              <w:start w:w="120" w:type="dxa"/>
              <w:bottom w:w="80" w:type="dxa"/>
              <w:end w:w="120" w:type="dxa"/>
            </w:tcMar>
            <w:vAlign w:val="center"/>
          </w:tcPr>
          <w:p>
            <w:pPr>
              <w:spacing w:before="0" w:after="0" w:line="252" w:lineRule="auto"/>
            </w:pPr>
            <w:r>
              <w:rPr>
                <w:rFonts w:ascii="Calibri" w:hAnsi="Calibri"/>
                <w:sz w:val="18"/>
              </w:rPr>
            </w:r>
          </w:p>
        </w:tc>
        <w:tc>
          <w:tcPr>
            <w:tcW w:type="dxa" w:w="3900"/>
            <w:tcMar>
              <w:top w:w="80" w:type="dxa"/>
              <w:start w:w="120" w:type="dxa"/>
              <w:bottom w:w="80" w:type="dxa"/>
              <w:end w:w="120" w:type="dxa"/>
            </w:tcMar>
            <w:vAlign w:val="center"/>
          </w:tcPr>
          <w:p>
            <w:pPr>
              <w:spacing w:before="0" w:after="0" w:line="252" w:lineRule="auto"/>
            </w:pPr>
            <w:r>
              <w:rPr>
                <w:rFonts w:ascii="Calibri" w:hAnsi="Calibri"/>
                <w:sz w:val="18"/>
              </w:rPr>
            </w:r>
          </w:p>
        </w:tc>
        <w:tc>
          <w:tcPr>
            <w:tcW w:type="dxa" w:w="1660"/>
            <w:tcMar>
              <w:top w:w="80" w:type="dxa"/>
              <w:start w:w="120" w:type="dxa"/>
              <w:bottom w:w="80" w:type="dxa"/>
              <w:end w:w="120" w:type="dxa"/>
            </w:tcMar>
            <w:vAlign w:val="center"/>
          </w:tcPr>
          <w:p>
            <w:pPr>
              <w:spacing w:before="0" w:after="0" w:line="252" w:lineRule="auto"/>
            </w:pPr>
            <w:r>
              <w:rPr>
                <w:rFonts w:ascii="Calibri" w:hAnsi="Calibri"/>
                <w:sz w:val="18"/>
              </w:rPr>
            </w:r>
          </w:p>
        </w:tc>
      </w:tr>
      <w:tr>
        <w:trPr>
          <w:cantSplit w:val="true"/>
        </w:trPr>
        <w:tc>
          <w:tcPr>
            <w:tcW w:type="dxa" w:w="1900"/>
            <w:tcMar>
              <w:top w:w="80" w:type="dxa"/>
              <w:start w:w="120" w:type="dxa"/>
              <w:bottom w:w="80" w:type="dxa"/>
              <w:end w:w="120" w:type="dxa"/>
            </w:tcMar>
            <w:vAlign w:val="center"/>
          </w:tcPr>
          <w:p>
            <w:pPr>
              <w:spacing w:before="0" w:after="0" w:line="252" w:lineRule="auto"/>
            </w:pPr>
            <w:r>
              <w:rPr>
                <w:rFonts w:ascii="Calibri" w:hAnsi="Calibri"/>
                <w:sz w:val="18"/>
              </w:rPr>
              <w:t>Board program sponsor</w:t>
            </w:r>
          </w:p>
        </w:tc>
        <w:tc>
          <w:tcPr>
            <w:tcW w:type="dxa" w:w="1900"/>
            <w:tcMar>
              <w:top w:w="80" w:type="dxa"/>
              <w:start w:w="120" w:type="dxa"/>
              <w:bottom w:w="80" w:type="dxa"/>
              <w:end w:w="120" w:type="dxa"/>
            </w:tcMar>
            <w:vAlign w:val="center"/>
          </w:tcPr>
          <w:p>
            <w:pPr>
              <w:spacing w:before="0" w:after="0" w:line="252" w:lineRule="auto"/>
            </w:pPr>
            <w:r>
              <w:rPr>
                <w:rFonts w:ascii="Calibri" w:hAnsi="Calibri"/>
                <w:sz w:val="18"/>
              </w:rPr>
            </w:r>
          </w:p>
        </w:tc>
        <w:tc>
          <w:tcPr>
            <w:tcW w:type="dxa" w:w="3900"/>
            <w:tcMar>
              <w:top w:w="80" w:type="dxa"/>
              <w:start w:w="120" w:type="dxa"/>
              <w:bottom w:w="80" w:type="dxa"/>
              <w:end w:w="120" w:type="dxa"/>
            </w:tcMar>
            <w:vAlign w:val="center"/>
          </w:tcPr>
          <w:p>
            <w:pPr>
              <w:spacing w:before="0" w:after="0" w:line="252" w:lineRule="auto"/>
            </w:pPr>
            <w:r>
              <w:rPr>
                <w:rFonts w:ascii="Calibri" w:hAnsi="Calibri"/>
                <w:sz w:val="18"/>
              </w:rPr>
            </w:r>
          </w:p>
        </w:tc>
        <w:tc>
          <w:tcPr>
            <w:tcW w:type="dxa" w:w="1660"/>
            <w:tcMar>
              <w:top w:w="80" w:type="dxa"/>
              <w:start w:w="120" w:type="dxa"/>
              <w:bottom w:w="80" w:type="dxa"/>
              <w:end w:w="120" w:type="dxa"/>
            </w:tcMar>
            <w:vAlign w:val="center"/>
          </w:tcPr>
          <w:p>
            <w:pPr>
              <w:spacing w:before="0" w:after="0" w:line="252" w:lineRule="auto"/>
            </w:pPr>
            <w:r>
              <w:rPr>
                <w:rFonts w:ascii="Calibri" w:hAnsi="Calibri"/>
                <w:sz w:val="18"/>
              </w:rPr>
            </w:r>
          </w:p>
        </w:tc>
      </w:tr>
    </w:tbl>
    <w:p>
      <w:pPr>
        <w:spacing w:after="20"/>
      </w:pPr>
    </w:p>
    <w:p>
      <w:pPr>
        <w:keepLines w:val="0"/>
      </w:pPr>
      <w:r>
        <w:rPr>
          <w:rFonts w:ascii="Calibri" w:hAnsi="Calibri"/>
          <w:i w:val="0"/>
          <w:color w:val="5D6875"/>
        </w:rPr>
        <w:t>Reviewer decision:  ☐ Accept for controlled pilot   ☐ Accept with conditions   ☐ Return for remediation   ☐ Do not adopt</w:t>
      </w:r>
    </w:p>
    <w:p>
      <w:pPr>
        <w:keepLines w:val="0"/>
      </w:pPr>
      <w:r>
        <w:rPr>
          <w:rFonts w:ascii="Calibri" w:hAnsi="Calibri"/>
          <w:i w:val="0"/>
          <w:color w:val="20262E"/>
        </w:rPr>
        <w:t>Conditions or residual risks accepted by authorized decision-maker:</w:t>
      </w:r>
    </w:p>
    <w:p>
      <w:pPr>
        <w:spacing w:after="140"/>
      </w:pPr>
      <w:r>
        <w:rPr>
          <w:rFonts w:ascii="Calibri" w:hAnsi="Calibri"/>
          <w:color w:val="A0A6AD"/>
        </w:rPr>
        <w:t>________________________________________________________________________________</w:t>
      </w:r>
    </w:p>
    <w:p>
      <w:pPr>
        <w:spacing w:after="140"/>
      </w:pPr>
      <w:r>
        <w:rPr>
          <w:rFonts w:ascii="Calibri" w:hAnsi="Calibri"/>
          <w:color w:val="A0A6AD"/>
        </w:rPr>
        <w:t>________________________________________________________________________________</w:t>
      </w:r>
    </w:p>
    <w:p>
      <w:pPr>
        <w:spacing w:after="140"/>
      </w:pPr>
      <w:r>
        <w:rPr>
          <w:rFonts w:ascii="Calibri" w:hAnsi="Calibri"/>
          <w:color w:val="A0A6AD"/>
        </w:rPr>
        <w:t>________________________________________________________________________________</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jc w:val="right"/>
    </w:pPr>
    <w:r>
      <w:rPr>
        <w:rFonts w:ascii="Calibri" w:hAnsi="Calibri"/>
        <w:color w:val="5D6875"/>
        <w:sz w:val="17"/>
      </w:rPr>
      <w:t xml:space="preserve">Board Technical Review  •  August 8, 2026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Pr>
    <w:r>
      <w:rPr>
        <w:rFonts w:ascii="Calibri" w:hAnsi="Calibri"/>
        <w:b/>
        <w:color w:val="5D6875"/>
        <w:sz w:val="17"/>
      </w:rPr>
      <w:t>NCSSAR TECHNICAL DUE DILIGENCE  |  RID2CALTOPO PROGRAM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720"/>
        </w:tabs>
        <w:ind w:left="720" w:hanging="360"/>
        <w:spacing w:after="160" w:line="280" w:lineRule="auto"/>
      </w:pPr>
      <w:rPr>
        <w:rFonts w:ascii="Symbol" w:hAnsi="Symbol"/>
      </w:rPr>
    </w:lvl>
  </w:abstractNum>
  <w:num w:numId="10">
    <w:abstractNumId w:val="9"/>
  </w:num>
  <w:abstractNum w:abstractNumId="10">
    <w:multiLevelType w:val="singleLevel"/>
    <w:lvl w:ilvl="0">
      <w:start w:val="1"/>
      <w:numFmt w:val="decimal"/>
      <w:lvlText w:val="%1."/>
      <w:lvlJc w:val="left"/>
      <w:pPr>
        <w:tabs>
          <w:tab w:val="num" w:pos="720"/>
        </w:tabs>
        <w:ind w:left="720" w:hanging="360"/>
        <w:spacing w:after="160" w:line="280" w:lineRule="auto"/>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2026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Calibri" w:hAnsi="Calibri"/>
      <w:b w:val="0"/>
      <w:i/>
      <w:iCs/>
      <w:color w:val="5D6875"/>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RID2Caltopo Program Technical and Security Review</dc:title>
  <dc:subject>Technical due diligence for NCSSAR Board review</dc:subject>
  <dc:creator>Prepared for NCSSAR Board Technical Review</dc:creator>
  <cp:keywords>RID2Caltopo, r2c-tracker, NCSSAR, security, due diligence</cp:keywords>
  <dc:description>generated by python-docx</dc:description>
  <cp:lastModifiedBy/>
  <cp:revision>1</cp:revision>
  <dcterms:created xsi:type="dcterms:W3CDTF">2013-12-23T23:15:00Z</dcterms:created>
  <dcterms:modified xsi:type="dcterms:W3CDTF">2013-12-23T23:15:00Z</dcterms:modified>
  <cp:category/>
</cp:coreProperties>
</file>