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D82" w:rsidRDefault="00000000">
      <w:pPr>
        <w:pStyle w:val="Heading1"/>
        <w:jc w:val="center"/>
        <w:rPr>
          <w:rFonts w:ascii="Google Sans" w:eastAsia="Google Sans" w:hAnsi="Google Sans" w:cs="Google Sans"/>
        </w:rPr>
      </w:pPr>
      <w:bookmarkStart w:id="0" w:name="_evidx83t54sc" w:colFirst="0" w:colLast="0"/>
      <w:bookmarkEnd w:id="0"/>
      <w:proofErr w:type="spellStart"/>
      <w:r>
        <w:rPr>
          <w:rFonts w:ascii="Google Sans" w:eastAsia="Google Sans" w:hAnsi="Google Sans" w:cs="Google Sans"/>
        </w:rPr>
        <w:t>Botium</w:t>
      </w:r>
      <w:proofErr w:type="spellEnd"/>
      <w:r>
        <w:rPr>
          <w:rFonts w:ascii="Google Sans" w:eastAsia="Google Sans" w:hAnsi="Google Sans" w:cs="Google Sans"/>
        </w:rPr>
        <w:t xml:space="preserve"> Toys: Scope, goals, and risk assessment report</w:t>
      </w:r>
    </w:p>
    <w:p w:rsidR="000B7D82"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rsidR="000B7D82" w:rsidRDefault="00000000">
      <w:pPr>
        <w:pStyle w:val="Heading2"/>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t>Scope and goals of the audit</w:t>
      </w:r>
    </w:p>
    <w:p w:rsidR="000B7D82" w:rsidRDefault="00000000">
      <w:pPr>
        <w:pStyle w:val="Subtitle"/>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 xml:space="preserve">The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all assets need to be assessed alongside internal processes and procedures related to the implementation of controls and compliance best practices.</w:t>
      </w:r>
    </w:p>
    <w:p w:rsidR="000B7D82" w:rsidRDefault="00000000">
      <w:pPr>
        <w:pStyle w:val="Subtitle"/>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to  improve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p>
    <w:p w:rsidR="000B7D82" w:rsidRDefault="00000000">
      <w:pPr>
        <w:pStyle w:val="Heading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rsidR="000B7D82"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rsidR="000B7D82"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rsidR="000B7D82"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rsidR="000B7D82"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Storefront products available for retail sale on site and online; stored in the company’s adjoining warehouse</w:t>
      </w:r>
    </w:p>
    <w:p w:rsidR="000B7D82"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rsidR="000B7D82"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rsidR="000B7D82"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rsidR="000B7D82"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rsidR="000B7D82"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rsidR="000B7D82" w:rsidRDefault="00000000">
      <w:pPr>
        <w:pStyle w:val="Heading2"/>
        <w:rPr>
          <w:rFonts w:ascii="Google Sans" w:eastAsia="Google Sans" w:hAnsi="Google Sans" w:cs="Google Sans"/>
        </w:rPr>
      </w:pPr>
      <w:bookmarkStart w:id="5" w:name="_5i80k6dm51vy" w:colFirst="0" w:colLast="0"/>
      <w:bookmarkEnd w:id="5"/>
      <w:r>
        <w:rPr>
          <w:rFonts w:ascii="Google Sans" w:eastAsia="Google Sans" w:hAnsi="Google Sans" w:cs="Google Sans"/>
        </w:rPr>
        <w:lastRenderedPageBreak/>
        <w:t>Risk assessment</w:t>
      </w:r>
    </w:p>
    <w:p w:rsidR="000B7D82" w:rsidRDefault="00000000">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rsidR="000B7D82" w:rsidRDefault="00000000">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proper controls in place and may not be fully compliant with U.S. and international regulations and standards.</w:t>
      </w:r>
      <w:r>
        <w:rPr>
          <w:rFonts w:ascii="Google Sans" w:eastAsia="Google Sans" w:hAnsi="Google Sans" w:cs="Google Sans"/>
        </w:rPr>
        <w:t xml:space="preserve"> </w:t>
      </w:r>
    </w:p>
    <w:p w:rsidR="000B7D82" w:rsidRDefault="00000000">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t>Control best practices</w:t>
      </w:r>
    </w:p>
    <w:p w:rsidR="000B7D82"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w:t>
      </w:r>
      <w:proofErr w:type="gramStart"/>
      <w:r>
        <w:rPr>
          <w:rFonts w:ascii="Google Sans" w:eastAsia="Google Sans" w:hAnsi="Google Sans" w:cs="Google Sans"/>
          <w:sz w:val="24"/>
          <w:szCs w:val="24"/>
        </w:rPr>
        <w:t>is</w:t>
      </w:r>
      <w:proofErr w:type="gramEnd"/>
      <w:r>
        <w:rPr>
          <w:rFonts w:ascii="Google Sans" w:eastAsia="Google Sans" w:hAnsi="Google Sans" w:cs="Google Sans"/>
          <w:sz w:val="24"/>
          <w:szCs w:val="24"/>
        </w:rPr>
        <w:t xml:space="preserve">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 appropriately manage them. Additionally, they will need to classify existing assets and determine the impact of the loss of existing assets, including systems, on business continuity.</w:t>
      </w:r>
    </w:p>
    <w:p w:rsidR="000B7D82" w:rsidRDefault="00000000">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rsidR="000B7D82" w:rsidRDefault="00000000">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 of controls and adherence to compliance best practices.</w:t>
      </w:r>
    </w:p>
    <w:p w:rsidR="000B7D82" w:rsidRDefault="00000000">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rsidR="000B7D82"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potential impact from the loss of an asset is rated as medium, because the IT department does not know which assets would be at risk. The risk to assets or fines from governing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necessary controls in place and is not fully adhering to best practices related to compliance regulations that keep critical data private/secure. Review the following bullet points for specific details:</w:t>
      </w:r>
    </w:p>
    <w:p w:rsidR="000B7D82" w:rsidRDefault="000B7D82">
      <w:pPr>
        <w:rPr>
          <w:rFonts w:ascii="Google Sans" w:eastAsia="Google Sans" w:hAnsi="Google Sans" w:cs="Google Sans"/>
          <w:sz w:val="24"/>
          <w:szCs w:val="24"/>
          <w:highlight w:val="yellow"/>
        </w:rPr>
      </w:pPr>
    </w:p>
    <w:p w:rsidR="000B7D82"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employees have access to internally stored data and may be able to access cardholder data and customers’ PII/SPII.</w:t>
      </w:r>
    </w:p>
    <w:p w:rsidR="000B7D82"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rsidR="000B7D82"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controls pertaining to least privilege and separation of duties have not been implemented.</w:t>
      </w:r>
    </w:p>
    <w:p w:rsidR="000B7D82"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rsidR="000B7D82"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rsidR="000B7D82"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Antivirus software is installed and monitored regularly by the IT department. </w:t>
      </w:r>
    </w:p>
    <w:p w:rsidR="000B7D82"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rsidR="000B7D82"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rsidR="000B7D82"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rsidR="000B7D82"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rsidR="000B7D82"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rsidR="000B7D82"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While legacy systems are monitored and maintained, there is no regular schedule in place for these tasks and intervention methods are unclear.</w:t>
      </w:r>
    </w:p>
    <w:p w:rsidR="000B7D82"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 sufficient locks, up-to-date closed-circuit television (CCTV) surveillance, as well as functioning fire detection and prevention systems.</w:t>
      </w:r>
    </w:p>
    <w:sectPr w:rsidR="000B7D8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7705" w:rsidRDefault="001B7705">
      <w:pPr>
        <w:spacing w:line="240" w:lineRule="auto"/>
      </w:pPr>
      <w:r>
        <w:separator/>
      </w:r>
    </w:p>
  </w:endnote>
  <w:endnote w:type="continuationSeparator" w:id="0">
    <w:p w:rsidR="001B7705" w:rsidRDefault="001B77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7705" w:rsidRDefault="001B7705">
      <w:pPr>
        <w:spacing w:line="240" w:lineRule="auto"/>
      </w:pPr>
      <w:r>
        <w:separator/>
      </w:r>
    </w:p>
  </w:footnote>
  <w:footnote w:type="continuationSeparator" w:id="0">
    <w:p w:rsidR="001B7705" w:rsidRDefault="001B77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3601F"/>
    <w:multiLevelType w:val="multilevel"/>
    <w:tmpl w:val="B2807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F840A7"/>
    <w:multiLevelType w:val="multilevel"/>
    <w:tmpl w:val="1562A078"/>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8822069">
    <w:abstractNumId w:val="0"/>
  </w:num>
  <w:num w:numId="2" w16cid:durableId="1419406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82"/>
    <w:rsid w:val="000B7D82"/>
    <w:rsid w:val="001A6DB3"/>
    <w:rsid w:val="001B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DDE4A"/>
  <w15:docId w15:val="{B1A7C5E4-EC9F-B34B-A0D0-48668573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A6DB3"/>
    <w:pPr>
      <w:tabs>
        <w:tab w:val="center" w:pos="4680"/>
        <w:tab w:val="right" w:pos="9360"/>
      </w:tabs>
      <w:spacing w:line="240" w:lineRule="auto"/>
    </w:pPr>
  </w:style>
  <w:style w:type="character" w:customStyle="1" w:styleId="HeaderChar">
    <w:name w:val="Header Char"/>
    <w:basedOn w:val="DefaultParagraphFont"/>
    <w:link w:val="Header"/>
    <w:uiPriority w:val="99"/>
    <w:rsid w:val="001A6DB3"/>
  </w:style>
  <w:style w:type="paragraph" w:styleId="Footer">
    <w:name w:val="footer"/>
    <w:basedOn w:val="Normal"/>
    <w:link w:val="FooterChar"/>
    <w:uiPriority w:val="99"/>
    <w:unhideWhenUsed/>
    <w:rsid w:val="001A6DB3"/>
    <w:pPr>
      <w:tabs>
        <w:tab w:val="center" w:pos="4680"/>
        <w:tab w:val="right" w:pos="9360"/>
      </w:tabs>
      <w:spacing w:line="240" w:lineRule="auto"/>
    </w:pPr>
  </w:style>
  <w:style w:type="character" w:customStyle="1" w:styleId="FooterChar">
    <w:name w:val="Footer Char"/>
    <w:basedOn w:val="DefaultParagraphFont"/>
    <w:link w:val="Footer"/>
    <w:uiPriority w:val="99"/>
    <w:rsid w:val="001A6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Kiwo Jumbam</cp:lastModifiedBy>
  <cp:revision>2</cp:revision>
  <dcterms:created xsi:type="dcterms:W3CDTF">2024-05-10T02:05:00Z</dcterms:created>
  <dcterms:modified xsi:type="dcterms:W3CDTF">2024-05-10T02:05:00Z</dcterms:modified>
</cp:coreProperties>
</file>