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60" w:before="0"/>
      </w:pPr>
      <w:r>
        <w:t xml:space="preserve"/>
      </w:r>
    </w:p>
    <w:p>
      <w:pPr>
        <w:spacing w:after="160" w:before="0"/>
      </w:pPr>
      <w:r>
        <w:t xml:space="preserve"/>
      </w:r>
    </w:p>
    <w:p>
      <w:pPr>
        <w:spacing w:after="160" w:before="0"/>
        <w:jc w:val="center"/>
      </w:pPr>
      <w:r>
        <w:rPr>
          <w:rFonts w:ascii="Malgun Gothic" w:cs="Malgun Gothic" w:eastAsia="Malgun Gothic" w:hAnsi="Malgun Gothic"/>
          <w:color w:val="2E75B6"/>
          <w:sz w:val="28"/>
          <w:szCs w:val="28"/>
        </w:rPr>
        <w:t xml:space="preserve">한국품질기술사회</w:t>
      </w:r>
    </w:p>
    <w:p>
      <w:pPr>
        <w:spacing w:after="80" w:before="0"/>
        <w:jc w:val="center"/>
      </w:pPr>
      <w:r>
        <w:rPr>
          <w:rFonts w:ascii="Malgun Gothic" w:cs="Malgun Gothic" w:eastAsia="Malgun Gothic" w:hAnsi="Malgun Gothic"/>
          <w:color w:val="4A4A4A"/>
          <w:sz w:val="24"/>
          <w:szCs w:val="24"/>
        </w:rPr>
        <w:t xml:space="preserve">품질관리 방법론 연구 보고서</w:t>
      </w:r>
    </w:p>
    <w:p>
      <w:pPr>
        <w:pBdr>
          <w:bottom w:val="single" w:color="2E75B6" w:sz="12" w:space="2"/>
        </w:pBdr>
        <w:spacing w:after="280" w:before="0"/>
        <w:jc w:val="center"/>
      </w:pPr>
      <w:r>
        <w:t xml:space="preserve"/>
      </w:r>
    </w:p>
    <w:p>
      <w:pPr>
        <w:spacing w:after="160" w:before="0"/>
      </w:pPr>
      <w:r>
        <w:t xml:space="preserve"/>
      </w:r>
    </w:p>
    <w:p>
      <w:pPr>
        <w:spacing w:after="160" w:before="0"/>
        <w:jc w:val="center"/>
      </w:pPr>
      <w:r>
        <w:rPr>
          <w:rFonts w:ascii="Malgun Gothic" w:cs="Malgun Gothic" w:eastAsia="Malgun Gothic" w:hAnsi="Malgun Gothic"/>
          <w:b/>
          <w:bCs/>
          <w:color w:val="1B4F8A"/>
          <w:sz w:val="56"/>
          <w:szCs w:val="56"/>
        </w:rPr>
        <w:t xml:space="preserve">CFT  vs  MDT</w:t>
      </w:r>
    </w:p>
    <w:p>
      <w:pPr>
        <w:spacing w:after="200" w:before="0"/>
        <w:jc w:val="center"/>
      </w:pPr>
      <w:r>
        <w:rPr>
          <w:rFonts w:ascii="Malgun Gothic" w:cs="Malgun Gothic" w:eastAsia="Malgun Gothic" w:hAnsi="Malgun Gothic"/>
          <w:color w:val="2E75B6"/>
          <w:sz w:val="24"/>
          <w:szCs w:val="24"/>
        </w:rPr>
        <w:t xml:space="preserve">Cross-Functional Team  vs  Multi-Disciplinary Team</w:t>
      </w:r>
    </w:p>
    <w:p>
      <w:pPr>
        <w:spacing w:after="80" w:before="0"/>
        <w:jc w:val="center"/>
      </w:pPr>
      <w:r>
        <w:rPr>
          <w:rFonts w:ascii="Malgun Gothic" w:cs="Malgun Gothic" w:eastAsia="Malgun Gothic" w:hAnsi="Malgun Gothic"/>
          <w:i/>
          <w:iCs/>
          <w:color w:val="4A4A4A"/>
          <w:sz w:val="23"/>
          <w:szCs w:val="23"/>
        </w:rPr>
        <w:t xml:space="preserve">용어 정의 · 유래 · 표준 출처 · 실무 적용 비교 연구</w:t>
      </w:r>
    </w:p>
    <w:p>
      <w:pPr>
        <w:spacing w:after="160" w:before="0"/>
      </w:pPr>
      <w:r>
        <w:t xml:space="preserve"/>
      </w:r>
    </w:p>
    <w:p>
      <w:pPr>
        <w:spacing w:after="16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발  행  기  관</w:t>
            </w:r>
          </w:p>
        </w:tc>
        <w:tc>
          <w:tcPr>
            <w:tcW w:type="dxa" w:w="4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한국품질기술사회</w:t>
            </w:r>
          </w:p>
        </w:tc>
      </w:tr>
      <w:tr>
        <w:tc>
          <w:tcPr>
            <w:tcW w:type="dxa" w:w="2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분          류</w:t>
            </w:r>
          </w:p>
        </w:tc>
        <w:tc>
          <w:tcPr>
            <w:tcW w:type="dxa" w:w="4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QMS 방법론 비교 연구</w:t>
            </w:r>
          </w:p>
        </w:tc>
      </w:tr>
      <w:tr>
        <w:tc>
          <w:tcPr>
            <w:tcW w:type="dxa" w:w="2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작  성  자</w:t>
            </w:r>
          </w:p>
        </w:tc>
        <w:tc>
          <w:tcPr>
            <w:tcW w:type="dxa" w:w="4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김종운 (품질관리기술사)</w:t>
            </w:r>
          </w:p>
        </w:tc>
      </w:tr>
      <w:tr>
        <w:tc>
          <w:tcPr>
            <w:tcW w:type="dxa" w:w="2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소          속</w:t>
            </w:r>
          </w:p>
        </w:tc>
        <w:tc>
          <w:tcPr>
            <w:tcW w:type="dxa" w:w="4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대덕전자 QM그룹</w:t>
            </w:r>
          </w:p>
        </w:tc>
      </w:tr>
      <w:tr>
        <w:tc>
          <w:tcPr>
            <w:tcW w:type="dxa" w:w="2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발  행  일</w:t>
            </w:r>
          </w:p>
        </w:tc>
        <w:tc>
          <w:tcPr>
            <w:tcW w:type="dxa" w:w="4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2026년 5월</w:t>
            </w:r>
          </w:p>
        </w:tc>
      </w:tr>
      <w:tr>
        <w:tc>
          <w:tcPr>
            <w:tcW w:type="dxa" w:w="2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키  워  드</w:t>
            </w:r>
          </w:p>
        </w:tc>
        <w:tc>
          <w:tcPr>
            <w:tcW w:type="dxa" w:w="4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 MDT, AIAG, VDA 6.3, IATF 16949, FMEA</w:t>
            </w:r>
          </w:p>
        </w:tc>
      </w:tr>
    </w:tbl>
    <w:p>
      <w:r>
        <w:r>
          <w:br w:type="page"/>
        </w:r>
      </w:r>
    </w:p>
    <w:p>
      <w:pPr>
        <w:pStyle w:val="Heading1"/>
        <w:spacing w:after="160" w:before="360"/>
      </w:pPr>
      <w:r>
        <w:rPr>
          <w:rFonts w:ascii="Malgun Gothic" w:cs="Malgun Gothic" w:eastAsia="Malgun Gothic" w:hAnsi="Malgun Gothic"/>
          <w:b/>
          <w:bCs/>
          <w:color w:val="1B4F8A"/>
          <w:sz w:val="32"/>
          <w:szCs w:val="32"/>
        </w:rPr>
        <w:t xml:space="preserve">1. 개요 및 연구 목적</w:t>
      </w:r>
    </w:p>
    <w:p>
      <w:pPr>
        <w:pBdr>
          <w:bottom w:val="single" w:color="2E75B6" w:sz="6" w:space="1"/>
        </w:pBdr>
        <w:spacing w:after="100"/>
      </w:pP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1.1 연구 배경</w:t>
      </w:r>
    </w:p>
    <w:p>
      <w:pPr>
        <w:spacing w:after="100" w:before="60"/>
      </w:pPr>
      <w:r>
        <w:rPr>
          <w:rFonts w:ascii="Malgun Gothic" w:cs="Malgun Gothic" w:eastAsia="Malgun Gothic" w:hAnsi="Malgun Gothic"/>
          <w:color w:val="4A4A4A"/>
          <w:sz w:val="22"/>
          <w:szCs w:val="22"/>
        </w:rPr>
        <w:t xml:space="preserve">자동차 및 전자부품 제조 산업에서 품질 활동을 위한 다기능 협업팀 구성과 운영은 IATF 16949, VDA 6.3 등 주요 품질경영시스템 표준에서 공통으로 요구되는 핵심 사항이다. 그러나 동일한 개념을 지칭하는 용어가 표준 계열에 따라 CFT(Cross-Functional Team)와 MDT(Multi-Disciplinary Team)로 혼용되며, 이로 인해 실무자들이 두 용어의 출처·정의·적용 범위에 혼란을 겪는 경우가 빈번하다.</w:t>
      </w:r>
    </w:p>
    <w:p>
      <w:pPr>
        <w:spacing w:after="160" w:before="0"/>
      </w:pPr>
      <w:r>
        <w:t xml:space="preserve"/>
      </w:r>
    </w:p>
    <w:p>
      <w:pPr>
        <w:spacing w:after="100" w:before="60"/>
      </w:pPr>
      <w:r>
        <w:rPr>
          <w:rFonts w:ascii="Malgun Gothic" w:cs="Malgun Gothic" w:eastAsia="Malgun Gothic" w:hAnsi="Malgun Gothic"/>
          <w:color w:val="4A4A4A"/>
          <w:sz w:val="22"/>
          <w:szCs w:val="22"/>
        </w:rPr>
        <w:t xml:space="preserve">본 보고서는 CFT와 MDT 두 용어의 정의, 역사적 유래, 각 품질 표준 내 근거 조항, 실무 적용 방향을 체계적으로 비교·정리하여, 품질 실무자가 표준 체계에 맞는 용어를 정확히 선택하고 활용할 수 있도록 지원하는 것을 목적으로 한다.</w:t>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1.2 보고서 구성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rPr>
          <w:tblHeader/>
        </w:trPr>
        <w:tc>
          <w:tcPr>
            <w:tcW w:type="dxa" w:w="12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섹션</w:t>
            </w:r>
          </w:p>
        </w:tc>
        <w:tc>
          <w:tcPr>
            <w:tcW w:type="dxa" w:w="26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주제</w:t>
            </w:r>
          </w:p>
        </w:tc>
        <w:tc>
          <w:tcPr>
            <w:tcW w:type="dxa" w:w="52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주요 내용</w:t>
            </w:r>
          </w:p>
        </w:tc>
      </w:tr>
      <w:tr>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w:t>
            </w:r>
          </w:p>
        </w:tc>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개요</w:t>
            </w:r>
          </w:p>
        </w:tc>
        <w:tc>
          <w:tcPr>
            <w:tcW w:type="dxa" w:w="5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연구 배경, 목적, 범위</w:t>
            </w:r>
          </w:p>
        </w:tc>
      </w:tr>
      <w:tr>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w:t>
            </w:r>
          </w:p>
        </w:tc>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용어 정의</w:t>
            </w:r>
          </w:p>
        </w:tc>
        <w:tc>
          <w:tcPr>
            <w:tcW w:type="dxa" w:w="5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 / MDT 공식 정의 및 개념</w:t>
            </w:r>
          </w:p>
        </w:tc>
      </w:tr>
      <w:tr>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3</w:t>
            </w:r>
          </w:p>
        </w:tc>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역사적 유래</w:t>
            </w:r>
          </w:p>
        </w:tc>
        <w:tc>
          <w:tcPr>
            <w:tcW w:type="dxa" w:w="5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용어 등장 배경 및 발전 과정</w:t>
            </w:r>
          </w:p>
        </w:tc>
      </w:tr>
      <w:tr>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4</w:t>
            </w:r>
          </w:p>
        </w:tc>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표준 출처</w:t>
            </w:r>
          </w:p>
        </w:tc>
        <w:tc>
          <w:tcPr>
            <w:tcW w:type="dxa" w:w="5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품질 표준별 근거 조항 및 위치</w:t>
            </w:r>
          </w:p>
        </w:tc>
      </w:tr>
      <w:tr>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5</w:t>
            </w:r>
          </w:p>
        </w:tc>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개념 비교</w:t>
            </w:r>
          </w:p>
        </w:tc>
        <w:tc>
          <w:tcPr>
            <w:tcW w:type="dxa" w:w="5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 vs MDT 공통점/차이점 분석</w:t>
            </w:r>
          </w:p>
        </w:tc>
      </w:tr>
      <w:tr>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6</w:t>
            </w:r>
          </w:p>
        </w:tc>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실무 적용</w:t>
            </w:r>
          </w:p>
        </w:tc>
        <w:tc>
          <w:tcPr>
            <w:tcW w:type="dxa" w:w="5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표준 계열별 용어 적용 가이드</w:t>
            </w:r>
          </w:p>
        </w:tc>
      </w:tr>
      <w:tr>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7</w:t>
            </w:r>
          </w:p>
        </w:tc>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체크리스트</w:t>
            </w:r>
          </w:p>
        </w:tc>
        <w:tc>
          <w:tcPr>
            <w:tcW w:type="dxa" w:w="5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실무 적용 10항목 점검표</w:t>
            </w:r>
          </w:p>
        </w:tc>
      </w:tr>
      <w:tr>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8</w:t>
            </w:r>
          </w:p>
        </w:tc>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결론</w:t>
            </w:r>
          </w:p>
        </w:tc>
        <w:tc>
          <w:tcPr>
            <w:tcW w:type="dxa" w:w="5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핵심 정리 및 권고사항</w:t>
            </w:r>
          </w:p>
        </w:tc>
      </w:tr>
    </w:tbl>
    <w:p>
      <w:r>
        <w:r>
          <w:br w:type="page"/>
        </w:r>
      </w:r>
    </w:p>
    <w:p>
      <w:pPr>
        <w:pStyle w:val="Heading1"/>
        <w:spacing w:after="160" w:before="360"/>
      </w:pPr>
      <w:r>
        <w:rPr>
          <w:rFonts w:ascii="Malgun Gothic" w:cs="Malgun Gothic" w:eastAsia="Malgun Gothic" w:hAnsi="Malgun Gothic"/>
          <w:b/>
          <w:bCs/>
          <w:color w:val="1B4F8A"/>
          <w:sz w:val="32"/>
          <w:szCs w:val="32"/>
        </w:rPr>
        <w:t xml:space="preserve">2. 용어 정의 및 개념</w:t>
      </w:r>
    </w:p>
    <w:p>
      <w:pPr>
        <w:pBdr>
          <w:bottom w:val="single" w:color="2E75B6" w:sz="6" w:space="1"/>
        </w:pBdr>
        <w:spacing w:after="100"/>
      </w:pP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2.1 CFT (Cross-Functional Team)</w:t>
      </w:r>
    </w:p>
    <w:p>
      <w:pPr>
        <w:spacing w:after="100" w:before="60"/>
      </w:pPr>
      <w:r>
        <w:rPr>
          <w:rFonts w:ascii="Malgun Gothic" w:cs="Malgun Gothic" w:eastAsia="Malgun Gothic" w:hAnsi="Malgun Gothic"/>
          <w:color w:val="4A4A4A"/>
          <w:sz w:val="22"/>
          <w:szCs w:val="22"/>
        </w:rPr>
        <w:t xml:space="preserve">CFT는 Cross-Functional Team의 약자로, 한국어로 "기능횡단팀" 또는 "다기능팀"으로 번역된다. 조직 내 서로 다른 기능 부서의 전문가들이 공동 목표 달성을 위해 부서 경계를 넘어(Cross) 협업하는 팀 구조를 의미한다.</w:t>
      </w:r>
    </w:p>
    <w:p>
      <w:pPr>
        <w:spacing w:after="160" w:before="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2E75B6" w:sz="6"/>
              <w:left w:val="single" w:color="2E75B6" w:sz="6"/>
              <w:bottom w:val="single" w:color="2E75B6" w:sz="6"/>
              <w:right w:val="single" w:color="2E75B6" w:sz="6"/>
            </w:tcBorders>
            <w:shd w:fill="1B4F8A" w:val="clear"/>
            <w:tcMar>
              <w:top w:type="dxa" w:w="120"/>
              <w:left w:type="dxa" w:w="240"/>
              <w:bottom w:type="dxa" w:w="120"/>
              <w:right w:type="dxa" w:w="240"/>
            </w:tcMar>
          </w:tcPr>
          <w:p>
            <w:pPr>
              <w:jc w:val="center"/>
            </w:pPr>
            <w:r>
              <w:rPr>
                <w:rFonts w:ascii="Courier New" w:cs="Courier New" w:eastAsia="Courier New" w:hAnsi="Courier New"/>
                <w:b/>
                <w:bCs/>
                <w:color w:val="FFFFFF"/>
                <w:sz w:val="22"/>
                <w:szCs w:val="22"/>
              </w:rPr>
              <w:t xml:space="preserve">CFT (Cross-Functional Team)</w:t>
            </w:r>
          </w:p>
        </w:tc>
      </w:tr>
      <w:tr>
        <w:tc>
          <w:tcPr>
            <w:tcBorders>
              <w:top w:val="single" w:color="2E75B6" w:sz="6"/>
              <w:left w:val="single" w:color="2E75B6" w:sz="6"/>
              <w:bottom w:val="single" w:color="2E75B6" w:sz="6"/>
              <w:right w:val="single" w:color="2E75B6" w:sz="6"/>
            </w:tcBorders>
            <w:shd w:fill="1B4F8A" w:val="clear"/>
            <w:tcMar>
              <w:top w:type="dxa" w:w="120"/>
              <w:left w:type="dxa" w:w="240"/>
              <w:bottom w:type="dxa" w:w="120"/>
              <w:right w:type="dxa" w:w="240"/>
            </w:tcMar>
          </w:tcPr>
          <w:p>
            <w:pPr>
              <w:jc w:val="center"/>
            </w:pPr>
            <w:r>
              <w:rPr>
                <w:rFonts w:ascii="Courier New" w:cs="Courier New" w:eastAsia="Courier New" w:hAnsi="Courier New"/>
                <w:b/>
                <w:bCs/>
                <w:color w:val="FFFFFF"/>
                <w:sz w:val="22"/>
                <w:szCs w:val="22"/>
              </w:rPr>
              <w:t xml:space="preserve">= 조직 내 다수 기능 부서(설계/품질/생산/구매/물류 등) 전문가로 구성된 협업팀</w:t>
            </w:r>
          </w:p>
        </w:tc>
      </w:tr>
      <w:tr>
        <w:tc>
          <w:tcPr>
            <w:tcBorders>
              <w:top w:val="single" w:color="2E75B6" w:sz="6"/>
              <w:left w:val="single" w:color="2E75B6" w:sz="6"/>
              <w:bottom w:val="single" w:color="2E75B6" w:sz="6"/>
              <w:right w:val="single" w:color="2E75B6" w:sz="6"/>
            </w:tcBorders>
            <w:shd w:fill="1B4F8A" w:val="clear"/>
            <w:tcMar>
              <w:top w:type="dxa" w:w="120"/>
              <w:left w:type="dxa" w:w="240"/>
              <w:bottom w:type="dxa" w:w="120"/>
              <w:right w:type="dxa" w:w="240"/>
            </w:tcMar>
          </w:tcPr>
          <w:p>
            <w:pPr>
              <w:jc w:val="center"/>
            </w:pPr>
            <w:r>
              <w:rPr>
                <w:rFonts w:ascii="Courier New" w:cs="Courier New" w:eastAsia="Courier New" w:hAnsi="Courier New"/>
                <w:b/>
                <w:bCs/>
                <w:color w:val="FFFFFF"/>
                <w:sz w:val="22"/>
                <w:szCs w:val="22"/>
              </w:rPr>
              <w:t xml:space="preserve">= 부서 경계를 횡단(Cross)하여 구성  -&gt;  조직도 관점의 용어</w:t>
            </w:r>
          </w:p>
        </w:tc>
      </w:tr>
    </w:tbl>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2.2 MDT (Multi-Disciplinary Team)</w:t>
      </w:r>
    </w:p>
    <w:p>
      <w:pPr>
        <w:spacing w:after="100" w:before="60"/>
      </w:pPr>
      <w:r>
        <w:rPr>
          <w:rFonts w:ascii="Malgun Gothic" w:cs="Malgun Gothic" w:eastAsia="Malgun Gothic" w:hAnsi="Malgun Gothic"/>
          <w:color w:val="4A4A4A"/>
          <w:sz w:val="22"/>
          <w:szCs w:val="22"/>
        </w:rPr>
        <w:t xml:space="preserve">MDT는 Multi-Disciplinary Team의 약자로, 한국어로 "다학제팀" 또는 "다분야팀"으로 번역된다. 여러 전문 분야(Discipline)의 지식과 역량을 보유한 전문가들이 모여 구성된 팀 구조를 의미하며, VDA(독일 자동차공업협회) 표준 계열의 공식 용어이다.</w:t>
      </w:r>
    </w:p>
    <w:p>
      <w:pPr>
        <w:spacing w:after="160" w:before="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2E75B6" w:sz="6"/>
              <w:left w:val="single" w:color="2E75B6" w:sz="6"/>
              <w:bottom w:val="single" w:color="2E75B6" w:sz="6"/>
              <w:right w:val="single" w:color="2E75B6" w:sz="6"/>
            </w:tcBorders>
            <w:shd w:fill="1B4F8A" w:val="clear"/>
            <w:tcMar>
              <w:top w:type="dxa" w:w="120"/>
              <w:left w:type="dxa" w:w="240"/>
              <w:bottom w:type="dxa" w:w="120"/>
              <w:right w:type="dxa" w:w="240"/>
            </w:tcMar>
          </w:tcPr>
          <w:p>
            <w:pPr>
              <w:jc w:val="center"/>
            </w:pPr>
            <w:r>
              <w:rPr>
                <w:rFonts w:ascii="Courier New" w:cs="Courier New" w:eastAsia="Courier New" w:hAnsi="Courier New"/>
                <w:b/>
                <w:bCs/>
                <w:color w:val="FFFFFF"/>
                <w:sz w:val="22"/>
                <w:szCs w:val="22"/>
              </w:rPr>
              <w:t xml:space="preserve">MDT (Multi-Disciplinary Team)</w:t>
            </w:r>
          </w:p>
        </w:tc>
      </w:tr>
      <w:tr>
        <w:tc>
          <w:tcPr>
            <w:tcBorders>
              <w:top w:val="single" w:color="2E75B6" w:sz="6"/>
              <w:left w:val="single" w:color="2E75B6" w:sz="6"/>
              <w:bottom w:val="single" w:color="2E75B6" w:sz="6"/>
              <w:right w:val="single" w:color="2E75B6" w:sz="6"/>
            </w:tcBorders>
            <w:shd w:fill="1B4F8A" w:val="clear"/>
            <w:tcMar>
              <w:top w:type="dxa" w:w="120"/>
              <w:left w:type="dxa" w:w="240"/>
              <w:bottom w:type="dxa" w:w="120"/>
              <w:right w:type="dxa" w:w="240"/>
            </w:tcMar>
          </w:tcPr>
          <w:p>
            <w:pPr>
              <w:jc w:val="center"/>
            </w:pPr>
            <w:r>
              <w:rPr>
                <w:rFonts w:ascii="Courier New" w:cs="Courier New" w:eastAsia="Courier New" w:hAnsi="Courier New"/>
                <w:b/>
                <w:bCs/>
                <w:color w:val="FFFFFF"/>
                <w:sz w:val="22"/>
                <w:szCs w:val="22"/>
              </w:rPr>
              <w:t xml:space="preserve">= 다수의 전문 분야(Discipline) 역량을 보유한 전문가들로 구성된 협업팀</w:t>
            </w:r>
          </w:p>
        </w:tc>
      </w:tr>
      <w:tr>
        <w:tc>
          <w:tcPr>
            <w:tcBorders>
              <w:top w:val="single" w:color="2E75B6" w:sz="6"/>
              <w:left w:val="single" w:color="2E75B6" w:sz="6"/>
              <w:bottom w:val="single" w:color="2E75B6" w:sz="6"/>
              <w:right w:val="single" w:color="2E75B6" w:sz="6"/>
            </w:tcBorders>
            <w:shd w:fill="1B4F8A" w:val="clear"/>
            <w:tcMar>
              <w:top w:type="dxa" w:w="120"/>
              <w:left w:type="dxa" w:w="240"/>
              <w:bottom w:type="dxa" w:w="120"/>
              <w:right w:type="dxa" w:w="240"/>
            </w:tcMar>
          </w:tcPr>
          <w:p>
            <w:pPr>
              <w:jc w:val="center"/>
            </w:pPr>
            <w:r>
              <w:rPr>
                <w:rFonts w:ascii="Courier New" w:cs="Courier New" w:eastAsia="Courier New" w:hAnsi="Courier New"/>
                <w:b/>
                <w:bCs/>
                <w:color w:val="FFFFFF"/>
                <w:sz w:val="22"/>
                <w:szCs w:val="22"/>
              </w:rPr>
              <w:t xml:space="preserve">= 전문성의 다양성(Multi)을 강조  -&gt;  역량/지식 관점의 용어</w:t>
            </w:r>
          </w:p>
        </w:tc>
      </w:tr>
    </w:tbl>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2.3 기본 속성 비교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비교 항목</w:t>
            </w:r>
          </w:p>
        </w:tc>
        <w:tc>
          <w:tcPr>
            <w:tcW w:type="dxa" w:w="34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CFT</w:t>
            </w:r>
          </w:p>
        </w:tc>
        <w:tc>
          <w:tcPr>
            <w:tcW w:type="dxa" w:w="34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MDT</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한국어 명칭</w:t>
            </w:r>
          </w:p>
        </w:tc>
        <w:tc>
          <w:tcPr>
            <w:tcW w:type="dxa" w:w="3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기능횡단팀 / 다기능팀</w:t>
            </w:r>
          </w:p>
        </w:tc>
        <w:tc>
          <w:tcPr>
            <w:tcW w:type="dxa" w:w="3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다학제팀 / 다분야팀</w:t>
            </w:r>
          </w:p>
        </w:tc>
      </w:tr>
      <w:tr>
        <w:tc>
          <w:tcPr>
            <w:tcW w:type="dxa" w:w="2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영문 풀이</w:t>
            </w:r>
          </w:p>
        </w:tc>
        <w:tc>
          <w:tcPr>
            <w:tcW w:type="dxa" w:w="3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Cross-Functional Team</w:t>
            </w:r>
          </w:p>
        </w:tc>
        <w:tc>
          <w:tcPr>
            <w:tcW w:type="dxa" w:w="3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Multi-Disciplinary Team</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핵심 개념</w:t>
            </w:r>
          </w:p>
        </w:tc>
        <w:tc>
          <w:tcPr>
            <w:tcW w:type="dxa" w:w="3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부서 경계를 넘는 협업</w:t>
            </w:r>
          </w:p>
        </w:tc>
        <w:tc>
          <w:tcPr>
            <w:tcW w:type="dxa" w:w="3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다양한 전문성의 결합</w:t>
            </w:r>
          </w:p>
        </w:tc>
      </w:tr>
      <w:tr>
        <w:tc>
          <w:tcPr>
            <w:tcW w:type="dxa" w:w="2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강조 관점</w:t>
            </w:r>
          </w:p>
        </w:tc>
        <w:tc>
          <w:tcPr>
            <w:tcW w:type="dxa" w:w="3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조직 구조 (부서)</w:t>
            </w:r>
          </w:p>
        </w:tc>
        <w:tc>
          <w:tcPr>
            <w:tcW w:type="dxa" w:w="3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전문성/역량 (분야)</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표준 계열</w:t>
            </w:r>
          </w:p>
        </w:tc>
        <w:tc>
          <w:tcPr>
            <w:tcW w:type="dxa" w:w="3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 / IATF</w:t>
            </w:r>
          </w:p>
        </w:tc>
        <w:tc>
          <w:tcPr>
            <w:tcW w:type="dxa" w:w="3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(독일)</w:t>
            </w:r>
          </w:p>
        </w:tc>
      </w:tr>
      <w:tr>
        <w:tc>
          <w:tcPr>
            <w:tcW w:type="dxa" w:w="2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실질 의미</w:t>
            </w:r>
          </w:p>
        </w:tc>
        <w:tc>
          <w:tcPr>
            <w:tcW w:type="dxa" w:w="3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다기능 전문가 협업팀</w:t>
            </w:r>
          </w:p>
        </w:tc>
        <w:tc>
          <w:tcPr>
            <w:tcW w:type="dxa" w:w="3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다기능 전문가 협업팀</w:t>
            </w:r>
          </w:p>
        </w:tc>
      </w:tr>
    </w:tbl>
    <w:p>
      <w:pPr>
        <w:spacing w:after="160" w:before="0"/>
      </w:pPr>
      <w:r>
        <w:t xml:space="preserve"/>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2-1] CFT vs MDT 특성 비교 레이더 차트</w:t>
      </w:r>
    </w:p>
    <w:p>
      <w:r>
        <w:r>
          <w:br w:type="page"/>
        </w:r>
      </w:r>
    </w:p>
    <w:p>
      <w:pPr>
        <w:pStyle w:val="Heading1"/>
        <w:spacing w:after="160" w:before="360"/>
      </w:pPr>
      <w:r>
        <w:rPr>
          <w:rFonts w:ascii="Malgun Gothic" w:cs="Malgun Gothic" w:eastAsia="Malgun Gothic" w:hAnsi="Malgun Gothic"/>
          <w:b/>
          <w:bCs/>
          <w:color w:val="1B4F8A"/>
          <w:sz w:val="32"/>
          <w:szCs w:val="32"/>
        </w:rPr>
        <w:t xml:space="preserve">3. 역사적 유래 및 발전 과정</w:t>
      </w:r>
    </w:p>
    <w:p>
      <w:pPr>
        <w:pBdr>
          <w:bottom w:val="single" w:color="2E75B6" w:sz="6" w:space="1"/>
        </w:pBdr>
        <w:spacing w:after="100"/>
      </w:pP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3.1 CFT의 기원 — 미국 자동차 산업</w:t>
      </w:r>
    </w:p>
    <w:p>
      <w:pPr>
        <w:spacing w:after="100" w:before="60"/>
      </w:pPr>
      <w:r>
        <w:rPr>
          <w:rFonts w:ascii="Malgun Gothic" w:cs="Malgun Gothic" w:eastAsia="Malgun Gothic" w:hAnsi="Malgun Gothic"/>
          <w:color w:val="4A4A4A"/>
          <w:sz w:val="22"/>
          <w:szCs w:val="22"/>
        </w:rPr>
        <w:t xml:space="preserve">CFT 개념은 1980년대 미국 자동차 산업의 품질 혁신 운동 과정에서 체계화되었다. 포드(Ford), GM, 크라이슬러(Chrysler) 등이 제품 개발 리드타임 단축과 품질 향상을 위해 설계·생산·구매·품질·영업 부서가 동시에 참여하는 동시공학(Concurrent Engineering) 체계를 도입하면서, CFT가 핵심 조직 운영 방식으로 정립되었다. 이후 AIAG가 APQP, FMEA, PPAP 등의 참조 매뉴얼에 CFT를 공식 용어로 채택하면서 자동차 품질 표준의 핵심 용어로 자리잡았다.</w:t>
      </w:r>
    </w:p>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연도</w:t>
            </w:r>
          </w:p>
        </w:tc>
        <w:tc>
          <w:tcPr>
            <w:tcW w:type="dxa" w:w="76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CFT 관련 주요 사항</w:t>
            </w:r>
          </w:p>
        </w:tc>
      </w:tr>
      <w:tr>
        <w:tc>
          <w:tcPr>
            <w:tcW w:type="dxa" w:w="1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1980년대</w:t>
            </w:r>
          </w:p>
        </w:tc>
        <w:tc>
          <w:tcPr>
            <w:tcW w:type="dxa" w:w="7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GM, Ford 등 미국 자동차사 CFT 기반 동시공학 도입</w:t>
            </w:r>
          </w:p>
        </w:tc>
      </w:tr>
      <w:tr>
        <w:tc>
          <w:tcPr>
            <w:tcW w:type="dxa" w:w="1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1994년</w:t>
            </w:r>
          </w:p>
        </w:tc>
        <w:tc>
          <w:tcPr>
            <w:tcW w:type="dxa" w:w="7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 APQP 매뉴얼 발행 — CFT 공식 채택</w:t>
            </w:r>
          </w:p>
        </w:tc>
      </w:tr>
      <w:tr>
        <w:tc>
          <w:tcPr>
            <w:tcW w:type="dxa" w:w="1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1999년</w:t>
            </w:r>
          </w:p>
        </w:tc>
        <w:tc>
          <w:tcPr>
            <w:tcW w:type="dxa" w:w="7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QS-9000 표준에 CFT 운영 요건 포함</w:t>
            </w:r>
          </w:p>
        </w:tc>
      </w:tr>
      <w:tr>
        <w:tc>
          <w:tcPr>
            <w:tcW w:type="dxa" w:w="1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2008년</w:t>
            </w:r>
          </w:p>
        </w:tc>
        <w:tc>
          <w:tcPr>
            <w:tcW w:type="dxa" w:w="7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IATF 16949:2009 발행 — CFT 구성 요건 체계화</w:t>
            </w:r>
          </w:p>
        </w:tc>
      </w:tr>
      <w:tr>
        <w:tc>
          <w:tcPr>
            <w:tcW w:type="dxa" w:w="1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2016년</w:t>
            </w:r>
          </w:p>
        </w:tc>
        <w:tc>
          <w:tcPr>
            <w:tcW w:type="dxa" w:w="7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IATF 16949:2016 발행 — Clause 4.4.1.2에 CFT 명시</w:t>
            </w:r>
          </w:p>
        </w:tc>
      </w:tr>
      <w:tr>
        <w:tc>
          <w:tcPr>
            <w:tcW w:type="dxa" w:w="1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2019년</w:t>
            </w:r>
          </w:p>
        </w:tc>
        <w:tc>
          <w:tcPr>
            <w:tcW w:type="dxa" w:w="7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AIAG-VDA FMEA 1st Edition — CFT 접근법(Team Approach) 공식화</w:t>
            </w:r>
          </w:p>
        </w:tc>
      </w:tr>
    </w:tbl>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3.2 MDT의 기원 — 의료 분야에서 자동차 산업으로</w:t>
      </w:r>
    </w:p>
    <w:p>
      <w:pPr>
        <w:spacing w:after="100" w:before="60"/>
      </w:pPr>
      <w:r>
        <w:rPr>
          <w:rFonts w:ascii="Malgun Gothic" w:cs="Malgun Gothic" w:eastAsia="Malgun Gothic" w:hAnsi="Malgun Gothic"/>
          <w:color w:val="4A4A4A"/>
          <w:sz w:val="22"/>
          <w:szCs w:val="22"/>
        </w:rPr>
        <w:t xml:space="preserve">MDT는 원래 1970~80년대 의료 분야에서 의사, 간호사, 약사, 사회복지사 등 다양한 의료 전문가들이 협진하는 체계를 지칭하는 용어로 사용되었다. 이후 독일 자동차공업협회(VDA)가 공정심사 표준인 VDA 6.3을 제정하면서 제조업의 품질관리 방법론에 MDT 개념을 도입하여 공식화하였다.</w:t>
      </w:r>
    </w:p>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연도</w:t>
            </w:r>
          </w:p>
        </w:tc>
        <w:tc>
          <w:tcPr>
            <w:tcW w:type="dxa" w:w="76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MDT 관련 주요 사항</w:t>
            </w:r>
          </w:p>
        </w:tc>
      </w:tr>
      <w:tr>
        <w:tc>
          <w:tcPr>
            <w:tcW w:type="dxa" w:w="1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1970~80년대</w:t>
            </w:r>
          </w:p>
        </w:tc>
        <w:tc>
          <w:tcPr>
            <w:tcW w:type="dxa" w:w="7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의료·헬스케어 분야에서 MDT 개념 정립 (다학제 협진 체계)</w:t>
            </w:r>
          </w:p>
        </w:tc>
      </w:tr>
      <w:tr>
        <w:tc>
          <w:tcPr>
            <w:tcW w:type="dxa" w:w="1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1998년</w:t>
            </w:r>
          </w:p>
        </w:tc>
        <w:tc>
          <w:tcPr>
            <w:tcW w:type="dxa" w:w="7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 초판 발행 — 제조업 공정심사에 MDT 개념 도입</w:t>
            </w:r>
          </w:p>
        </w:tc>
      </w:tr>
      <w:tr>
        <w:tc>
          <w:tcPr>
            <w:tcW w:type="dxa" w:w="1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2010년</w:t>
            </w:r>
          </w:p>
        </w:tc>
        <w:tc>
          <w:tcPr>
            <w:tcW w:type="dxa" w:w="7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 개정 — MDT 구성 요건 강화</w:t>
            </w:r>
          </w:p>
        </w:tc>
      </w:tr>
      <w:tr>
        <w:tc>
          <w:tcPr>
            <w:tcW w:type="dxa" w:w="1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2016년</w:t>
            </w:r>
          </w:p>
        </w:tc>
        <w:tc>
          <w:tcPr>
            <w:tcW w:type="dxa" w:w="7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 2nd Edition — Terms &amp; Definitions에 MDT 공식 정의 수록</w:t>
            </w:r>
          </w:p>
        </w:tc>
      </w:tr>
      <w:tr>
        <w:tc>
          <w:tcPr>
            <w:tcW w:type="dxa" w:w="1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2023년</w:t>
            </w:r>
          </w:p>
        </w:tc>
        <w:tc>
          <w:tcPr>
            <w:tcW w:type="dxa" w:w="7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 3rd Edition — MDT 요건 최신화, P6 심사 연계 강화</w:t>
            </w:r>
          </w:p>
        </w:tc>
      </w:tr>
    </w:tbl>
    <w:p>
      <w:pPr>
        <w:spacing w:after="160" w:before="0"/>
      </w:pPr>
      <w:r>
        <w:t xml:space="preserve"/>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3-1] CFT / MDT 용어 유래 타임라인</w:t>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3.3 두 용어가 달라진 이유</w:t>
      </w:r>
    </w:p>
    <w:p>
      <w:pPr>
        <w:spacing w:after="100" w:before="60"/>
      </w:pPr>
      <w:r>
        <w:rPr>
          <w:rFonts w:ascii="Malgun Gothic" w:cs="Malgun Gothic" w:eastAsia="Malgun Gothic" w:hAnsi="Malgun Gothic"/>
          <w:color w:val="4A4A4A"/>
          <w:sz w:val="22"/>
          <w:szCs w:val="22"/>
        </w:rPr>
        <w:t xml:space="preserve">CFT와 MDT는 미국(AIAG)과 독일(VDA)이 각각 자국의 자동차 산업 표준을 독자적으로 구축하는 과정에서 동일한 개념에 서로 다른 영어 명칭을 부여한 것이다. 2019년 AIAG와 VDA가 협력하여 FMEA 핸드북을 공동 발행하면서 두 표준 계열이 통합되는 계기가 마련되었으나, 각 표준 체계 내에서 사용하는 용어는 여전히 CFT(AIAG/IATF)와 MDT(VDA)로 구분되어 사용되고 있다.</w:t>
      </w:r>
    </w:p>
    <w:p>
      <w:r>
        <w:r>
          <w:br w:type="page"/>
        </w:r>
      </w:r>
    </w:p>
    <w:p>
      <w:pPr>
        <w:pStyle w:val="Heading1"/>
        <w:spacing w:after="160" w:before="360"/>
      </w:pPr>
      <w:r>
        <w:rPr>
          <w:rFonts w:ascii="Malgun Gothic" w:cs="Malgun Gothic" w:eastAsia="Malgun Gothic" w:hAnsi="Malgun Gothic"/>
          <w:b/>
          <w:bCs/>
          <w:color w:val="1B4F8A"/>
          <w:sz w:val="32"/>
          <w:szCs w:val="32"/>
        </w:rPr>
        <w:t xml:space="preserve">4. 품질 표준별 용어 출처 및 근거 조항</w:t>
      </w:r>
    </w:p>
    <w:p>
      <w:pPr>
        <w:pBdr>
          <w:bottom w:val="single" w:color="2E75B6" w:sz="6" w:space="1"/>
        </w:pBdr>
        <w:spacing w:after="100"/>
      </w:pP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4.1 CFT 정의 출처 — AIAG/IATF 계열</w:t>
      </w:r>
    </w:p>
    <w:p>
      <w:pPr>
        <w:spacing w:after="100" w:before="180"/>
      </w:pPr>
      <w:r>
        <w:rPr>
          <w:rFonts w:ascii="Malgun Gothic" w:cs="Malgun Gothic" w:eastAsia="Malgun Gothic" w:hAnsi="Malgun Gothic"/>
          <w:b/>
          <w:bCs/>
          <w:color w:val="2E75B6"/>
          <w:sz w:val="23"/>
          <w:szCs w:val="23"/>
        </w:rPr>
        <w:t xml:space="preserve">4.1.1 AIAG APQP (2nd Edition)</w:t>
      </w:r>
    </w:p>
    <w:p>
      <w:pPr>
        <w:spacing w:after="100" w:before="60"/>
      </w:pPr>
      <w:r>
        <w:rPr>
          <w:rFonts w:ascii="Malgun Gothic" w:cs="Malgun Gothic" w:eastAsia="Malgun Gothic" w:hAnsi="Malgun Gothic"/>
          <w:color w:val="4A4A4A"/>
          <w:sz w:val="22"/>
          <w:szCs w:val="22"/>
        </w:rPr>
        <w:t xml:space="preserve">AIAG에서 발행한 APQP 매뉴얼 2nd Edition은 제품 품질 사전 계획의 전 과정에 걸쳐 CFT 구성과 운영을 핵심 요건으로 규정한다. Chapter 1 및 Glossary 섹션에서 CFT의 정의와 구성 원칙이 명시되어 있으며, APQP의 모든 단계(계획/개념/설계/공정/양산)에서 CFT가 기본 전제로 설정되어 있다.</w:t>
      </w:r>
    </w:p>
    <w:p>
      <w:pPr>
        <w:spacing w:after="160" w:before="0"/>
      </w:pPr>
      <w:r>
        <w:t xml:space="preserve"/>
      </w:r>
    </w:p>
    <w:p>
      <w:pPr>
        <w:spacing w:after="100" w:before="180"/>
      </w:pPr>
      <w:r>
        <w:rPr>
          <w:rFonts w:ascii="Malgun Gothic" w:cs="Malgun Gothic" w:eastAsia="Malgun Gothic" w:hAnsi="Malgun Gothic"/>
          <w:b/>
          <w:bCs/>
          <w:color w:val="2E75B6"/>
          <w:sz w:val="23"/>
          <w:szCs w:val="23"/>
        </w:rPr>
        <w:t xml:space="preserve">4.1.2 AIAG-VDA FMEA Handbook (1st Edition, 2019)</w:t>
      </w:r>
    </w:p>
    <w:p>
      <w:pPr>
        <w:spacing w:after="100" w:before="60"/>
      </w:pPr>
      <w:r>
        <w:rPr>
          <w:rFonts w:ascii="Malgun Gothic" w:cs="Malgun Gothic" w:eastAsia="Malgun Gothic" w:hAnsi="Malgun Gothic"/>
          <w:color w:val="4A4A4A"/>
          <w:sz w:val="22"/>
          <w:szCs w:val="22"/>
        </w:rPr>
        <w:t xml:space="preserve">2019년 AIAG와 VDA가 공동 발행한 FMEA 핸드북 1st Edition은 FMEA 수행을 위한 팀 접근법(Team Approach)을 Step 1(기획 및 준비)의 핵심 요소로 다루고 있다. CFT는 FMEA 수행의 전제 조건이며, 팀 리더(Team Leader) 선임과 팀 구성원의 역할 정의가 요구된다.</w:t>
      </w:r>
    </w:p>
    <w:p>
      <w:pPr>
        <w:spacing w:after="160" w:before="0"/>
      </w:pPr>
      <w:r>
        <w:t xml:space="preserve"/>
      </w:r>
    </w:p>
    <w:p>
      <w:pPr>
        <w:spacing w:after="100" w:before="180"/>
      </w:pPr>
      <w:r>
        <w:rPr>
          <w:rFonts w:ascii="Malgun Gothic" w:cs="Malgun Gothic" w:eastAsia="Malgun Gothic" w:hAnsi="Malgun Gothic"/>
          <w:b/>
          <w:bCs/>
          <w:color w:val="2E75B6"/>
          <w:sz w:val="23"/>
          <w:szCs w:val="23"/>
        </w:rPr>
        <w:t xml:space="preserve">4.1.3 IATF 16949:2016 — Clause 4.4.1.2</w:t>
      </w:r>
    </w:p>
    <w:p>
      <w:pPr>
        <w:spacing w:after="100" w:before="60"/>
      </w:pPr>
      <w:r>
        <w:rPr>
          <w:rFonts w:ascii="Malgun Gothic" w:cs="Malgun Gothic" w:eastAsia="Malgun Gothic" w:hAnsi="Malgun Gothic"/>
          <w:color w:val="4A4A4A"/>
          <w:sz w:val="22"/>
          <w:szCs w:val="22"/>
        </w:rPr>
        <w:t xml:space="preserve">IATF 16949:2016 Clause 4.4.1.2는 제품 실현과 관련된 기능 부서들이 포함된 CFT(다기능팀)를 구성하여 제품 및 제조공정 개발에 활용하도록 명시적으로 요구한다. 이는 시스템 인증의 필수 요건이다.</w:t>
      </w:r>
    </w:p>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rPr>
          <w:tblHeader/>
        </w:trPr>
        <w:tc>
          <w:tcPr>
            <w:tcW w:type="dxa" w:w="26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표준/문서</w:t>
            </w:r>
          </w:p>
        </w:tc>
        <w:tc>
          <w:tcPr>
            <w:tcW w:type="dxa" w:w="20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해당 위치</w:t>
            </w:r>
          </w:p>
        </w:tc>
        <w:tc>
          <w:tcPr>
            <w:tcW w:type="dxa" w:w="44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주요 내용</w:t>
            </w:r>
          </w:p>
        </w:tc>
      </w:tr>
      <w:tr>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AIAG APQP (2nd Ed.)</w:t>
            </w:r>
          </w:p>
        </w:tc>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Chapter 1, Glossary</w:t>
            </w:r>
          </w:p>
        </w:tc>
        <w:tc>
          <w:tcPr>
            <w:tcW w:type="dxa" w:w="4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 구성 원칙, 역할 정의</w:t>
            </w:r>
          </w:p>
        </w:tc>
      </w:tr>
      <w:tr>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AIAG-VDA FMEA (2019)</w:t>
            </w:r>
          </w:p>
        </w:tc>
        <w:tc>
          <w:tcPr>
            <w:tcW w:type="dxa" w:w="20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Step 1 / Section 1.3</w:t>
            </w:r>
          </w:p>
        </w:tc>
        <w:tc>
          <w:tcPr>
            <w:tcW w:type="dxa" w:w="4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FMEA CFT 구성 요건</w:t>
            </w:r>
          </w:p>
        </w:tc>
      </w:tr>
      <w:tr>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IATF 16949:2016</w:t>
            </w:r>
          </w:p>
        </w:tc>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Clause 4.4.1.2</w:t>
            </w:r>
          </w:p>
        </w:tc>
        <w:tc>
          <w:tcPr>
            <w:tcW w:type="dxa" w:w="4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제품 실현 시 CFT 운영 요건</w:t>
            </w:r>
          </w:p>
        </w:tc>
      </w:tr>
      <w:tr>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AIAG PPAP (4th Ed.)</w:t>
            </w:r>
          </w:p>
        </w:tc>
        <w:tc>
          <w:tcPr>
            <w:tcW w:type="dxa" w:w="20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Glossary</w:t>
            </w:r>
          </w:p>
        </w:tc>
        <w:tc>
          <w:tcPr>
            <w:tcW w:type="dxa" w:w="4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 용어 공식 정의</w:t>
            </w:r>
          </w:p>
        </w:tc>
      </w:tr>
      <w:tr>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AIAG MSA (4th Ed.)</w:t>
            </w:r>
          </w:p>
        </w:tc>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Chapter 1</w:t>
            </w:r>
          </w:p>
        </w:tc>
        <w:tc>
          <w:tcPr>
            <w:tcW w:type="dxa" w:w="4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측정시스템 분석 시 CFT 활용</w:t>
            </w:r>
          </w:p>
        </w:tc>
      </w:tr>
    </w:tbl>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4.2 MDT 정의 출처 — VDA 계열</w:t>
      </w:r>
    </w:p>
    <w:p>
      <w:pPr>
        <w:spacing w:after="100" w:before="180"/>
      </w:pPr>
      <w:r>
        <w:rPr>
          <w:rFonts w:ascii="Malgun Gothic" w:cs="Malgun Gothic" w:eastAsia="Malgun Gothic" w:hAnsi="Malgun Gothic"/>
          <w:b/>
          <w:bCs/>
          <w:color w:val="2E75B6"/>
          <w:sz w:val="23"/>
          <w:szCs w:val="23"/>
        </w:rPr>
        <w:t xml:space="preserve">4.2.1 VDA 6.3:2016 (2nd Edition)</w:t>
      </w:r>
    </w:p>
    <w:p>
      <w:pPr>
        <w:spacing w:after="100" w:before="60"/>
      </w:pPr>
      <w:r>
        <w:rPr>
          <w:rFonts w:ascii="Malgun Gothic" w:cs="Malgun Gothic" w:eastAsia="Malgun Gothic" w:hAnsi="Malgun Gothic"/>
          <w:color w:val="4A4A4A"/>
          <w:sz w:val="22"/>
          <w:szCs w:val="22"/>
        </w:rPr>
        <w:t xml:space="preserve">VDA 6.3:2016은 공정심사 표준으로, Section 3 "Begriffe (Terms and Definitions)"에 MDT 공식 정의가 수록되어 있다. P2(프로젝트 관리), P3(제품개발), P4(공정개발), P6(납품 및 고객서비스) 심사 항목에서 MDT 구성 및 운영 여부를 직접 평가한다.</w:t>
      </w:r>
    </w:p>
    <w:p>
      <w:pPr>
        <w:spacing w:after="160" w:before="0"/>
      </w:pPr>
      <w:r>
        <w:t xml:space="preserve"/>
      </w:r>
    </w:p>
    <w:p>
      <w:pPr>
        <w:spacing w:after="100" w:before="180"/>
      </w:pPr>
      <w:r>
        <w:rPr>
          <w:rFonts w:ascii="Malgun Gothic" w:cs="Malgun Gothic" w:eastAsia="Malgun Gothic" w:hAnsi="Malgun Gothic"/>
          <w:b/>
          <w:bCs/>
          <w:color w:val="2E75B6"/>
          <w:sz w:val="23"/>
          <w:szCs w:val="23"/>
        </w:rPr>
        <w:t xml:space="preserve">4.2.2 VDA 6.3:2023 (3rd Edition)</w:t>
      </w:r>
    </w:p>
    <w:p>
      <w:pPr>
        <w:spacing w:after="100" w:before="60"/>
      </w:pPr>
      <w:r>
        <w:rPr>
          <w:rFonts w:ascii="Malgun Gothic" w:cs="Malgun Gothic" w:eastAsia="Malgun Gothic" w:hAnsi="Malgun Gothic"/>
          <w:color w:val="4A4A4A"/>
          <w:sz w:val="22"/>
          <w:szCs w:val="22"/>
        </w:rPr>
        <w:t xml:space="preserve">2023년 최신 개정된 VDA 6.3:2023은 Chapter 3 "Terms and Definitions"에서 MDT를 공식 정의하고 있으며, P6 심사 기준에서 MDT 조직도의 공식 수립과 운영 기록 유지를 명시적으로 요구한다.</w:t>
      </w:r>
    </w:p>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표준/문서</w:t>
            </w:r>
          </w:p>
        </w:tc>
        <w:tc>
          <w:tcPr>
            <w:tcW w:type="dxa" w:w="24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해당 위치</w:t>
            </w:r>
          </w:p>
        </w:tc>
        <w:tc>
          <w:tcPr>
            <w:tcW w:type="dxa" w:w="40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주요 내용</w:t>
            </w:r>
          </w:p>
        </w:tc>
      </w:tr>
      <w:tr>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VDA 6.3:2016 (2nd Ed.)</w:t>
            </w:r>
          </w:p>
        </w:tc>
        <w:tc>
          <w:tcPr>
            <w:tcW w:type="dxa" w:w="2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Section 3 (Begriffe)</w:t>
            </w:r>
          </w:p>
        </w:tc>
        <w:tc>
          <w:tcPr>
            <w:tcW w:type="dxa" w:w="4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MDT 공식 정의 수록</w:t>
            </w:r>
          </w:p>
        </w:tc>
      </w:tr>
      <w:tr>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VDA 6.3:2016</w:t>
            </w:r>
          </w:p>
        </w:tc>
        <w:tc>
          <w:tcPr>
            <w:tcW w:type="dxa" w:w="2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P2, P3, P4, P6 심사 기준</w:t>
            </w:r>
          </w:p>
        </w:tc>
        <w:tc>
          <w:tcPr>
            <w:tcW w:type="dxa" w:w="40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MDT 구성 및 운영 여부 심사</w:t>
            </w:r>
          </w:p>
        </w:tc>
      </w:tr>
      <w:tr>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VDA 6.3:2023 (3rd Ed.)</w:t>
            </w:r>
          </w:p>
        </w:tc>
        <w:tc>
          <w:tcPr>
            <w:tcW w:type="dxa" w:w="2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Chapter 3 (Terms &amp; Definitions)</w:t>
            </w:r>
          </w:p>
        </w:tc>
        <w:tc>
          <w:tcPr>
            <w:tcW w:type="dxa" w:w="4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MDT 최신 정의, P6 요건 강화</w:t>
            </w:r>
          </w:p>
        </w:tc>
      </w:tr>
      <w:tr>
        <w:tc>
          <w:tcPr>
            <w:tcW w:type="dxa" w:w="2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VDA 6.3:2023</w:t>
            </w:r>
          </w:p>
        </w:tc>
        <w:tc>
          <w:tcPr>
            <w:tcW w:type="dxa" w:w="24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P6 심사 항목</w:t>
            </w:r>
          </w:p>
        </w:tc>
        <w:tc>
          <w:tcPr>
            <w:tcW w:type="dxa" w:w="40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MDT 조직도 수립, 운영 기록 요구</w:t>
            </w:r>
          </w:p>
        </w:tc>
      </w:tr>
      <w:tr>
        <w:tc>
          <w:tcPr>
            <w:tcW w:type="dxa" w:w="2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VDA 6.5</w:t>
            </w:r>
          </w:p>
        </w:tc>
        <w:tc>
          <w:tcPr>
            <w:tcW w:type="dxa" w:w="24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Glossary</w:t>
            </w:r>
          </w:p>
        </w:tc>
        <w:tc>
          <w:tcPr>
            <w:tcW w:type="dxa" w:w="4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MDT 관련 용어 정의</w:t>
            </w:r>
          </w:p>
        </w:tc>
      </w:tr>
    </w:tbl>
    <w:p>
      <w:pPr>
        <w:spacing w:after="160" w:before="0"/>
      </w:pPr>
      <w:r>
        <w:t xml:space="preserve"/>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4-1] 품질 표준 체계별 CFT / MDT 용어 출처</w:t>
      </w:r>
    </w:p>
    <w:p>
      <w:pPr>
        <w:spacing w:after="160" w:before="0"/>
      </w:pPr>
      <w:r>
        <w:t xml:space="preserve"/>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4-2] 품질 표준별 CFT/MDT 요건 강도 히트맵</w:t>
      </w:r>
    </w:p>
    <w:p>
      <w:r>
        <w:r>
          <w:br w:type="page"/>
        </w:r>
      </w:r>
    </w:p>
    <w:p>
      <w:pPr>
        <w:pStyle w:val="Heading1"/>
        <w:spacing w:after="160" w:before="360"/>
      </w:pPr>
      <w:r>
        <w:rPr>
          <w:rFonts w:ascii="Malgun Gothic" w:cs="Malgun Gothic" w:eastAsia="Malgun Gothic" w:hAnsi="Malgun Gothic"/>
          <w:b/>
          <w:bCs/>
          <w:color w:val="1B4F8A"/>
          <w:sz w:val="32"/>
          <w:szCs w:val="32"/>
        </w:rPr>
        <w:t xml:space="preserve">5. CFT vs MDT 개념 심층 비교</w:t>
      </w:r>
    </w:p>
    <w:p>
      <w:pPr>
        <w:pBdr>
          <w:bottom w:val="single" w:color="2E75B6" w:sz="6" w:space="1"/>
        </w:pBdr>
        <w:spacing w:after="100"/>
      </w:pP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5.1 실질적 동일성</w:t>
      </w:r>
    </w:p>
    <w:p>
      <w:pPr>
        <w:spacing w:after="100" w:before="60"/>
      </w:pPr>
      <w:r>
        <w:rPr>
          <w:rFonts w:ascii="Malgun Gothic" w:cs="Malgun Gothic" w:eastAsia="Malgun Gothic" w:hAnsi="Malgun Gothic"/>
          <w:color w:val="4A4A4A"/>
          <w:sz w:val="22"/>
          <w:szCs w:val="22"/>
        </w:rPr>
        <w:t xml:space="preserve">결론적으로 CFT와 MDT는 실질적으로 동일한 개념이다. 두 용어 모두 "제품 또는 공정의 품질 목표 달성을 위해 설계·품질·생산·구매·물류 등 관련 분야 전문가들이 부서 경계를 넘어 함께 협력하는 팀"을 의미한다. 다양한 전문성을 가진 구성원들이 공동으로 팀을 이뤄 활동한다는 핵심 개념은 완전히 동일하다.</w:t>
      </w:r>
    </w:p>
    <w:p>
      <w:pPr>
        <w:spacing w:after="160" w:before="0"/>
      </w:pPr>
      <w:r>
        <w:t xml:space="preserve"/>
      </w:r>
    </w:p>
    <w:p>
      <w:pPr>
        <w:spacing w:after="6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6225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5-1] CFT와 MDT의 개념적 관계 (벤 다이어그램)</w:t>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5.2 뉘앙스 차이</w:t>
      </w:r>
    </w:p>
    <w:p>
      <w:pPr>
        <w:spacing w:after="100" w:before="60"/>
      </w:pPr>
      <w:r>
        <w:rPr>
          <w:rFonts w:ascii="Malgun Gothic" w:cs="Malgun Gothic" w:eastAsia="Malgun Gothic" w:hAnsi="Malgun Gothic"/>
          <w:color w:val="4A4A4A"/>
          <w:sz w:val="22"/>
          <w:szCs w:val="22"/>
        </w:rPr>
        <w:t xml:space="preserve">CFT는 조직도 관점에서 "기능 부서 간의 경계를 넘는다(Cross)"는 측면을 강조하는 반면, MDT는 역량 관점에서 "다양한 전문 분야(Discipline)가 결합된다(Multi)"는 측면을 강조한다. 그러나 현실에서 부서와 전문 분야는 동일하므로, 두 표현은 같은 실체를 다른 각도에서 기술한 것이다.</w:t>
      </w:r>
    </w:p>
    <w:p>
      <w:pPr>
        <w:spacing w:after="160" w:before="0"/>
      </w:pPr>
      <w:r>
        <w:t xml:space="preserve"/>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5-2] CFT / MDT 팀 구성 부서별 참여 비중 비교</w:t>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5.3 종합 비교표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rPr>
          <w:tblHeader/>
        </w:trPr>
        <w:tc>
          <w:tcPr>
            <w:tcW w:type="dxa" w:w="25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비교 항목</w:t>
            </w:r>
          </w:p>
        </w:tc>
        <w:tc>
          <w:tcPr>
            <w:tcW w:type="dxa" w:w="325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CFT (Cross-Functional Team)</w:t>
            </w:r>
          </w:p>
        </w:tc>
        <w:tc>
          <w:tcPr>
            <w:tcW w:type="dxa" w:w="325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MDT (Multi-Disciplinary Team)</w:t>
            </w:r>
          </w:p>
        </w:tc>
      </w:tr>
      <w:tr>
        <w:tc>
          <w:tcPr>
            <w:tcW w:type="dxa" w:w="25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실질 개념</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다기능 전문가 협업팀</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다기능 전문가 협업팀</w:t>
            </w:r>
          </w:p>
        </w:tc>
      </w:tr>
      <w:tr>
        <w:tc>
          <w:tcPr>
            <w:tcW w:type="dxa" w:w="25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표준 계열</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 IATF 16949</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 VDA 6.5</w:t>
            </w:r>
          </w:p>
        </w:tc>
      </w:tr>
      <w:tr>
        <w:tc>
          <w:tcPr>
            <w:tcW w:type="dxa" w:w="25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용어 강조점</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부서 경계 횡단(Cross)</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전문성 다양성(Multi)</w:t>
            </w:r>
          </w:p>
        </w:tc>
      </w:tr>
      <w:tr>
        <w:tc>
          <w:tcPr>
            <w:tcW w:type="dxa" w:w="25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구성 기준</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조직 내 기능 부서</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전문 지식/역량 분야</w:t>
            </w:r>
          </w:p>
        </w:tc>
      </w:tr>
      <w:tr>
        <w:tc>
          <w:tcPr>
            <w:tcW w:type="dxa" w:w="25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주요 활용</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APQP, FMEA, PPAP, 내부심사</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공정심사, 공급자 개발, P6 심사</w:t>
            </w:r>
          </w:p>
        </w:tc>
      </w:tr>
      <w:tr>
        <w:tc>
          <w:tcPr>
            <w:tcW w:type="dxa" w:w="25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고객 유형</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미국계, 한국 완성차 고객</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독일계(BMW, Benz, VW) 고객</w:t>
            </w:r>
          </w:p>
        </w:tc>
      </w:tr>
      <w:tr>
        <w:tc>
          <w:tcPr>
            <w:tcW w:type="dxa" w:w="25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기원</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1980년대 미국 자동차 산업</w:t>
            </w:r>
          </w:p>
        </w:tc>
        <w:tc>
          <w:tcPr>
            <w:tcW w:type="dxa" w:w="325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1990년대 VDA 공정심사 표준</w:t>
            </w:r>
          </w:p>
        </w:tc>
      </w:tr>
      <w:tr>
        <w:tc>
          <w:tcPr>
            <w:tcW w:type="dxa" w:w="25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개념 동일성</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동일</w:t>
            </w:r>
          </w:p>
        </w:tc>
        <w:tc>
          <w:tcPr>
            <w:tcW w:type="dxa" w:w="325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동일</w:t>
            </w:r>
          </w:p>
        </w:tc>
      </w:tr>
    </w:tbl>
    <w:p>
      <w:r>
        <w:r>
          <w:br w:type="page"/>
        </w:r>
      </w:r>
    </w:p>
    <w:p>
      <w:pPr>
        <w:pStyle w:val="Heading1"/>
        <w:spacing w:after="160" w:before="360"/>
      </w:pPr>
      <w:r>
        <w:rPr>
          <w:rFonts w:ascii="Malgun Gothic" w:cs="Malgun Gothic" w:eastAsia="Malgun Gothic" w:hAnsi="Malgun Gothic"/>
          <w:b/>
          <w:bCs/>
          <w:color w:val="1B4F8A"/>
          <w:sz w:val="32"/>
          <w:szCs w:val="32"/>
        </w:rPr>
        <w:t xml:space="preserve">6. 실무 적용</w:t>
      </w:r>
    </w:p>
    <w:p>
      <w:pPr>
        <w:pBdr>
          <w:bottom w:val="single" w:color="2E75B6" w:sz="6" w:space="1"/>
        </w:pBdr>
        <w:spacing w:after="100"/>
      </w:pP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6.1 AIAG-VDA FMEA에서의 CFT 적용</w:t>
      </w:r>
    </w:p>
    <w:p>
      <w:pPr>
        <w:spacing w:after="100" w:before="60"/>
      </w:pPr>
      <w:r>
        <w:rPr>
          <w:rFonts w:ascii="Malgun Gothic" w:cs="Malgun Gothic" w:eastAsia="Malgun Gothic" w:hAnsi="Malgun Gothic"/>
          <w:color w:val="4A4A4A"/>
          <w:sz w:val="22"/>
          <w:szCs w:val="22"/>
        </w:rPr>
        <w:t xml:space="preserve">AIAG-VDA FMEA 핸드북은 FMEA를 7단계로 구분하며, 모든 단계에 걸쳐 CFT의 참여와 협력을 핵심 요건으로 규정하고 있다. Step 1(기획 및 준비) 단계에서 CFT 구성과 팀 리더 선임이 이루어지며, 이후 모든 분석 단계에서 CFT가 공동 수행 주체가 된다.</w:t>
      </w:r>
    </w:p>
    <w:p>
      <w:pPr>
        <w:spacing w:after="160" w:before="0"/>
      </w:pPr>
      <w:r>
        <w:t xml:space="preserve"/>
      </w:r>
    </w:p>
    <w:p>
      <w:pPr>
        <w:spacing w:after="60" w:before="12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6-1] AIAG-VDA FMEA 7-Step에서의 CFT 역할</w:t>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6.2 VDA 6.3 심사에서의 MDT 적용</w:t>
      </w:r>
    </w:p>
    <w:p>
      <w:pPr>
        <w:spacing w:after="100" w:before="60"/>
      </w:pPr>
      <w:r>
        <w:rPr>
          <w:rFonts w:ascii="Malgun Gothic" w:cs="Malgun Gothic" w:eastAsia="Malgun Gothic" w:hAnsi="Malgun Gothic"/>
          <w:color w:val="4A4A4A"/>
          <w:sz w:val="22"/>
          <w:szCs w:val="22"/>
        </w:rPr>
        <w:t xml:space="preserve">VDA 6.3 공정심사에서는 P2부터 P7까지 심사 항목 전반에 걸쳐 MDT 구성과 운영의 타당성을 평가한다. 특히 P2와 P6에서 MDT 요건이 가장 강하게 적용되며, MDT 조직도의 공식 수립과 운영 기록 유지가 심사 증거 자료로 요구된다.</w:t>
      </w:r>
    </w:p>
    <w:p>
      <w:pPr>
        <w:spacing w:after="160" w:before="0"/>
      </w:pPr>
      <w:r>
        <w:t xml:space="preserve"/>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6-2] VDA 6.3 심사 항목별 MDT 요건 강도</w:t>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6.3 대덕전자 적용 시나리오</w:t>
      </w:r>
    </w:p>
    <w:p>
      <w:pPr>
        <w:spacing w:after="100" w:before="60"/>
      </w:pPr>
      <w:r>
        <w:rPr>
          <w:rFonts w:ascii="Malgun Gothic" w:cs="Malgun Gothic" w:eastAsia="Malgun Gothic" w:hAnsi="Malgun Gothic"/>
          <w:color w:val="4A4A4A"/>
          <w:sz w:val="22"/>
          <w:szCs w:val="22"/>
        </w:rPr>
        <w:t xml:space="preserve">대덕전자 QM그룹에서는 적용 표준 계열에 따라 CFT와 MDT 용어를 구분하여 사용하는 것을 권고한다. IATF 16949 내부심사·AIAG-VDA FMEA 운영·APQP/PPAP 프로세스에서는 CFT 용어를, VDA 6.3 고객 심사 대응 시에는 MDT 용어와 관련 문서 체계를 적용한다.</w:t>
      </w:r>
    </w:p>
    <w:p>
      <w:pPr>
        <w:spacing w:after="160" w:before="0"/>
      </w:pPr>
      <w:r>
        <w:t xml:space="preserve"/>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6-3] 대덕전자 업무별 CFT / MDT 용어 적용 시나리오</w:t>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6.4 용어 선택 의사결정 가이드</w:t>
      </w:r>
    </w:p>
    <w:p>
      <w:pPr>
        <w:spacing w:after="60"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286125"/>
                    </a:xfrm>
                    <a:prstGeom prst="rect">
                      <a:avLst/>
                    </a:prstGeom>
                  </pic:spPr>
                </pic:pic>
              </a:graphicData>
            </a:graphic>
          </wp:inline>
        </w:drawing>
      </w:r>
    </w:p>
    <w:p>
      <w:pPr>
        <w:spacing w:after="180" w:before="40"/>
        <w:jc w:val="center"/>
      </w:pPr>
      <w:r>
        <w:rPr>
          <w:rFonts w:ascii="Malgun Gothic" w:cs="Malgun Gothic" w:eastAsia="Malgun Gothic" w:hAnsi="Malgun Gothic"/>
          <w:i/>
          <w:iCs/>
          <w:color w:val="2E75B6"/>
          <w:sz w:val="18"/>
          <w:szCs w:val="18"/>
        </w:rPr>
        <w:t xml:space="preserve">[그림 6-4] CFT / MDT 용어 선택 의사결정 플로우</w:t>
      </w:r>
    </w:p>
    <w:p>
      <w:r>
        <w:r>
          <w:br w:type="page"/>
        </w:r>
      </w:r>
    </w:p>
    <w:p>
      <w:pPr>
        <w:pStyle w:val="Heading1"/>
        <w:spacing w:after="160" w:before="360"/>
      </w:pPr>
      <w:r>
        <w:rPr>
          <w:rFonts w:ascii="Malgun Gothic" w:cs="Malgun Gothic" w:eastAsia="Malgun Gothic" w:hAnsi="Malgun Gothic"/>
          <w:b/>
          <w:bCs/>
          <w:color w:val="1B4F8A"/>
          <w:sz w:val="32"/>
          <w:szCs w:val="32"/>
        </w:rPr>
        <w:t xml:space="preserve">7. 실무 적용 체크리스트</w:t>
      </w:r>
    </w:p>
    <w:p>
      <w:pPr>
        <w:pBdr>
          <w:bottom w:val="single" w:color="2E75B6" w:sz="6" w:space="1"/>
        </w:pBdr>
        <w:spacing w:after="100"/>
      </w:pPr>
    </w:p>
    <w:p>
      <w:pPr>
        <w:spacing w:after="160" w:before="0"/>
      </w:pPr>
      <w:r>
        <w:t xml:space="preserve"/>
      </w:r>
    </w:p>
    <w:p>
      <w:pPr>
        <w:spacing w:after="100" w:before="60"/>
      </w:pPr>
      <w:r>
        <w:rPr>
          <w:rFonts w:ascii="Malgun Gothic" w:cs="Malgun Gothic" w:eastAsia="Malgun Gothic" w:hAnsi="Malgun Gothic"/>
          <w:color w:val="4A4A4A"/>
          <w:sz w:val="22"/>
          <w:szCs w:val="22"/>
        </w:rPr>
        <w:t xml:space="preserve">다음 체크리스트를 통해 CFT/MDT 구성 및 운영의 적절성을 점검한다.</w:t>
      </w:r>
    </w:p>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1600"/>
        <w:gridCol w:w="4860"/>
        <w:gridCol w:w="1200"/>
        <w:gridCol w:w="800"/>
      </w:tblGrid>
      <w:tr>
        <w:trPr>
          <w:tblHeader/>
        </w:trPr>
        <w:tc>
          <w:tcPr>
            <w:tcW w:type="dxa" w:w="54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No.</w:t>
            </w:r>
          </w:p>
        </w:tc>
        <w:tc>
          <w:tcPr>
            <w:tcW w:type="dxa" w:w="16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적용 표준</w:t>
            </w:r>
          </w:p>
        </w:tc>
        <w:tc>
          <w:tcPr>
            <w:tcW w:type="dxa" w:w="486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체크 항목</w:t>
            </w:r>
          </w:p>
        </w:tc>
        <w:tc>
          <w:tcPr>
            <w:tcW w:type="dxa" w:w="12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담당</w:t>
            </w:r>
          </w:p>
        </w:tc>
        <w:tc>
          <w:tcPr>
            <w:tcW w:type="dxa" w:w="80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결과</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w:t>
            </w:r>
          </w:p>
        </w:tc>
        <w:tc>
          <w:tcPr>
            <w:tcW w:type="dxa" w:w="1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IATF 16949</w:t>
            </w:r>
          </w:p>
        </w:tc>
        <w:tc>
          <w:tcPr>
            <w:tcW w:type="dxa" w:w="48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Clause 4.4.1.2에 따른 CFT 구성 기록이 있는가?</w:t>
            </w:r>
          </w:p>
        </w:tc>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QM그룹</w:t>
            </w:r>
          </w:p>
        </w:tc>
        <w:tc>
          <w:tcPr>
            <w:tcW w:type="dxa" w:w="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w:t>
            </w:r>
          </w:p>
        </w:tc>
        <w:tc>
          <w:tcPr>
            <w:tcW w:type="dxa" w:w="1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 APQP</w:t>
            </w:r>
          </w:p>
        </w:tc>
        <w:tc>
          <w:tcPr>
            <w:tcW w:type="dxa" w:w="48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APQP 각 단계별 CFT 검토 기록이 존재하는가?</w:t>
            </w:r>
          </w:p>
        </w:tc>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품질팀</w:t>
            </w:r>
          </w:p>
        </w:tc>
        <w:tc>
          <w:tcPr>
            <w:tcW w:type="dxa" w:w="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3</w:t>
            </w:r>
          </w:p>
        </w:tc>
        <w:tc>
          <w:tcPr>
            <w:tcW w:type="dxa" w:w="1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FMEA</w:t>
            </w:r>
          </w:p>
        </w:tc>
        <w:tc>
          <w:tcPr>
            <w:tcW w:type="dxa" w:w="48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FMEA 표지에 CFT 구성원(이름/부서/역할)이 명시되어 있는가?</w:t>
            </w:r>
          </w:p>
        </w:tc>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품질팀</w:t>
            </w:r>
          </w:p>
        </w:tc>
        <w:tc>
          <w:tcPr>
            <w:tcW w:type="dxa" w:w="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4</w:t>
            </w:r>
          </w:p>
        </w:tc>
        <w:tc>
          <w:tcPr>
            <w:tcW w:type="dxa" w:w="1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FMEA</w:t>
            </w:r>
          </w:p>
        </w:tc>
        <w:tc>
          <w:tcPr>
            <w:tcW w:type="dxa" w:w="48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 팀 리더(Team Leader)가 공식 선임되어 있는가?</w:t>
            </w:r>
          </w:p>
        </w:tc>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QM그룹</w:t>
            </w:r>
          </w:p>
        </w:tc>
        <w:tc>
          <w:tcPr>
            <w:tcW w:type="dxa" w:w="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5</w:t>
            </w:r>
          </w:p>
        </w:tc>
        <w:tc>
          <w:tcPr>
            <w:tcW w:type="dxa" w:w="1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w:t>
            </w:r>
          </w:p>
        </w:tc>
        <w:tc>
          <w:tcPr>
            <w:tcW w:type="dxa" w:w="48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MDT 조직도가 공식 문서로 수립되어 있는가?</w:t>
            </w:r>
          </w:p>
        </w:tc>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QM그룹</w:t>
            </w:r>
          </w:p>
        </w:tc>
        <w:tc>
          <w:tcPr>
            <w:tcW w:type="dxa" w:w="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6</w:t>
            </w:r>
          </w:p>
        </w:tc>
        <w:tc>
          <w:tcPr>
            <w:tcW w:type="dxa" w:w="1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 P2</w:t>
            </w:r>
          </w:p>
        </w:tc>
        <w:tc>
          <w:tcPr>
            <w:tcW w:type="dxa" w:w="48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P2 심사 대비 MDT 구성의 타당성 근거가 준비되어 있는가?</w:t>
            </w:r>
          </w:p>
        </w:tc>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품질팀</w:t>
            </w:r>
          </w:p>
        </w:tc>
        <w:tc>
          <w:tcPr>
            <w:tcW w:type="dxa" w:w="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7</w:t>
            </w:r>
          </w:p>
        </w:tc>
        <w:tc>
          <w:tcPr>
            <w:tcW w:type="dxa" w:w="1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6.3 P6</w:t>
            </w:r>
          </w:p>
        </w:tc>
        <w:tc>
          <w:tcPr>
            <w:tcW w:type="dxa" w:w="48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P6 심사 대비 MDT 운영 기록(회의록 등)이 유지되는가?</w:t>
            </w:r>
          </w:p>
        </w:tc>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품질팀</w:t>
            </w:r>
          </w:p>
        </w:tc>
        <w:tc>
          <w:tcPr>
            <w:tcW w:type="dxa" w:w="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8</w:t>
            </w:r>
          </w:p>
        </w:tc>
        <w:tc>
          <w:tcPr>
            <w:tcW w:type="dxa" w:w="1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공통</w:t>
            </w:r>
          </w:p>
        </w:tc>
        <w:tc>
          <w:tcPr>
            <w:tcW w:type="dxa" w:w="48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CFT/MDT 구성원에 설계·품질·생산·구매 등 핵심 기능이 포함되는가?</w:t>
            </w:r>
          </w:p>
        </w:tc>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QM그룹</w:t>
            </w:r>
          </w:p>
        </w:tc>
        <w:tc>
          <w:tcPr>
            <w:tcW w:type="dxa" w:w="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9</w:t>
            </w:r>
          </w:p>
        </w:tc>
        <w:tc>
          <w:tcPr>
            <w:tcW w:type="dxa" w:w="1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공통</w:t>
            </w:r>
          </w:p>
        </w:tc>
        <w:tc>
          <w:tcPr>
            <w:tcW w:type="dxa" w:w="48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고객 감사 시 CFT(IATF) vs MDT(VDA) 용어를 적절히 구분하는가?</w:t>
            </w:r>
          </w:p>
        </w:tc>
        <w:tc>
          <w:tcPr>
            <w:tcW w:type="dxa" w:w="1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QM그룹</w:t>
            </w:r>
          </w:p>
        </w:tc>
        <w:tc>
          <w:tcPr>
            <w:tcW w:type="dxa" w:w="8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10</w:t>
            </w:r>
          </w:p>
        </w:tc>
        <w:tc>
          <w:tcPr>
            <w:tcW w:type="dxa" w:w="16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공통</w:t>
            </w:r>
          </w:p>
        </w:tc>
        <w:tc>
          <w:tcPr>
            <w:tcW w:type="dxa" w:w="48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CFT/MDT 구성원 대상 관련 교육 이력이 유지되고 있는가?</w:t>
            </w:r>
          </w:p>
        </w:tc>
        <w:tc>
          <w:tcPr>
            <w:tcW w:type="dxa" w:w="12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교육담당</w:t>
            </w:r>
          </w:p>
        </w:tc>
        <w:tc>
          <w:tcPr>
            <w:tcW w:type="dxa" w:w="80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
            </w:r>
          </w:p>
        </w:tc>
      </w:tr>
    </w:tbl>
    <w:p>
      <w:r>
        <w:r>
          <w:br w:type="page"/>
        </w:r>
      </w:r>
    </w:p>
    <w:p>
      <w:pPr>
        <w:pStyle w:val="Heading1"/>
        <w:spacing w:after="160" w:before="360"/>
      </w:pPr>
      <w:r>
        <w:rPr>
          <w:rFonts w:ascii="Malgun Gothic" w:cs="Malgun Gothic" w:eastAsia="Malgun Gothic" w:hAnsi="Malgun Gothic"/>
          <w:b/>
          <w:bCs/>
          <w:color w:val="1B4F8A"/>
          <w:sz w:val="32"/>
          <w:szCs w:val="32"/>
        </w:rPr>
        <w:t xml:space="preserve">8. 결론 및 권고사항</w:t>
      </w:r>
    </w:p>
    <w:p>
      <w:pPr>
        <w:pBdr>
          <w:bottom w:val="single" w:color="2E75B6" w:sz="6" w:space="1"/>
        </w:pBdr>
        <w:spacing w:after="100"/>
      </w:pP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8.1 핵심 결론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8460"/>
      </w:tblGrid>
      <w:tr>
        <w:trPr>
          <w:tblHeader/>
        </w:trPr>
        <w:tc>
          <w:tcPr>
            <w:tcW w:type="dxa" w:w="54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No.</w:t>
            </w:r>
          </w:p>
        </w:tc>
        <w:tc>
          <w:tcPr>
            <w:tcW w:type="dxa" w:w="846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핵심 결론</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w:t>
            </w:r>
          </w:p>
        </w:tc>
        <w:tc>
          <w:tcPr>
            <w:tcW w:type="dxa" w:w="84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CFT와 MDT는 실질적으로 동일한 개념이다 — 두 용어 모두 "다기능 전문가 협업팀"을 의미한다.</w:t>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w:t>
            </w:r>
          </w:p>
        </w:tc>
        <w:tc>
          <w:tcPr>
            <w:tcW w:type="dxa" w:w="84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용어 차이는 개념의 차이가 아닌 표준 계열의 차이에서 비롯된다. AIAG/IATF 계열은 CFT, VDA 계열은 MDT를 공식 용어로 사용한다.</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3</w:t>
            </w:r>
          </w:p>
        </w:tc>
        <w:tc>
          <w:tcPr>
            <w:tcW w:type="dxa" w:w="84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CFT는 AIAG APQP, AIAG-VDA FMEA 핸드북, IATF 16949:2016 Clause 4.4.1.2에서 공식 정의를 확인할 수 있다.</w:t>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4</w:t>
            </w:r>
          </w:p>
        </w:tc>
        <w:tc>
          <w:tcPr>
            <w:tcW w:type="dxa" w:w="84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MDT는 VDA 6.3:2016 Section 3 및 VDA 6.3:2023 Chapter 3 (Terms and Definitions)에서 공식 정의를 확인할 수 있다.</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5</w:t>
            </w:r>
          </w:p>
        </w:tc>
        <w:tc>
          <w:tcPr>
            <w:tcW w:type="dxa" w:w="84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실무에서는 고객사 및 적용 표준 계열에 따라 적절한 용어를 선택하여 일관성 있게 사용하는 것이 바람직하다.</w:t>
            </w:r>
          </w:p>
        </w:tc>
      </w:tr>
    </w:tbl>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8.2 권고사항</w:t>
      </w:r>
    </w:p>
    <w:p>
      <w:pPr>
        <w:spacing w:after="100" w:before="60"/>
      </w:pPr>
      <w:r>
        <w:rPr>
          <w:rFonts w:ascii="Malgun Gothic" w:cs="Malgun Gothic" w:eastAsia="Malgun Gothic" w:hAnsi="Malgun Gothic"/>
          <w:color w:val="4A4A4A"/>
          <w:sz w:val="22"/>
          <w:szCs w:val="22"/>
        </w:rPr>
        <w:t xml:space="preserve">(1) IATF 16949 인증 심사 및 AIAG-VDA FMEA 운영 시에는 CFT 용어를 사용하고, CFT 구성 기록과 팀 리더 선임 근거를 문서화하여 유지한다.</w:t>
      </w:r>
    </w:p>
    <w:p>
      <w:pPr>
        <w:spacing w:after="160" w:before="0"/>
      </w:pPr>
      <w:r>
        <w:t xml:space="preserve"/>
      </w:r>
    </w:p>
    <w:p>
      <w:pPr>
        <w:spacing w:after="100" w:before="60"/>
      </w:pPr>
      <w:r>
        <w:rPr>
          <w:rFonts w:ascii="Malgun Gothic" w:cs="Malgun Gothic" w:eastAsia="Malgun Gothic" w:hAnsi="Malgun Gothic"/>
          <w:color w:val="4A4A4A"/>
          <w:sz w:val="22"/>
          <w:szCs w:val="22"/>
        </w:rPr>
        <w:t xml:space="preserve">(2) VDA 6.3 고객 공정심사(P2, P6 등) 대응 시에는 MDT 용어를 사용하고, MDT 조직도와 운영 기록을 심사 증거 자료로 준비한다.</w:t>
      </w:r>
    </w:p>
    <w:p>
      <w:pPr>
        <w:spacing w:after="160" w:before="0"/>
      </w:pPr>
      <w:r>
        <w:t xml:space="preserve"/>
      </w:r>
    </w:p>
    <w:p>
      <w:pPr>
        <w:spacing w:after="100" w:before="60"/>
      </w:pPr>
      <w:r>
        <w:rPr>
          <w:rFonts w:ascii="Malgun Gothic" w:cs="Malgun Gothic" w:eastAsia="Malgun Gothic" w:hAnsi="Malgun Gothic"/>
          <w:color w:val="4A4A4A"/>
          <w:sz w:val="22"/>
          <w:szCs w:val="22"/>
        </w:rPr>
        <w:t xml:space="preserve">(3) 두 용어를 모두 사용하는 환경에서는 내부 절차서에 "CFT(=MDT)"와 같이 동의어임을 명시하여 실무자 혼란을 방지한다.</w:t>
      </w:r>
    </w:p>
    <w:p>
      <w:pPr>
        <w:spacing w:after="160" w:before="0"/>
      </w:pPr>
      <w:r>
        <w:t xml:space="preserve"/>
      </w:r>
    </w:p>
    <w:p>
      <w:pPr>
        <w:spacing w:after="160" w:before="0"/>
      </w:pPr>
      <w:r>
        <w:t xml:space="preserve"/>
      </w:r>
    </w:p>
    <w:p>
      <w:pPr>
        <w:pStyle w:val="Heading2"/>
        <w:spacing w:after="120" w:before="240"/>
      </w:pPr>
      <w:r>
        <w:rPr>
          <w:rFonts w:ascii="Malgun Gothic" w:cs="Malgun Gothic" w:eastAsia="Malgun Gothic" w:hAnsi="Malgun Gothic"/>
          <w:b/>
          <w:bCs/>
          <w:color w:val="1B4F8A"/>
          <w:sz w:val="26"/>
          <w:szCs w:val="26"/>
        </w:rPr>
        <w:t xml:space="preserve">8.3 참고문헌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8460"/>
      </w:tblGrid>
      <w:tr>
        <w:trPr>
          <w:tblHeader/>
        </w:trPr>
        <w:tc>
          <w:tcPr>
            <w:tcW w:type="dxa" w:w="54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No.</w:t>
            </w:r>
          </w:p>
        </w:tc>
        <w:tc>
          <w:tcPr>
            <w:tcW w:type="dxa" w:w="8460"/>
            <w:tcBorders>
              <w:top w:val="single" w:color="2E75B6" w:sz="6"/>
              <w:left w:val="single" w:color="2E75B6" w:sz="6"/>
              <w:bottom w:val="single" w:color="2E75B6" w:sz="6"/>
              <w:right w:val="single" w:color="2E75B6" w:sz="6"/>
            </w:tcBorders>
            <w:shd w:fill="1B4F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참고문헌</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[1]</w:t>
            </w:r>
          </w:p>
        </w:tc>
        <w:tc>
          <w:tcPr>
            <w:tcW w:type="dxa" w:w="84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 "Advanced Product Quality Planning (APQP) and Control Plan Reference Manual," 2nd Edition, 2008.</w:t>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[2]</w:t>
            </w:r>
          </w:p>
        </w:tc>
        <w:tc>
          <w:tcPr>
            <w:tcW w:type="dxa" w:w="84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 &amp; VDA, "Failure Mode and Effects Analysis (FMEA) Handbook," 1st Edition, 2019.</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[3]</w:t>
            </w:r>
          </w:p>
        </w:tc>
        <w:tc>
          <w:tcPr>
            <w:tcW w:type="dxa" w:w="84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IATF, "IATF 16949:2016 Quality Management System Requirements for Automotive Production and Relevant Service Parts Organizations," 2016.</w:t>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[4]</w:t>
            </w:r>
          </w:p>
        </w:tc>
        <w:tc>
          <w:tcPr>
            <w:tcW w:type="dxa" w:w="84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"VDA 6.3 Process Audit," 2nd Edition, 2016.</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[5]</w:t>
            </w:r>
          </w:p>
        </w:tc>
        <w:tc>
          <w:tcPr>
            <w:tcW w:type="dxa" w:w="84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"VDA 6.3 Process Audit," 3rd Edition, 2023.</w:t>
            </w:r>
          </w:p>
        </w:tc>
      </w:tr>
      <w:tr>
        <w:tc>
          <w:tcPr>
            <w:tcW w:type="dxa" w:w="54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[6]</w:t>
            </w:r>
          </w:p>
        </w:tc>
        <w:tc>
          <w:tcPr>
            <w:tcW w:type="dxa" w:w="8460"/>
            <w:tcBorders>
              <w:top w:val="single" w:color="2E75B6" w:sz="6"/>
              <w:left w:val="single" w:color="2E75B6" w:sz="6"/>
              <w:bottom w:val="single" w:color="2E75B6" w:sz="6"/>
              <w:right w:val="single" w:color="2E75B6" w:sz="6"/>
            </w:tcBorders>
            <w:shd w:fill="F0F6FB"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AIAG, "Production Part Approval Process (PPAP)," 4th Edition, 2006.</w:t>
            </w:r>
          </w:p>
        </w:tc>
      </w:tr>
      <w:tr>
        <w:tc>
          <w:tcPr>
            <w:tcW w:type="dxa" w:w="54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color w:val="4A4A4A"/>
                <w:sz w:val="20"/>
                <w:szCs w:val="20"/>
              </w:rPr>
              <w:t xml:space="preserve">[7]</w:t>
            </w:r>
          </w:p>
        </w:tc>
        <w:tc>
          <w:tcPr>
            <w:tcW w:type="dxa" w:w="846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color w:val="4A4A4A"/>
                <w:sz w:val="20"/>
                <w:szCs w:val="20"/>
              </w:rPr>
              <w:t xml:space="preserve">VDA, "VDA 6.5 Product Audit," VDA QMC, 2011.</w:t>
            </w:r>
          </w:p>
        </w:tc>
      </w:tr>
    </w:tbl>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tabs>
        <w:tab w:val="right" w:pos="8800"/>
      </w:tabs>
      <w:spacing w:after="0" w:before="80"/>
    </w:pPr>
    <w:r>
      <w:rPr>
        <w:rFonts w:ascii="Malgun Gothic" w:cs="Malgun Gothic" w:eastAsia="Malgun Gothic" w:hAnsi="Malgun Gothic"/>
        <w:color w:val="7F8C8D"/>
        <w:sz w:val="16"/>
        <w:szCs w:val="16"/>
      </w:rPr>
      <w:t xml:space="preserve">(c) 한국품질기술사회 | 품질관리 방법론 연구</w:t>
    </w:r>
    <w:r>
      <w:rPr>
        <w:sz w:val="16"/>
        <w:szCs w:val="16"/>
      </w:rPr>
      <w:t xml:space="preserve">	</w:t>
    </w:r>
    <w:r>
      <w:rPr>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800"/>
      </w:tabs>
      <w:spacing w:after="80" w:before="0"/>
    </w:pPr>
    <w:r>
      <w:rPr>
        <w:rFonts w:ascii="Malgun Gothic" w:cs="Malgun Gothic" w:eastAsia="Malgun Gothic" w:hAnsi="Malgun Gothic"/>
        <w:color w:val="2E75B6"/>
        <w:sz w:val="18"/>
        <w:szCs w:val="18"/>
      </w:rPr>
      <w:t xml:space="preserve">한국품질기술사회 전문교육 자료</w:t>
    </w:r>
    <w:r>
      <w:rPr>
        <w:sz w:val="18"/>
        <w:szCs w:val="18"/>
      </w:rPr>
      <w:t xml:space="preserve">	</w:t>
    </w:r>
    <w:r>
      <w:rPr>
        <w:rFonts w:ascii="Malgun Gothic" w:cs="Malgun Gothic" w:eastAsia="Malgun Gothic" w:hAnsi="Malgun Gothic"/>
        <w:color w:val="7F8C8D"/>
        <w:sz w:val="18"/>
        <w:szCs w:val="18"/>
      </w:rPr>
      <w:t xml:space="preserve">CFT vs MDT 비교 연구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B4F8A"/>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3a7fe6618a719ba8c0d0302ae343134d75e765.png"/><Relationship Id="rId10" Type="http://schemas.openxmlformats.org/officeDocument/2006/relationships/image" Target="media/b59f8b4c3be13166e02ce533f9c18f7ace2db63c.png"/><Relationship Id="rId11" Type="http://schemas.openxmlformats.org/officeDocument/2006/relationships/image" Target="media/9259cf6227a8a55c21468bf417d3dd120230fdbe.png"/><Relationship Id="rId12" Type="http://schemas.openxmlformats.org/officeDocument/2006/relationships/image" Target="media/1e405d05d64bc1279f943a3203901f4fe74264f9.png"/><Relationship Id="rId13" Type="http://schemas.openxmlformats.org/officeDocument/2006/relationships/image" Target="media/6c072824c90bce54adfd76b260fefbd5344c3570.png"/><Relationship Id="rId14" Type="http://schemas.openxmlformats.org/officeDocument/2006/relationships/image" Target="media/bc8a51f7ac5e7f490adb2da3e12f5b6a2164a9ea.png"/><Relationship Id="rId15" Type="http://schemas.openxmlformats.org/officeDocument/2006/relationships/image" Target="media/89f9fc7e18e654cebf3742d23ad15fecfe6e8745.png"/><Relationship Id="rId16" Type="http://schemas.openxmlformats.org/officeDocument/2006/relationships/image" Target="media/d4f29c3018d4aff433a6feb80d5df92408f06ad3.png"/><Relationship Id="rId17" Type="http://schemas.openxmlformats.org/officeDocument/2006/relationships/image" Target="media/60e91430cd6bb591c7ddfdd395a2a1def3b94f44.png"/><Relationship Id="rId18" Type="http://schemas.openxmlformats.org/officeDocument/2006/relationships/image" Target="media/bbe740950a528823fb8f35e6da87a2cc7adcb14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2026-05-27T22:16:13.440Z</dcterms:created>
  <dcterms:modified xsi:type="dcterms:W3CDTF">2026-05-27T22:16:13.440Z</dcterms:modified>
</cp:coreProperties>
</file>

<file path=docProps/custom.xml><?xml version="1.0" encoding="utf-8"?>
<Properties xmlns="http://schemas.openxmlformats.org/officeDocument/2006/custom-properties" xmlns:vt="http://schemas.openxmlformats.org/officeDocument/2006/docPropsVTypes"/>
</file>