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Execution Order Map (Golden Path)</w:t>
      </w:r>
    </w:p>
    <w:p>
      <w:pPr>
        <w:spacing w:after="200"/>
      </w:pPr>
      <w:r>
        <w:rPr>
          <w:sz w:val="20"/>
          <w:szCs w:val="20"/>
        </w:rPr>
        <w:t xml:space="preserve">AI Business Accounting OS - MVP構築の実行順序定義</w:t>
      </w:r>
    </w:p>
    <w:p>
      <w:pPr>
        <w:spacing w:after="200"/>
      </w:pPr>
      <w:r>
        <w:rPr>
          <w:color w:val="888888"/>
          <w:sz w:val="18"/>
          <w:szCs w:val="18"/>
        </w:rPr>
        <w:t xml:space="preserve">Updated: 2026-02-17 / STG一本構成</w:t>
      </w:r>
    </w:p>
    <w:p>
      <w:pPr>
        <w:pStyle w:val="Heading2"/>
      </w:pPr>
      <w:r>
        <w:t xml:space="preserve">File Structure (01-09)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01_Procedure_STG.xlsx  : 統一手順書(STGのみ・初回前提・DO→CHECK・Status列)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02_Artifacts_Library.xlsx : テンプレ/コマンド/コード一覧(手順書と紐付け)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03_Troubleshooting.xlsx : トラブルシュート(症状→原因→解決)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04_Cleanup_and_Rollback.xlsx : 環境クリーンアップ&amp;ロールバック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05_Sample_Procedure.xlsx : サンプル/モック手順(本番と完全分離)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06_Confirmation_Materials.xlsx : キー台帳(取得元/格納先/影響/ローテ)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07_Diagrams.docx : 図(構成/画面遷移/ER/シーケンス/ジョブ状態)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08_Cost_Model.xlsx : コスト計算表(公式URL/月額/年額)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09_Procedure_PROD.xlsx : PROD構築手順(STGとの差分中心)</w:t>
      </w:r>
    </w:p>
    <w:p>
      <w:pPr>
        <w:pStyle w:val="Heading2"/>
      </w:pPr>
      <w:r>
        <w:t xml:space="preserve">Execution Order (Golden Path)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やり直し(クリーンスタート)する場合は Step 0 から開始する。</w:t>
      </w:r>
    </w:p>
    <w:p>
      <w:pPr>
        <w:spacing w:before="200" w:after="60"/>
      </w:pPr>
      <w:r>
        <w:rPr>
          <w:b/>
          <w:bCs/>
          <w:sz w:val="24"/>
          <w:szCs w:val="24"/>
        </w:rPr>
        <w:t xml:space="preserve">Step 0: クリーンアップ(やり直し時のみ)</w:t>
      </w:r>
    </w:p>
    <w:p>
      <w:pPr>
        <w:spacing w:after="40"/>
      </w:pPr>
      <w:r>
        <w:rPr>
          <w:sz w:val="20"/>
          <w:szCs w:val="20"/>
        </w:rPr>
        <w:t xml:space="preserve">04_Cleanup_and_Rollback.xlsx を実行して既存環境を削除。初回は不要。</w:t>
      </w:r>
    </w:p>
    <w:p>
      <w:pPr>
        <w:spacing w:after="100"/>
      </w:pPr>
      <w:r>
        <w:rPr>
          <w:color w:val="2F5496"/>
          <w:sz w:val="18"/>
          <w:szCs w:val="18"/>
        </w:rPr>
        <w:t xml:space="preserve">Reference: 04_Cleanup_and_Rollback.xlsx</w:t>
      </w:r>
    </w:p>
    <w:p>
      <w:pPr>
        <w:spacing w:before="200" w:after="60"/>
      </w:pPr>
      <w:r>
        <w:rPr>
          <w:b/>
          <w:bCs/>
          <w:sz w:val="24"/>
          <w:szCs w:val="24"/>
        </w:rPr>
        <w:t xml:space="preserve">Step 1: 事前準備</w:t>
      </w:r>
    </w:p>
    <w:p>
      <w:pPr>
        <w:spacing w:after="40"/>
      </w:pPr>
      <w:r>
        <w:rPr>
          <w:sz w:val="20"/>
          <w:szCs w:val="20"/>
        </w:rPr>
        <w:t xml:space="preserve">01_Procedure_STG.xlsx → Prepare シート。ツール導入/アカウント作成/SSH鍵/リポジトリ構築。</w:t>
      </w:r>
    </w:p>
    <w:p>
      <w:pPr>
        <w:spacing w:after="100"/>
      </w:pPr>
      <w:r>
        <w:rPr>
          <w:color w:val="2F5496"/>
          <w:sz w:val="18"/>
          <w:szCs w:val="18"/>
        </w:rPr>
        <w:t xml:space="preserve">Reference: 01 &gt; Prepare</w:t>
      </w:r>
    </w:p>
    <w:p>
      <w:pPr>
        <w:spacing w:before="200" w:after="60"/>
      </w:pPr>
      <w:r>
        <w:rPr>
          <w:b/>
          <w:bCs/>
          <w:sz w:val="24"/>
          <w:szCs w:val="24"/>
        </w:rPr>
        <w:t xml:space="preserve">Step 2: Supabase構築</w:t>
      </w:r>
    </w:p>
    <w:p>
      <w:pPr>
        <w:spacing w:after="40"/>
      </w:pPr>
      <w:r>
        <w:rPr>
          <w:sz w:val="20"/>
          <w:szCs w:val="20"/>
        </w:rPr>
        <w:t xml:space="preserve">01 &gt; Supabase シート。Project作成/Auth/Storage/Extensions/.env作成/CLI link。</w:t>
      </w:r>
    </w:p>
    <w:p>
      <w:pPr>
        <w:spacing w:after="100"/>
      </w:pPr>
      <w:r>
        <w:rPr>
          <w:color w:val="2F5496"/>
          <w:sz w:val="18"/>
          <w:szCs w:val="18"/>
        </w:rPr>
        <w:t xml:space="preserve">Reference: 01 &gt; Supabase</w:t>
      </w:r>
    </w:p>
    <w:p>
      <w:pPr>
        <w:spacing w:before="200" w:after="60"/>
      </w:pPr>
      <w:r>
        <w:rPr>
          <w:b/>
          <w:bCs/>
          <w:sz w:val="24"/>
          <w:szCs w:val="24"/>
        </w:rPr>
        <w:t xml:space="preserve">Step 3: Azure構築</w:t>
      </w:r>
    </w:p>
    <w:p>
      <w:pPr>
        <w:spacing w:after="40"/>
      </w:pPr>
      <w:r>
        <w:rPr>
          <w:sz w:val="20"/>
          <w:szCs w:val="20"/>
        </w:rPr>
        <w:t xml:space="preserve">01 &gt; Azure_DI_Redis シート。RG/Document Intelligence/Redis作成/キー取得。</w:t>
      </w:r>
    </w:p>
    <w:p>
      <w:pPr>
        <w:spacing w:after="100"/>
      </w:pPr>
      <w:r>
        <w:rPr>
          <w:color w:val="2F5496"/>
          <w:sz w:val="18"/>
          <w:szCs w:val="18"/>
        </w:rPr>
        <w:t xml:space="preserve">Reference: 01 &gt; Azure_DI_Redis</w:t>
      </w:r>
    </w:p>
    <w:p>
      <w:pPr>
        <w:spacing w:before="200" w:after="60"/>
      </w:pPr>
      <w:r>
        <w:rPr>
          <w:b/>
          <w:bCs/>
          <w:sz w:val="24"/>
          <w:szCs w:val="24"/>
        </w:rPr>
        <w:t xml:space="preserve">Step 4: CI/CD構築</w:t>
      </w:r>
    </w:p>
    <w:p>
      <w:pPr>
        <w:spacing w:after="40"/>
      </w:pPr>
      <w:r>
        <w:rPr>
          <w:sz w:val="20"/>
          <w:szCs w:val="20"/>
        </w:rPr>
        <w:t xml:space="preserve">01 &gt; CI_CD シート。Vercel連携/GitHub Actions/ACR/ACA構築。</w:t>
      </w:r>
    </w:p>
    <w:p>
      <w:pPr>
        <w:spacing w:after="100"/>
      </w:pPr>
      <w:r>
        <w:rPr>
          <w:color w:val="2F5496"/>
          <w:sz w:val="18"/>
          <w:szCs w:val="18"/>
        </w:rPr>
        <w:t xml:space="preserve">Reference: 01 &gt; CI_CD</w:t>
      </w:r>
    </w:p>
    <w:p>
      <w:pPr>
        <w:spacing w:before="200" w:after="60"/>
      </w:pPr>
      <w:r>
        <w:rPr>
          <w:b/>
          <w:bCs/>
          <w:sz w:val="24"/>
          <w:szCs w:val="24"/>
        </w:rPr>
        <w:t xml:space="preserve">Step 5: コーディング基盤</w:t>
      </w:r>
    </w:p>
    <w:p>
      <w:pPr>
        <w:spacing w:after="40"/>
      </w:pPr>
      <w:r>
        <w:rPr>
          <w:sz w:val="20"/>
          <w:szCs w:val="20"/>
        </w:rPr>
        <w:t xml:space="preserve">01 &gt; Coding シート。Next.js初期化/依存追加/ディレクトリ構造/設定ファイル。</w:t>
      </w:r>
    </w:p>
    <w:p>
      <w:pPr>
        <w:spacing w:after="100"/>
      </w:pPr>
      <w:r>
        <w:rPr>
          <w:color w:val="2F5496"/>
          <w:sz w:val="18"/>
          <w:szCs w:val="18"/>
        </w:rPr>
        <w:t xml:space="preserve">Reference: 01 &gt; Coding</w:t>
      </w:r>
    </w:p>
    <w:p>
      <w:pPr>
        <w:spacing w:before="200" w:after="60"/>
      </w:pPr>
      <w:r>
        <w:rPr>
          <w:b/>
          <w:bCs/>
          <w:sz w:val="24"/>
          <w:szCs w:val="24"/>
        </w:rPr>
        <w:t xml:space="preserve">Step 6: DB構築</w:t>
      </w:r>
    </w:p>
    <w:p>
      <w:pPr>
        <w:spacing w:after="40"/>
      </w:pPr>
      <w:r>
        <w:rPr>
          <w:sz w:val="20"/>
          <w:szCs w:val="20"/>
        </w:rPr>
        <w:t xml:space="preserve">01 &gt; DB シート。DDL実行/RLS適用/トリガー/マスタSeed。</w:t>
      </w:r>
    </w:p>
    <w:p>
      <w:pPr>
        <w:spacing w:after="100"/>
      </w:pPr>
      <w:r>
        <w:rPr>
          <w:color w:val="2F5496"/>
          <w:sz w:val="18"/>
          <w:szCs w:val="18"/>
        </w:rPr>
        <w:t xml:space="preserve">Reference: 01 &gt; DB</w:t>
      </w:r>
    </w:p>
    <w:p>
      <w:pPr>
        <w:spacing w:before="200" w:after="60"/>
      </w:pPr>
      <w:r>
        <w:rPr>
          <w:b/>
          <w:bCs/>
          <w:sz w:val="24"/>
          <w:szCs w:val="24"/>
        </w:rPr>
        <w:t xml:space="preserve">Step 7: 検証</w:t>
      </w:r>
    </w:p>
    <w:p>
      <w:pPr>
        <w:spacing w:after="40"/>
      </w:pPr>
      <w:r>
        <w:rPr>
          <w:sz w:val="20"/>
          <w:szCs w:val="20"/>
        </w:rPr>
        <w:t xml:space="preserve">01 &gt; Verify シート。全サービス疎通/RLS動作/ビルド/テスト確認。</w:t>
      </w:r>
    </w:p>
    <w:p>
      <w:pPr>
        <w:spacing w:after="100"/>
      </w:pPr>
      <w:r>
        <w:rPr>
          <w:color w:val="2F5496"/>
          <w:sz w:val="18"/>
          <w:szCs w:val="18"/>
        </w:rPr>
        <w:t xml:space="preserve">Reference: 01 &gt; Verify</w:t>
      </w:r>
    </w:p>
    <w:p>
      <w:pPr>
        <w:pStyle w:val="Heading2"/>
      </w:pPr>
      <w:r>
        <w:t xml:space="preserve">Reference Files</w:t>
      </w:r>
    </w:p>
    <w:p>
      <w:pPr>
        <w:spacing w:after="60"/>
      </w:pPr>
      <w:r>
        <w:rPr>
          <w:sz w:val="20"/>
          <w:szCs w:val="20"/>
        </w:rPr>
        <w:t xml:space="preserve">  詰まったとき → 03_Troubleshooting.xlsx (症状ベースで検索)</w:t>
      </w:r>
    </w:p>
    <w:p>
      <w:pPr>
        <w:spacing w:after="60"/>
      </w:pPr>
      <w:r>
        <w:rPr>
          <w:sz w:val="20"/>
          <w:szCs w:val="20"/>
        </w:rPr>
        <w:t xml:space="preserve">  コピペ素材 → 02_Artifacts_Library.xlsx (ArtifactIDで紐付け)</w:t>
      </w:r>
    </w:p>
    <w:p>
      <w:pPr>
        <w:spacing w:after="60"/>
      </w:pPr>
      <w:r>
        <w:rPr>
          <w:sz w:val="20"/>
          <w:szCs w:val="20"/>
        </w:rPr>
        <w:t xml:space="preserve">  キー情報確認 → 06_Confirmation_Materials.xlsx</w:t>
      </w:r>
    </w:p>
    <w:p>
      <w:pPr>
        <w:spacing w:after="60"/>
      </w:pPr>
      <w:r>
        <w:rPr>
          <w:sz w:val="20"/>
          <w:szCs w:val="20"/>
        </w:rPr>
        <w:t xml:space="preserve">  コスト確認 → 08_Cost_Model.xlsx</w:t>
      </w:r>
    </w:p>
    <w:p>
      <w:pPr>
        <w:spacing w:after="60"/>
      </w:pPr>
      <w:r>
        <w:rPr>
          <w:sz w:val="20"/>
          <w:szCs w:val="20"/>
        </w:rPr>
        <w:t xml:space="preserve">  図の参照 → 07_Diagrams.docx (Mermaidコードをmermaid.liveでレンダリング)</w:t>
      </w:r>
    </w:p>
    <w:p>
      <w:pPr>
        <w:spacing w:after="60"/>
      </w:pPr>
      <w:r>
        <w:rPr>
          <w:sz w:val="20"/>
          <w:szCs w:val="20"/>
        </w:rPr>
        <w:t xml:space="preserve">  サンプルデータ → 05_Sample_Procedure.xlsx (本番手順とは混ぜない)</w:t>
      </w:r>
    </w:p>
    <w:p>
      <w:pPr>
        <w:spacing w:after="60"/>
      </w:pPr>
      <w:r>
        <w:rPr>
          <w:sz w:val="20"/>
          <w:szCs w:val="20"/>
        </w:rPr>
        <w:t xml:space="preserve">  PROD構築 → 09_Procedure_PROD.xlsx (STG完了後、別途実施)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2026-02-17T05:17:01.499Z</dcterms:created>
  <dcterms:modified xsi:type="dcterms:W3CDTF">2026-02-17T05:17:01.499Z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